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46">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35" w:lineRule="exact"/>
        <w:rPr>
          <w:sz w:val="24"/>
          <w:szCs w:val="24"/>
          <w:color w:val="auto"/>
        </w:rPr>
      </w:pPr>
    </w:p>
    <w:p>
      <w:pPr>
        <w:ind w:left="960" w:hanging="597"/>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252" w:lineRule="exact"/>
        <w:rPr>
          <w:sz w:val="24"/>
          <w:szCs w:val="24"/>
          <w:color w:val="auto"/>
        </w:rPr>
      </w:pPr>
    </w:p>
    <w:p>
      <w:pPr>
        <w:ind w:left="960" w:right="2280" w:hanging="635"/>
        <w:spacing w:after="0" w:line="268" w:lineRule="auto"/>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2017</w:t>
      </w:r>
    </w:p>
    <w:p>
      <w:pPr>
        <w:spacing w:after="0" w:line="213" w:lineRule="exact"/>
        <w:rPr>
          <w:sz w:val="24"/>
          <w:szCs w:val="24"/>
          <w:color w:val="auto"/>
        </w:rPr>
      </w:pPr>
    </w:p>
    <w:p>
      <w:pPr>
        <w:ind w:left="960" w:hanging="597"/>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rFonts w:ascii="Arial" w:cs="Arial" w:eastAsia="Arial" w:hAnsi="Arial"/>
          <w:sz w:val="18"/>
          <w:szCs w:val="18"/>
          <w:color w:val="auto"/>
        </w:rPr>
      </w:pPr>
    </w:p>
    <w:p>
      <w:pPr>
        <w:ind w:left="960" w:hanging="597"/>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Company's name into English)</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 GasLog Monaco S.A.M.</w:t>
      </w:r>
    </w:p>
    <w:p>
      <w:pPr>
        <w:jc w:val="center"/>
        <w:spacing w:after="0" w:line="221" w:lineRule="auto"/>
        <w:rPr>
          <w:sz w:val="20"/>
          <w:szCs w:val="20"/>
          <w:color w:val="auto"/>
        </w:rPr>
      </w:pPr>
      <w:r>
        <w:rPr>
          <w:rFonts w:ascii="Arial" w:cs="Arial" w:eastAsia="Arial" w:hAnsi="Arial"/>
          <w:sz w:val="14"/>
          <w:szCs w:val="14"/>
          <w:color w:val="auto"/>
        </w:rPr>
        <w:t>Gildo Pastor Center</w:t>
      </w:r>
    </w:p>
    <w:p>
      <w:pPr>
        <w:jc w:val="center"/>
        <w:spacing w:after="0" w:line="221" w:lineRule="auto"/>
        <w:rPr>
          <w:sz w:val="20"/>
          <w:szCs w:val="20"/>
          <w:color w:val="auto"/>
        </w:rPr>
      </w:pPr>
      <w:r>
        <w:rPr>
          <w:rFonts w:ascii="Arial" w:cs="Arial" w:eastAsia="Arial" w:hAnsi="Arial"/>
          <w:sz w:val="14"/>
          <w:szCs w:val="14"/>
          <w:color w:val="auto"/>
        </w:rPr>
        <w:t>7 Rue du Gabian</w:t>
      </w:r>
    </w:p>
    <w:p>
      <w:pPr>
        <w:jc w:val="center"/>
        <w:spacing w:after="0"/>
        <w:rPr>
          <w:sz w:val="20"/>
          <w:szCs w:val="20"/>
          <w:color w:val="auto"/>
        </w:rPr>
      </w:pPr>
      <w:r>
        <w:rPr>
          <w:rFonts w:ascii="Arial" w:cs="Arial" w:eastAsia="Arial" w:hAnsi="Arial"/>
          <w:sz w:val="14"/>
          <w:szCs w:val="14"/>
          <w:color w:val="auto"/>
        </w:rPr>
        <w:t>MC 98000, Monaco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Nicola Lloyd, General Counsel</w:t>
      </w:r>
    </w:p>
    <w:p>
      <w:pPr>
        <w:jc w:val="center"/>
        <w:spacing w:after="0" w:line="221" w:lineRule="auto"/>
        <w:rPr>
          <w:sz w:val="20"/>
          <w:szCs w:val="20"/>
          <w:color w:val="auto"/>
        </w:rPr>
      </w:pPr>
      <w:r>
        <w:rPr>
          <w:rFonts w:ascii="Arial" w:cs="Arial" w:eastAsia="Arial" w:hAnsi="Arial"/>
          <w:sz w:val="14"/>
          <w:szCs w:val="14"/>
          <w:color w:val="auto"/>
        </w:rPr>
        <w:t>c/o GasLog Monaco S.A.M.</w:t>
      </w:r>
    </w:p>
    <w:p>
      <w:pPr>
        <w:jc w:val="center"/>
        <w:spacing w:after="0" w:line="221" w:lineRule="auto"/>
        <w:rPr>
          <w:sz w:val="20"/>
          <w:szCs w:val="20"/>
          <w:color w:val="auto"/>
        </w:rPr>
      </w:pPr>
      <w:r>
        <w:rPr>
          <w:rFonts w:ascii="Arial" w:cs="Arial" w:eastAsia="Arial" w:hAnsi="Arial"/>
          <w:sz w:val="14"/>
          <w:szCs w:val="14"/>
          <w:color w:val="auto"/>
        </w:rPr>
        <w:t>Gildo Pastor Center</w:t>
      </w:r>
    </w:p>
    <w:p>
      <w:pPr>
        <w:jc w:val="center"/>
        <w:spacing w:after="0" w:line="222" w:lineRule="auto"/>
        <w:rPr>
          <w:sz w:val="20"/>
          <w:szCs w:val="20"/>
          <w:color w:val="auto"/>
        </w:rPr>
      </w:pPr>
      <w:r>
        <w:rPr>
          <w:rFonts w:ascii="Arial" w:cs="Arial" w:eastAsia="Arial" w:hAnsi="Arial"/>
          <w:sz w:val="14"/>
          <w:szCs w:val="14"/>
          <w:color w:val="auto"/>
        </w:rPr>
        <w:t>7 Rue du Gabian</w:t>
      </w:r>
    </w:p>
    <w:p>
      <w:pPr>
        <w:jc w:val="center"/>
        <w:spacing w:after="0" w:line="221" w:lineRule="auto"/>
        <w:rPr>
          <w:sz w:val="20"/>
          <w:szCs w:val="20"/>
          <w:color w:val="auto"/>
        </w:rPr>
      </w:pPr>
      <w:r>
        <w:rPr>
          <w:rFonts w:ascii="Arial" w:cs="Arial" w:eastAsia="Arial" w:hAnsi="Arial"/>
          <w:sz w:val="14"/>
          <w:szCs w:val="14"/>
          <w:color w:val="auto"/>
        </w:rPr>
        <w:t>MC 98000, Monaco</w:t>
      </w:r>
    </w:p>
    <w:p>
      <w:pPr>
        <w:jc w:val="center"/>
        <w:spacing w:after="0"/>
        <w:rPr>
          <w:sz w:val="20"/>
          <w:szCs w:val="20"/>
          <w:color w:val="auto"/>
        </w:rPr>
      </w:pPr>
      <w:r>
        <w:rPr>
          <w:rFonts w:ascii="Arial" w:cs="Arial" w:eastAsia="Arial" w:hAnsi="Arial"/>
          <w:sz w:val="14"/>
          <w:szCs w:val="14"/>
          <w:color w:val="auto"/>
        </w:rPr>
        <w:t>Monaco Telephone: +377 97 97 51 15 Facsimile: +377 97 97 51 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Telephone Number and Facsimile Number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tc>
        <w:tc>
          <w:tcPr>
            <w:tcW w:w="35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52"/>
        </w:trPr>
        <w:tc>
          <w:tcPr>
            <w:tcW w:w="754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86"/>
              </w:rPr>
              <w:t>Title of Each Class</w:t>
            </w:r>
          </w:p>
        </w:tc>
        <w:tc>
          <w:tcPr>
            <w:tcW w:w="3500" w:type="dxa"/>
            <w:vAlign w:val="bottom"/>
          </w:tcPr>
          <w:p>
            <w:pPr>
              <w:jc w:val="center"/>
              <w:ind w:right="5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380" w:type="dxa"/>
            <w:vAlign w:val="bottom"/>
          </w:tcPr>
          <w:p>
            <w:pPr>
              <w:spacing w:after="0"/>
              <w:rPr>
                <w:sz w:val="24"/>
                <w:szCs w:val="24"/>
                <w:color w:val="auto"/>
              </w:rPr>
            </w:pPr>
          </w:p>
        </w:tc>
      </w:tr>
      <w:tr>
        <w:trPr>
          <w:trHeight w:val="131"/>
        </w:trPr>
        <w:tc>
          <w:tcPr>
            <w:tcW w:w="49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Common Shares, $0.01 par value per share</w:t>
            </w:r>
          </w:p>
        </w:tc>
        <w:tc>
          <w:tcPr>
            <w:tcW w:w="16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500" w:type="dxa"/>
            <w:vAlign w:val="bottom"/>
            <w:tcBorders>
              <w:top w:val="single" w:sz="8" w:color="auto"/>
            </w:tcBorders>
          </w:tcPr>
          <w:p>
            <w:pPr>
              <w:jc w:val="center"/>
              <w:ind w:right="572"/>
              <w:spacing w:after="0" w:line="131" w:lineRule="exact"/>
              <w:rPr>
                <w:sz w:val="20"/>
                <w:szCs w:val="20"/>
                <w:color w:val="auto"/>
              </w:rPr>
            </w:pPr>
            <w:r>
              <w:rPr>
                <w:rFonts w:ascii="Arial" w:cs="Arial" w:eastAsia="Arial" w:hAnsi="Arial"/>
                <w:sz w:val="14"/>
                <w:szCs w:val="14"/>
                <w:color w:val="auto"/>
                <w:w w:val="88"/>
              </w:rPr>
              <w:t>New York Stock Exchange</w:t>
            </w:r>
          </w:p>
        </w:tc>
        <w:tc>
          <w:tcPr>
            <w:tcW w:w="380" w:type="dxa"/>
            <w:vAlign w:val="bottom"/>
            <w:tcBorders>
              <w:top w:val="single" w:sz="8" w:color="auto"/>
            </w:tcBorders>
          </w:tcPr>
          <w:p>
            <w:pPr>
              <w:spacing w:after="0"/>
              <w:rPr>
                <w:sz w:val="11"/>
                <w:szCs w:val="11"/>
                <w:color w:val="auto"/>
              </w:rPr>
            </w:pPr>
          </w:p>
        </w:tc>
      </w:tr>
      <w:tr>
        <w:trPr>
          <w:trHeight w:val="172"/>
        </w:trPr>
        <w:tc>
          <w:tcPr>
            <w:tcW w:w="7540" w:type="dxa"/>
            <w:vAlign w:val="bottom"/>
            <w:gridSpan w:val="3"/>
          </w:tcPr>
          <w:p>
            <w:pPr>
              <w:jc w:val="center"/>
              <w:ind w:right="2620"/>
              <w:spacing w:after="0"/>
              <w:rPr>
                <w:sz w:val="20"/>
                <w:szCs w:val="20"/>
                <w:color w:val="auto"/>
              </w:rPr>
            </w:pPr>
            <w:r>
              <w:rPr>
                <w:rFonts w:ascii="Arial" w:cs="Arial" w:eastAsia="Arial" w:hAnsi="Arial"/>
                <w:sz w:val="14"/>
                <w:szCs w:val="14"/>
                <w:color w:val="auto"/>
                <w:w w:val="84"/>
              </w:rPr>
              <w:t>Series A Preference Shares, $0.01 par value per share</w:t>
            </w:r>
          </w:p>
        </w:tc>
        <w:tc>
          <w:tcPr>
            <w:tcW w:w="3500" w:type="dxa"/>
            <w:vAlign w:val="bottom"/>
          </w:tcPr>
          <w:p>
            <w:pPr>
              <w:jc w:val="center"/>
              <w:ind w:right="572"/>
              <w:spacing w:after="0"/>
              <w:rPr>
                <w:sz w:val="20"/>
                <w:szCs w:val="20"/>
                <w:color w:val="auto"/>
              </w:rPr>
            </w:pPr>
            <w:r>
              <w:rPr>
                <w:rFonts w:ascii="Arial" w:cs="Arial" w:eastAsia="Arial" w:hAnsi="Arial"/>
                <w:sz w:val="14"/>
                <w:szCs w:val="14"/>
                <w:color w:val="auto"/>
                <w:w w:val="88"/>
              </w:rPr>
              <w:t>New York Stock Exchange</w:t>
            </w:r>
          </w:p>
        </w:tc>
        <w:tc>
          <w:tcPr>
            <w:tcW w:w="380" w:type="dxa"/>
            <w:vAlign w:val="bottom"/>
          </w:tcPr>
          <w:p>
            <w:pPr>
              <w:spacing w:after="0"/>
              <w:rPr>
                <w:sz w:val="14"/>
                <w:szCs w:val="14"/>
                <w:color w:val="auto"/>
              </w:rPr>
            </w:pPr>
          </w:p>
        </w:tc>
      </w:tr>
      <w:tr>
        <w:trPr>
          <w:trHeight w:val="365"/>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w w:val="97"/>
              </w:rPr>
              <w:t xml:space="preserve">SECURITIES FOR WHICH THERE IS A REPORTING OBLIGATION PURSUANT TO SECTION 15(d) OF THE ACT: </w:t>
            </w:r>
            <w:r>
              <w:rPr>
                <w:rFonts w:ascii="Arial" w:cs="Arial" w:eastAsia="Arial" w:hAnsi="Arial"/>
                <w:sz w:val="14"/>
                <w:szCs w:val="14"/>
                <w:color w:val="auto"/>
                <w:w w:val="97"/>
              </w:rPr>
              <w:t>None</w:t>
            </w: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11040" w:type="dxa"/>
            <w:vAlign w:val="bottom"/>
            <w:gridSpan w:val="4"/>
          </w:tcPr>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tc>
        <w:tc>
          <w:tcPr>
            <w:tcW w:w="380" w:type="dxa"/>
            <w:vAlign w:val="bottom"/>
          </w:tcPr>
          <w:p>
            <w:pPr>
              <w:spacing w:after="0"/>
              <w:rPr>
                <w:sz w:val="24"/>
                <w:szCs w:val="24"/>
                <w:color w:val="auto"/>
              </w:rPr>
            </w:pPr>
          </w:p>
        </w:tc>
      </w:tr>
      <w:tr>
        <w:trPr>
          <w:trHeight w:val="365"/>
        </w:trPr>
        <w:tc>
          <w:tcPr>
            <w:tcW w:w="11040" w:type="dxa"/>
            <w:vAlign w:val="bottom"/>
            <w:gridSpan w:val="4"/>
          </w:tcPr>
          <w:p>
            <w:pPr>
              <w:spacing w:after="0"/>
              <w:rPr>
                <w:sz w:val="20"/>
                <w:szCs w:val="20"/>
                <w:color w:val="auto"/>
              </w:rPr>
            </w:pPr>
            <w:r>
              <w:rPr>
                <w:rFonts w:ascii="Arial" w:cs="Arial" w:eastAsia="Arial" w:hAnsi="Arial"/>
                <w:sz w:val="14"/>
                <w:szCs w:val="14"/>
                <w:color w:val="auto"/>
              </w:rPr>
              <w:t>As of December 31, 2017, there were 80,717,885 common shares of the Company's common stock and 4,600,000 Series A Preference Shares issued and outstanding.</w:t>
            </w:r>
          </w:p>
        </w:tc>
        <w:tc>
          <w:tcPr>
            <w:tcW w:w="380" w:type="dxa"/>
            <w:vAlign w:val="bottom"/>
          </w:tcPr>
          <w:p>
            <w:pPr>
              <w:spacing w:after="0"/>
              <w:rPr>
                <w:sz w:val="24"/>
                <w:szCs w:val="24"/>
                <w:color w:val="auto"/>
              </w:rPr>
            </w:pPr>
          </w:p>
        </w:tc>
      </w:tr>
      <w:tr>
        <w:trPr>
          <w:trHeight w:val="365"/>
        </w:trPr>
        <w:tc>
          <w:tcPr>
            <w:tcW w:w="7540" w:type="dxa"/>
            <w:vAlign w:val="bottom"/>
            <w:gridSpan w:val="3"/>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9"/>
        </w:trPr>
        <w:tc>
          <w:tcPr>
            <w:tcW w:w="4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ind w:left="3120"/>
              <w:spacing w:after="0"/>
              <w:rPr>
                <w:sz w:val="20"/>
                <w:szCs w:val="20"/>
                <w:color w:val="auto"/>
              </w:rPr>
            </w:pPr>
            <w:r>
              <w:rPr>
                <w:rFonts w:ascii="Arial" w:cs="Arial" w:eastAsia="Arial" w:hAnsi="Arial"/>
                <w:sz w:val="14"/>
                <w:szCs w:val="14"/>
                <w:color w:val="auto"/>
              </w:rPr>
              <w:t>Yes o</w:t>
            </w:r>
          </w:p>
        </w:tc>
        <w:tc>
          <w:tcPr>
            <w:tcW w:w="380" w:type="dxa"/>
            <w:vAlign w:val="bottom"/>
          </w:tcPr>
          <w:p>
            <w:pPr>
              <w:ind w:left="6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r>
      <w:tr>
        <w:trPr>
          <w:trHeight w:val="351"/>
        </w:trPr>
        <w:tc>
          <w:tcPr>
            <w:tcW w:w="11040" w:type="dxa"/>
            <w:vAlign w:val="bottom"/>
            <w:gridSpan w:val="4"/>
          </w:tcPr>
          <w:p>
            <w:pPr>
              <w:spacing w:after="0"/>
              <w:rPr>
                <w:sz w:val="20"/>
                <w:szCs w:val="20"/>
                <w:color w:val="auto"/>
              </w:rPr>
            </w:pPr>
            <w:r>
              <w:rPr>
                <w:rFonts w:ascii="Arial" w:cs="Arial" w:eastAsia="Arial" w:hAnsi="Arial"/>
                <w:sz w:val="14"/>
                <w:szCs w:val="14"/>
                <w:color w:val="auto"/>
                <w:w w:val="96"/>
              </w:rPr>
              <w:t>If this report is an annual or transition report, indicate by check mark if the registrant is not required to file reports pursuant to Section 13 or 15(d) of the Securities Exchange Act of 1934.</w:t>
            </w:r>
          </w:p>
        </w:tc>
        <w:tc>
          <w:tcPr>
            <w:tcW w:w="380" w:type="dxa"/>
            <w:vAlign w:val="bottom"/>
          </w:tcPr>
          <w:p>
            <w:pPr>
              <w:spacing w:after="0"/>
              <w:rPr>
                <w:sz w:val="24"/>
                <w:szCs w:val="24"/>
                <w:color w:val="auto"/>
              </w:rPr>
            </w:pPr>
          </w:p>
        </w:tc>
      </w:tr>
      <w:tr>
        <w:trPr>
          <w:trHeight w:val="379"/>
        </w:trPr>
        <w:tc>
          <w:tcPr>
            <w:tcW w:w="4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ind w:left="3120"/>
              <w:spacing w:after="0"/>
              <w:rPr>
                <w:sz w:val="20"/>
                <w:szCs w:val="20"/>
                <w:color w:val="auto"/>
              </w:rPr>
            </w:pPr>
            <w:r>
              <w:rPr>
                <w:rFonts w:ascii="Arial" w:cs="Arial" w:eastAsia="Arial" w:hAnsi="Arial"/>
                <w:sz w:val="14"/>
                <w:szCs w:val="14"/>
                <w:color w:val="auto"/>
              </w:rPr>
              <w:t>Yes o</w:t>
            </w:r>
          </w:p>
        </w:tc>
        <w:tc>
          <w:tcPr>
            <w:tcW w:w="380" w:type="dxa"/>
            <w:vAlign w:val="bottom"/>
          </w:tcPr>
          <w:p>
            <w:pPr>
              <w:ind w:left="60"/>
              <w:spacing w:after="0" w:line="161"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r>
    </w:tbl>
    <w:p>
      <w:pPr>
        <w:sectPr>
          <w:pgSz w:w="11900" w:h="16838" w:orient="portrait"/>
          <w:cols w:equalWidth="0" w:num="1">
            <w:col w:w="11420"/>
          </w:cols>
          <w:pgMar w:left="240" w:top="685" w:right="239" w:bottom="0" w:gutter="0" w:footer="0" w:header="0"/>
        </w:sectPr>
      </w:pPr>
    </w:p>
    <w:bookmarkStart w:id="1" w:name="page2"/>
    <w:bookmarkEnd w:id="1"/>
    <w:p>
      <w:pPr>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8" w:lineRule="exact"/>
        <w:rPr>
          <w:sz w:val="20"/>
          <w:szCs w:val="20"/>
          <w:color w:val="auto"/>
        </w:rPr>
      </w:pPr>
    </w:p>
    <w:p>
      <w:pPr>
        <w:ind w:left="10660"/>
        <w:spacing w:after="0" w:line="161" w:lineRule="exact"/>
        <w:tabs>
          <w:tab w:leader="none" w:pos="11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o</w:t>
      </w:r>
    </w:p>
    <w:p>
      <w:pPr>
        <w:spacing w:after="0" w:line="229" w:lineRule="exact"/>
        <w:rPr>
          <w:sz w:val="20"/>
          <w:szCs w:val="20"/>
          <w:color w:val="auto"/>
        </w:rPr>
      </w:pPr>
    </w:p>
    <w:p>
      <w:pPr>
        <w:ind w:right="240"/>
        <w:spacing w:after="0" w:line="318"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3" w:lineRule="exact"/>
        <w:rPr>
          <w:sz w:val="20"/>
          <w:szCs w:val="20"/>
          <w:color w:val="auto"/>
        </w:rPr>
      </w:pPr>
    </w:p>
    <w:p>
      <w:pPr>
        <w:ind w:left="10660"/>
        <w:spacing w:after="0" w:line="161" w:lineRule="exact"/>
        <w:tabs>
          <w:tab w:leader="none" w:pos="11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o</w:t>
      </w:r>
    </w:p>
    <w:p>
      <w:pPr>
        <w:spacing w:after="0" w:line="229"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definition of "accelerated filer," "accelerated filer," and "emerging growth company" in Rule 12b-2 of the Exchange Act. (Check one):</w:t>
      </w:r>
    </w:p>
    <w:p>
      <w:pPr>
        <w:spacing w:after="0" w:line="168" w:lineRule="exact"/>
        <w:rPr>
          <w:sz w:val="20"/>
          <w:szCs w:val="20"/>
          <w:color w:val="auto"/>
        </w:rPr>
      </w:pPr>
    </w:p>
    <w:p>
      <w:pPr>
        <w:ind w:left="720"/>
        <w:spacing w:after="0" w:line="161" w:lineRule="exact"/>
        <w:tabs>
          <w:tab w:leader="none" w:pos="3720" w:val="left"/>
          <w:tab w:leader="none" w:pos="652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Emerging Growth Company o</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provided pursuant to Section 13(a) of the Exchange Act. o</w:t>
      </w:r>
    </w:p>
    <w:p>
      <w:pPr>
        <w:spacing w:after="0" w:line="90" w:lineRule="exact"/>
        <w:rPr>
          <w:sz w:val="20"/>
          <w:szCs w:val="20"/>
          <w:color w:val="auto"/>
        </w:rPr>
      </w:pPr>
    </w:p>
    <w:p>
      <w:pPr>
        <w:ind w:right="880" w:firstLine="8"/>
        <w:spacing w:after="0" w:line="543" w:lineRule="auto"/>
        <w:tabs>
          <w:tab w:leader="none" w:pos="10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 o Indicate by check mark which basis of accounting the registrant has used to prepare the financial statements included in this filing.</w:t>
      </w:r>
    </w:p>
    <w:p>
      <w:pPr>
        <w:sectPr>
          <w:pgSz w:w="11900" w:h="16838" w:orient="portrait"/>
          <w:cols w:equalWidth="0" w:num="1">
            <w:col w:w="11420"/>
          </w:cols>
          <w:pgMar w:left="240" w:top="129" w:right="239" w:bottom="1440" w:gutter="0" w:footer="0" w:header="0"/>
        </w:sectPr>
      </w:pPr>
    </w:p>
    <w:p>
      <w:pPr>
        <w:spacing w:after="0" w:line="1" w:lineRule="exact"/>
        <w:rPr>
          <w:sz w:val="20"/>
          <w:szCs w:val="20"/>
          <w:color w:val="auto"/>
        </w:rPr>
      </w:pPr>
    </w:p>
    <w:p>
      <w:pPr>
        <w:ind w:left="720"/>
        <w:spacing w:after="0"/>
        <w:rPr>
          <w:sz w:val="20"/>
          <w:szCs w:val="20"/>
          <w:color w:val="auto"/>
        </w:rPr>
      </w:pPr>
      <w:r>
        <w:rPr>
          <w:rFonts w:ascii="Arial" w:cs="Arial" w:eastAsia="Arial" w:hAnsi="Arial"/>
          <w:sz w:val="12"/>
          <w:szCs w:val="12"/>
          <w:color w:val="auto"/>
        </w:rPr>
        <w:t>U.S. GAAP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International Financial Reporting Standards as issued</w:t>
      </w:r>
    </w:p>
    <w:p>
      <w:pPr>
        <w:spacing w:after="0" w:line="23" w:lineRule="exact"/>
        <w:rPr>
          <w:sz w:val="20"/>
          <w:szCs w:val="20"/>
          <w:color w:val="auto"/>
        </w:rPr>
      </w:pPr>
    </w:p>
    <w:p>
      <w:pPr>
        <w:ind w:left="40"/>
        <w:spacing w:after="0" w:line="138" w:lineRule="exact"/>
        <w:rPr>
          <w:sz w:val="20"/>
          <w:szCs w:val="20"/>
          <w:color w:val="auto"/>
        </w:rPr>
      </w:pPr>
      <w:r>
        <w:rPr>
          <w:rFonts w:ascii="Arial" w:cs="Arial" w:eastAsia="Arial" w:hAnsi="Arial"/>
          <w:sz w:val="12"/>
          <w:szCs w:val="12"/>
          <w:color w:val="auto"/>
        </w:rPr>
        <w:t xml:space="preserve">by the 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Other o</w:t>
      </w:r>
    </w:p>
    <w:p>
      <w:pPr>
        <w:spacing w:after="0" w:line="372" w:lineRule="exact"/>
        <w:rPr>
          <w:sz w:val="20"/>
          <w:szCs w:val="20"/>
          <w:color w:val="auto"/>
        </w:rPr>
      </w:pPr>
    </w:p>
    <w:p>
      <w:pPr>
        <w:sectPr>
          <w:pgSz w:w="11900" w:h="16838" w:orient="portrait"/>
          <w:cols w:equalWidth="0" w:num="3">
            <w:col w:w="3560" w:space="720"/>
            <w:col w:w="5140" w:space="720"/>
            <w:col w:w="1280"/>
          </w:cols>
          <w:pgMar w:left="240" w:top="129"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registrant has elected to follow.</w:t>
      </w:r>
    </w:p>
    <w:p>
      <w:pPr>
        <w:spacing w:after="0" w:line="204" w:lineRule="exact"/>
        <w:rPr>
          <w:sz w:val="20"/>
          <w:szCs w:val="20"/>
          <w:color w:val="auto"/>
        </w:rPr>
      </w:pPr>
    </w:p>
    <w:p>
      <w:pPr>
        <w:ind w:left="10260"/>
        <w:spacing w:after="0"/>
        <w:tabs>
          <w:tab w:leader="none" w:pos="10880" w:val="left"/>
        </w:tabs>
        <w:rPr>
          <w:sz w:val="20"/>
          <w:szCs w:val="20"/>
          <w:color w:val="auto"/>
        </w:rPr>
      </w:pPr>
      <w:r>
        <w:rPr>
          <w:rFonts w:ascii="Arial" w:cs="Arial" w:eastAsia="Arial" w:hAnsi="Arial"/>
          <w:sz w:val="14"/>
          <w:szCs w:val="14"/>
          <w:color w:val="auto"/>
        </w:rPr>
        <w:t>Item 17 o</w:t>
      </w:r>
      <w:r>
        <w:rPr>
          <w:sz w:val="20"/>
          <w:szCs w:val="20"/>
          <w:color w:val="auto"/>
        </w:rPr>
        <w:tab/>
      </w:r>
      <w:r>
        <w:rPr>
          <w:rFonts w:ascii="Arial" w:cs="Arial" w:eastAsia="Arial" w:hAnsi="Arial"/>
          <w:sz w:val="12"/>
          <w:szCs w:val="12"/>
          <w:color w:val="auto"/>
        </w:rPr>
        <w:t>Item 18 o</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If this is an annual report, indicate by check mark whether the registrant is a shell company (as defined in Rule 12b-2 of the Exchange Act).</w:t>
      </w:r>
    </w:p>
    <w:p>
      <w:pPr>
        <w:spacing w:after="0" w:line="179" w:lineRule="exact"/>
        <w:rPr>
          <w:sz w:val="20"/>
          <w:szCs w:val="20"/>
          <w:color w:val="auto"/>
        </w:rPr>
      </w:pPr>
    </w:p>
    <w:p>
      <w:pPr>
        <w:ind w:left="10660"/>
        <w:spacing w:after="0" w:line="161" w:lineRule="exact"/>
        <w:tabs>
          <w:tab w:leader="none" w:pos="1108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6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REPORT</w:t>
              </w:r>
            </w:hyperlink>
          </w:p>
        </w:tc>
        <w:tc>
          <w:tcPr>
            <w:tcW w:w="6720" w:type="dxa"/>
            <w:vAlign w:val="bottom"/>
            <w:gridSpan w:val="26"/>
            <w:vMerge w:val="restart"/>
          </w:tcPr>
          <w:p>
            <w:pPr>
              <w:spacing w:after="0"/>
              <w:rPr>
                <w:sz w:val="14"/>
                <w:szCs w:val="14"/>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760" w:type="dxa"/>
            <w:vAlign w:val="bottom"/>
            <w:gridSpan w:val="8"/>
            <w:vMerge w:val="continue"/>
          </w:tcPr>
          <w:p>
            <w:pPr>
              <w:spacing w:after="0"/>
              <w:rPr>
                <w:sz w:val="14"/>
                <w:szCs w:val="14"/>
                <w:color w:val="auto"/>
              </w:rPr>
            </w:pPr>
          </w:p>
        </w:tc>
        <w:tc>
          <w:tcPr>
            <w:tcW w:w="6720" w:type="dxa"/>
            <w:vAlign w:val="bottom"/>
            <w:gridSpan w:val="26"/>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gridSpan w:val="2"/>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3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360" w:type="dxa"/>
            <w:vAlign w:val="bottom"/>
          </w:tcPr>
          <w:p>
            <w:pPr>
              <w:spacing w:after="0"/>
              <w:rPr>
                <w:sz w:val="17"/>
                <w:szCs w:val="17"/>
                <w:color w:val="auto"/>
              </w:rPr>
            </w:pPr>
          </w:p>
        </w:tc>
        <w:tc>
          <w:tcPr>
            <w:tcW w:w="140" w:type="dxa"/>
            <w:vAlign w:val="bottom"/>
            <w:gridSpan w:val="2"/>
          </w:tcPr>
          <w:p>
            <w:pPr>
              <w:jc w:val="right"/>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iii</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280" w:type="dxa"/>
            <w:vAlign w:val="bottom"/>
            <w:tcBorders>
              <w:top w:val="single" w:sz="8" w:color="0000EE"/>
            </w:tcBorders>
            <w:gridSpan w:val="4"/>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1.</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340" w:type="dxa"/>
            <w:vAlign w:val="bottom"/>
            <w:gridSpan w:val="2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2.</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460" w:type="dxa"/>
            <w:vAlign w:val="bottom"/>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1880" w:type="dxa"/>
            <w:vAlign w:val="bottom"/>
            <w:gridSpan w:val="5"/>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ITEM 3.</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6"/>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KEY INFORMATION</w:t>
              </w:r>
            </w:hyperlink>
          </w:p>
        </w:tc>
        <w:tc>
          <w:tcPr>
            <w:tcW w:w="2260" w:type="dxa"/>
            <w:vAlign w:val="bottom"/>
            <w:gridSpan w:val="10"/>
          </w:tcPr>
          <w:p>
            <w:pPr>
              <w:spacing w:after="0"/>
              <w:rPr>
                <w:sz w:val="17"/>
                <w:szCs w:val="17"/>
                <w:color w:val="auto"/>
              </w:rPr>
            </w:pPr>
          </w:p>
        </w:tc>
        <w:tc>
          <w:tcPr>
            <w:tcW w:w="346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ITEM 4.</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340" w:type="dxa"/>
            <w:vAlign w:val="bottom"/>
            <w:gridSpan w:val="2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INFORMATION ON THE COMPANY</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ITEM 4.A.</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ITEM 5.</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OPERATING AND FINANCIAL REVIEW AND PROSPECTS</w:t>
              </w:r>
            </w:hyperlink>
          </w:p>
        </w:tc>
        <w:tc>
          <w:tcPr>
            <w:tcW w:w="278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65">
              <w:r>
                <w:rPr>
                  <w:rFonts w:ascii="Arial" w:cs="Arial" w:eastAsia="Arial" w:hAnsi="Arial"/>
                  <w:sz w:val="15"/>
                  <w:szCs w:val="15"/>
                  <w:color w:val="0000EE"/>
                  <w:w w:val="71"/>
                </w:rPr>
                <w:t>59</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ITEM 6.</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45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96">
              <w:r>
                <w:rPr>
                  <w:rFonts w:ascii="Arial" w:cs="Arial" w:eastAsia="Arial" w:hAnsi="Arial"/>
                  <w:sz w:val="18"/>
                  <w:szCs w:val="18"/>
                  <w:color w:val="0000EE"/>
                  <w:w w:val="94"/>
                </w:rPr>
                <w:t>DIRECTORS, SENIOR MANAGEMENT AND EMPLOYEES</w:t>
              </w:r>
            </w:hyperlink>
          </w:p>
        </w:tc>
        <w:tc>
          <w:tcPr>
            <w:tcW w:w="282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96">
              <w:r>
                <w:rPr>
                  <w:rFonts w:ascii="Arial" w:cs="Arial" w:eastAsia="Arial" w:hAnsi="Arial"/>
                  <w:sz w:val="15"/>
                  <w:szCs w:val="15"/>
                  <w:color w:val="0000EE"/>
                  <w:w w:val="71"/>
                </w:rPr>
                <w:t>90</w:t>
              </w:r>
            </w:hyperlink>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ITEM 7.</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340" w:type="dxa"/>
            <w:vAlign w:val="bottom"/>
            <w:gridSpan w:val="2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MAJOR SHAREHOLDERS AND RELATED PARTY TRANSACTIONS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ITEM 8.</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240" w:type="dxa"/>
            <w:vAlign w:val="bottom"/>
            <w:gridSpan w:val="2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FINANCIAL INFORMATION</w:t>
              </w:r>
            </w:hyperlink>
          </w:p>
        </w:tc>
        <w:tc>
          <w:tcPr>
            <w:tcW w:w="2100" w:type="dxa"/>
            <w:vAlign w:val="bottom"/>
            <w:gridSpan w:val="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ITEM 9.</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Borders>
              <w:top w:val="single" w:sz="8" w:color="0000EE"/>
            </w:tcBorders>
            <w:gridSpan w:val="10"/>
          </w:tcPr>
          <w:p>
            <w:pPr>
              <w:spacing w:after="0" w:line="196" w:lineRule="exact"/>
              <w:rPr>
                <w:rFonts w:ascii="Arial" w:cs="Arial" w:eastAsia="Arial" w:hAnsi="Arial"/>
                <w:sz w:val="18"/>
                <w:szCs w:val="18"/>
                <w:color w:val="0000EE"/>
                <w:w w:val="99"/>
              </w:rPr>
            </w:pPr>
            <w:hyperlink w:anchor="page117">
              <w:r>
                <w:rPr>
                  <w:rFonts w:ascii="Arial" w:cs="Arial" w:eastAsia="Arial" w:hAnsi="Arial"/>
                  <w:sz w:val="18"/>
                  <w:szCs w:val="18"/>
                  <w:color w:val="0000EE"/>
                  <w:w w:val="99"/>
                </w:rPr>
                <w:t>THE OFFER AND LISTING</w:t>
              </w:r>
            </w:hyperlink>
          </w:p>
        </w:tc>
        <w:tc>
          <w:tcPr>
            <w:tcW w:w="5140" w:type="dxa"/>
            <w:vAlign w:val="bottom"/>
            <w:gridSpan w:val="18"/>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117">
              <w:r>
                <w:rPr>
                  <w:rFonts w:ascii="Arial" w:cs="Arial" w:eastAsia="Arial" w:hAnsi="Arial"/>
                  <w:sz w:val="10"/>
                  <w:szCs w:val="10"/>
                  <w:color w:val="0000EE"/>
                  <w:w w:val="71"/>
                </w:rPr>
                <w:t>111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ITEM 10.</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ADDITIONAL INFORMATION</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84"/>
              </w:rPr>
            </w:pPr>
            <w:hyperlink w:anchor="page135">
              <w:r>
                <w:rPr>
                  <w:rFonts w:ascii="Arial" w:cs="Arial" w:eastAsia="Arial" w:hAnsi="Arial"/>
                  <w:sz w:val="18"/>
                  <w:szCs w:val="18"/>
                  <w:color w:val="0000EE"/>
                  <w:w w:val="84"/>
                </w:rPr>
                <w:t>ITEM 11.</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00" w:type="dxa"/>
            <w:vAlign w:val="bottom"/>
            <w:gridSpan w:val="24"/>
          </w:tcPr>
          <w:p>
            <w:pPr>
              <w:spacing w:after="0" w:line="19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QUANTITATIVE AND QUALITATIVE DISCLOSURES ABOUT MARKET RISK</w:t>
              </w:r>
            </w:hyperlink>
          </w:p>
        </w:tc>
        <w:tc>
          <w:tcPr>
            <w:tcW w:w="1340" w:type="dxa"/>
            <w:vAlign w:val="bottom"/>
            <w:gridSpan w:val="4"/>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ITEM 12.</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DESCRIPTION OF SECURITIES OTHER THAN EQUITY SECURITIES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PART II</w:t>
              </w:r>
            </w:hyperlink>
          </w:p>
        </w:tc>
        <w:tc>
          <w:tcPr>
            <w:tcW w:w="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ITEM 13.</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DEFAULTS, DIVIDEND ARREARAGES AND DELINQUENCIES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ITEM 14.</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MATERIAL MODIFICATIONS TO THE RIGHTS OF SECURITY HOLDERS AND USE OF</w:t>
              </w:r>
            </w:hyperlink>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PROCEEDS</w:t>
              </w:r>
            </w:hyperlink>
          </w:p>
        </w:tc>
        <w:tc>
          <w:tcPr>
            <w:tcW w:w="600" w:type="dxa"/>
            <w:vAlign w:val="bottom"/>
            <w:gridSpan w:val="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ITEM 15.</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CONTROLS AND PROCEDURES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130</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ITEM 16.</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[RESERVED]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38">
              <w:r>
                <w:rPr>
                  <w:rFonts w:ascii="Arial" w:cs="Arial" w:eastAsia="Arial" w:hAnsi="Arial"/>
                  <w:sz w:val="18"/>
                  <w:szCs w:val="18"/>
                  <w:color w:val="0000EE"/>
                  <w:w w:val="86"/>
                </w:rPr>
                <w:t>ITEM 16.A.</w:t>
              </w:r>
            </w:hyperlink>
          </w:p>
        </w:tc>
        <w:tc>
          <w:tcPr>
            <w:tcW w:w="320" w:type="dxa"/>
            <w:vAlign w:val="bottom"/>
          </w:tcPr>
          <w:p>
            <w:pPr>
              <w:spacing w:after="0"/>
              <w:rPr>
                <w:sz w:val="17"/>
                <w:szCs w:val="17"/>
                <w:color w:val="auto"/>
              </w:rPr>
            </w:pPr>
          </w:p>
        </w:tc>
        <w:tc>
          <w:tcPr>
            <w:tcW w:w="7340" w:type="dxa"/>
            <w:vAlign w:val="bottom"/>
            <w:gridSpan w:val="28"/>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AUDIT COMMITTEE FINANCIAL EXPERT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38">
              <w:r>
                <w:rPr>
                  <w:rFonts w:ascii="Arial" w:cs="Arial" w:eastAsia="Arial" w:hAnsi="Arial"/>
                  <w:sz w:val="18"/>
                  <w:szCs w:val="18"/>
                  <w:color w:val="0000EE"/>
                  <w:w w:val="86"/>
                </w:rPr>
                <w:t>ITEM 16.B.</w:t>
              </w:r>
            </w:hyperlink>
          </w:p>
        </w:tc>
        <w:tc>
          <w:tcPr>
            <w:tcW w:w="320" w:type="dxa"/>
            <w:vAlign w:val="bottom"/>
          </w:tcPr>
          <w:p>
            <w:pPr>
              <w:spacing w:after="0"/>
              <w:rPr>
                <w:sz w:val="17"/>
                <w:szCs w:val="17"/>
                <w:color w:val="auto"/>
              </w:rPr>
            </w:pPr>
          </w:p>
        </w:tc>
        <w:tc>
          <w:tcPr>
            <w:tcW w:w="3320" w:type="dxa"/>
            <w:vAlign w:val="bottom"/>
            <w:gridSpan w:val="1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CODE OF ETHICS</w:t>
              </w:r>
            </w:hyperlink>
          </w:p>
        </w:tc>
        <w:tc>
          <w:tcPr>
            <w:tcW w:w="4020" w:type="dxa"/>
            <w:vAlign w:val="bottom"/>
            <w:gridSpan w:val="1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39">
              <w:r>
                <w:rPr>
                  <w:rFonts w:ascii="Arial" w:cs="Arial" w:eastAsia="Arial" w:hAnsi="Arial"/>
                  <w:sz w:val="18"/>
                  <w:szCs w:val="18"/>
                  <w:color w:val="0000EE"/>
                  <w:w w:val="85"/>
                </w:rPr>
                <w:t>ITEM 16.C.</w:t>
              </w:r>
            </w:hyperlink>
          </w:p>
        </w:tc>
        <w:tc>
          <w:tcPr>
            <w:tcW w:w="320" w:type="dxa"/>
            <w:vAlign w:val="bottom"/>
          </w:tcPr>
          <w:p>
            <w:pPr>
              <w:spacing w:after="0"/>
              <w:rPr>
                <w:sz w:val="17"/>
                <w:szCs w:val="17"/>
                <w:color w:val="auto"/>
              </w:rPr>
            </w:pPr>
          </w:p>
        </w:tc>
        <w:tc>
          <w:tcPr>
            <w:tcW w:w="3880" w:type="dxa"/>
            <w:vAlign w:val="bottom"/>
            <w:gridSpan w:val="16"/>
          </w:tcPr>
          <w:p>
            <w:pPr>
              <w:spacing w:after="0" w:line="196"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PRINCIPAL ACCOUNTANT FEES AND SERVICES</w:t>
              </w:r>
            </w:hyperlink>
          </w:p>
        </w:tc>
        <w:tc>
          <w:tcPr>
            <w:tcW w:w="346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133</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0">
              <w:r>
                <w:rPr>
                  <w:rFonts w:ascii="Arial" w:cs="Arial" w:eastAsia="Arial" w:hAnsi="Arial"/>
                  <w:sz w:val="18"/>
                  <w:szCs w:val="18"/>
                  <w:color w:val="0000EE"/>
                  <w:w w:val="85"/>
                </w:rPr>
                <w:t>ITEM 16.D.</w:t>
              </w:r>
            </w:hyperlink>
          </w:p>
        </w:tc>
        <w:tc>
          <w:tcPr>
            <w:tcW w:w="320" w:type="dxa"/>
            <w:vAlign w:val="bottom"/>
          </w:tcPr>
          <w:p>
            <w:pPr>
              <w:spacing w:after="0"/>
              <w:rPr>
                <w:sz w:val="17"/>
                <w:szCs w:val="17"/>
                <w:color w:val="auto"/>
              </w:rPr>
            </w:pPr>
          </w:p>
        </w:tc>
        <w:tc>
          <w:tcPr>
            <w:tcW w:w="6020" w:type="dxa"/>
            <w:vAlign w:val="bottom"/>
            <w:gridSpan w:val="25"/>
          </w:tcPr>
          <w:p>
            <w:pPr>
              <w:spacing w:after="0" w:line="196" w:lineRule="exact"/>
              <w:rPr>
                <w:rFonts w:ascii="Arial" w:cs="Arial" w:eastAsia="Arial" w:hAnsi="Arial"/>
                <w:sz w:val="18"/>
                <w:szCs w:val="18"/>
                <w:color w:val="0000EE"/>
                <w:w w:val="94"/>
              </w:rPr>
            </w:pPr>
            <w:hyperlink w:anchor="page140">
              <w:r>
                <w:rPr>
                  <w:rFonts w:ascii="Arial" w:cs="Arial" w:eastAsia="Arial" w:hAnsi="Arial"/>
                  <w:sz w:val="18"/>
                  <w:szCs w:val="18"/>
                  <w:color w:val="0000EE"/>
                  <w:w w:val="94"/>
                </w:rPr>
                <w:t>EXEMPTIONS FROM THE LISTING STANDARDS FOR AUDIT COMMITTEES</w:t>
              </w:r>
            </w:hyperlink>
          </w:p>
        </w:tc>
        <w:tc>
          <w:tcPr>
            <w:tcW w:w="1320" w:type="dxa"/>
            <w:vAlign w:val="bottom"/>
            <w:gridSpan w:val="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134</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0">
              <w:r>
                <w:rPr>
                  <w:rFonts w:ascii="Arial" w:cs="Arial" w:eastAsia="Arial" w:hAnsi="Arial"/>
                  <w:sz w:val="18"/>
                  <w:szCs w:val="18"/>
                  <w:color w:val="0000EE"/>
                  <w:w w:val="86"/>
                </w:rPr>
                <w:t>ITEM 16.E.</w:t>
              </w:r>
            </w:hyperlink>
          </w:p>
        </w:tc>
        <w:tc>
          <w:tcPr>
            <w:tcW w:w="320" w:type="dxa"/>
            <w:vAlign w:val="bottom"/>
          </w:tcPr>
          <w:p>
            <w:pPr>
              <w:spacing w:after="0"/>
              <w:rPr>
                <w:sz w:val="17"/>
                <w:szCs w:val="17"/>
                <w:color w:val="auto"/>
              </w:rPr>
            </w:pPr>
          </w:p>
        </w:tc>
        <w:tc>
          <w:tcPr>
            <w:tcW w:w="7340" w:type="dxa"/>
            <w:vAlign w:val="bottom"/>
            <w:gridSpan w:val="28"/>
          </w:tcPr>
          <w:p>
            <w:pPr>
              <w:spacing w:after="0" w:line="196" w:lineRule="exact"/>
              <w:rPr>
                <w:rFonts w:ascii="Arial" w:cs="Arial" w:eastAsia="Arial" w:hAnsi="Arial"/>
                <w:sz w:val="18"/>
                <w:szCs w:val="18"/>
                <w:color w:val="0000EE"/>
                <w:w w:val="97"/>
              </w:rPr>
            </w:pPr>
            <w:hyperlink w:anchor="page140">
              <w:r>
                <w:rPr>
                  <w:rFonts w:ascii="Arial" w:cs="Arial" w:eastAsia="Arial" w:hAnsi="Arial"/>
                  <w:sz w:val="18"/>
                  <w:szCs w:val="18"/>
                  <w:color w:val="0000EE"/>
                  <w:w w:val="97"/>
                </w:rPr>
                <w:t>PURCHASES OF EQUITY SECURITIES BY THE ISSUER AND AFFILIATED PURCHASERS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134</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60" w:type="dxa"/>
            <w:vAlign w:val="bottom"/>
            <w:gridSpan w:val="10"/>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ITEM 16.F.</w:t>
              </w:r>
            </w:hyperlink>
          </w:p>
        </w:tc>
        <w:tc>
          <w:tcPr>
            <w:tcW w:w="320" w:type="dxa"/>
            <w:vAlign w:val="bottom"/>
          </w:tcPr>
          <w:p>
            <w:pPr>
              <w:spacing w:after="0"/>
              <w:rPr>
                <w:sz w:val="17"/>
                <w:szCs w:val="17"/>
                <w:color w:val="auto"/>
              </w:rPr>
            </w:pPr>
          </w:p>
        </w:tc>
        <w:tc>
          <w:tcPr>
            <w:tcW w:w="6980" w:type="dxa"/>
            <w:vAlign w:val="bottom"/>
            <w:gridSpan w:val="27"/>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CHANGE IN COMPANY'S CERTIFYING ACCOUNTANT</w:t>
              </w:r>
            </w:hyperlink>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134</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4"/>
              </w:rPr>
            </w:pPr>
            <w:hyperlink w:anchor="page140">
              <w:r>
                <w:rPr>
                  <w:rFonts w:ascii="Arial" w:cs="Arial" w:eastAsia="Arial" w:hAnsi="Arial"/>
                  <w:sz w:val="18"/>
                  <w:szCs w:val="18"/>
                  <w:color w:val="0000EE"/>
                  <w:w w:val="84"/>
                </w:rPr>
                <w:t>ITEM 16.G.</w:t>
              </w:r>
            </w:hyperlink>
          </w:p>
        </w:tc>
        <w:tc>
          <w:tcPr>
            <w:tcW w:w="320" w:type="dxa"/>
            <w:vAlign w:val="bottom"/>
          </w:tcPr>
          <w:p>
            <w:pPr>
              <w:spacing w:after="0"/>
              <w:rPr>
                <w:sz w:val="17"/>
                <w:szCs w:val="17"/>
                <w:color w:val="auto"/>
              </w:rPr>
            </w:pPr>
          </w:p>
        </w:tc>
        <w:tc>
          <w:tcPr>
            <w:tcW w:w="7340" w:type="dxa"/>
            <w:vAlign w:val="bottom"/>
            <w:gridSpan w:val="28"/>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CORPORATE GOVERNANCE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134</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1">
              <w:r>
                <w:rPr>
                  <w:rFonts w:ascii="Arial" w:cs="Arial" w:eastAsia="Arial" w:hAnsi="Arial"/>
                  <w:sz w:val="18"/>
                  <w:szCs w:val="18"/>
                  <w:color w:val="0000EE"/>
                  <w:w w:val="85"/>
                </w:rPr>
                <w:t>ITEM 16.H.</w:t>
              </w:r>
            </w:hyperlink>
          </w:p>
        </w:tc>
        <w:tc>
          <w:tcPr>
            <w:tcW w:w="320" w:type="dxa"/>
            <w:vAlign w:val="bottom"/>
          </w:tcPr>
          <w:p>
            <w:pPr>
              <w:spacing w:after="0"/>
              <w:rPr>
                <w:sz w:val="17"/>
                <w:szCs w:val="17"/>
                <w:color w:val="auto"/>
              </w:rPr>
            </w:pPr>
          </w:p>
        </w:tc>
        <w:tc>
          <w:tcPr>
            <w:tcW w:w="7340" w:type="dxa"/>
            <w:vAlign w:val="bottom"/>
            <w:gridSpan w:val="28"/>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MINE SAFETY DISCLOSURE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1"/>
              </w:rPr>
            </w:pPr>
            <w:hyperlink w:anchor="page142">
              <w:r>
                <w:rPr>
                  <w:rFonts w:ascii="Arial" w:cs="Arial" w:eastAsia="Arial" w:hAnsi="Arial"/>
                  <w:sz w:val="18"/>
                  <w:szCs w:val="18"/>
                  <w:color w:val="0000EE"/>
                  <w:w w:val="91"/>
                </w:rPr>
                <w:t>PART III</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17.</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18.</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19.</w:t>
              </w:r>
            </w:hyperlink>
          </w:p>
        </w:tc>
        <w:tc>
          <w:tcPr>
            <w:tcW w:w="7660" w:type="dxa"/>
            <w:vAlign w:val="bottom"/>
            <w:gridSpan w:val="29"/>
          </w:tcPr>
          <w:p>
            <w:pPr>
              <w:ind w:left="32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EXHIBITS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20" w:type="dxa"/>
            <w:vAlign w:val="bottom"/>
            <w:gridSpan w:val="11"/>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46">
              <w:r>
                <w:rPr>
                  <w:rFonts w:ascii="Arial" w:cs="Arial" w:eastAsia="Arial" w:hAnsi="Arial"/>
                  <w:sz w:val="18"/>
                  <w:szCs w:val="18"/>
                  <w:color w:val="0000EE"/>
                  <w:w w:val="94"/>
                </w:rPr>
                <w:t>INDEX TO CONSOLIDATED FINANCIAL STATEMENTS</w:t>
              </w:r>
            </w:hyperlink>
          </w:p>
        </w:tc>
        <w:tc>
          <w:tcPr>
            <w:tcW w:w="412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1"/>
                <w:szCs w:val="11"/>
                <w:color w:val="0000EE"/>
                <w:w w:val="72"/>
              </w:rPr>
            </w:pPr>
            <w:hyperlink w:anchor="page146">
              <w:r>
                <w:rPr>
                  <w:rFonts w:ascii="Arial" w:cs="Arial" w:eastAsia="Arial" w:hAnsi="Arial"/>
                  <w:sz w:val="11"/>
                  <w:szCs w:val="11"/>
                  <w:color w:val="0000EE"/>
                  <w:w w:val="72"/>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annual report, unless otherwise indicated:</w:t>
      </w:r>
    </w:p>
    <w:p>
      <w:pPr>
        <w:spacing w:after="0" w:line="239" w:lineRule="exact"/>
        <w:rPr>
          <w:sz w:val="20"/>
          <w:szCs w:val="20"/>
          <w:color w:val="auto"/>
        </w:rPr>
      </w:pPr>
    </w:p>
    <w:p>
      <w:pPr>
        <w:ind w:left="1080" w:right="14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the "Company", the "Group", "we", "our", "us" or similar terms refer to GasLog Ltd. or any one or more of its subsidiaries (including GasLog Partners LP)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224"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"GasLog Partners" or the "Partnership", refers to GasLog Partners LP, a master limited partnership formed by GasLog to acquire, own and operate liquefied natural gas, or "LNG", carriers under multi-year charters, or any one or more of GasLog Partners' subsidiaries;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partner" refers to GasLog Partners GP LLC, the general partner of GasLog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our wholly owned subsidiary;</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"Hyundai" refers to Hyundai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"Cheniere" refers to Cheniere Energy, Inc.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"Egypt LNG" refers to Egypt LNG Shipping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"Gastrade" refers to Gastrade S.A.;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Cool Pool" refers to The Cool Pool Limited;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"Ceres Shipping" refers to Ceres Shipping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"dollars" and "$" refers to, and amounts are presented in,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"TFDE" refers to tri-fuel diesel electric;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"Steam" refers to steam-powered;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"cbm" refers to cubic meters;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"LP-2S" refers to low pressure, dual-fuel two stroke engine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"Dynagas" refers to Dynagas Ltd. and "Golar" refers to Golar LNG Ltd.;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"Mitsui" refers to Mitsui Co., Ltd. and "Lepta Shipping" refers to Lepta Shipping Co., Ltd., a subsidiary of Mitsui.</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10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spot and long-term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which may impact the rate at which we can charter such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38"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52"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presents summary consolidated financial and other data of GasLog for each of the five years in the five-year period ended December 31, 2017. The summary consolidated financial data of GasLog as of December 31, 2016 and 2017, and for each of the years in the three-year period ended December 31, 2017, is derived from our audited consolidated financial statements included in "Item 18. Financial Statements". The selected consolidated financial data as of December 31, 2013, 2014 and 2015, and for the years ended December 31, 2013 and 2014, is derived from our audited consolidated financial statements which are not included in this annual report. Our consolidated financial statements are prepared and presented in accordance with IFRS, as issued by the IASB.</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center"/>
              <w:ind w:left="654"/>
              <w:spacing w:after="0"/>
              <w:rPr>
                <w:sz w:val="20"/>
                <w:szCs w:val="20"/>
                <w:color w:val="auto"/>
              </w:rPr>
            </w:pPr>
            <w:r>
              <w:rPr>
                <w:rFonts w:ascii="Arial" w:cs="Arial" w:eastAsia="Arial" w:hAnsi="Arial"/>
                <w:sz w:val="14"/>
                <w:szCs w:val="14"/>
                <w:b w:val="1"/>
                <w:bCs w:val="1"/>
                <w:color w:val="auto"/>
                <w:w w:val="87"/>
              </w:rPr>
              <w:t>Year Ended December 31,</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83"/>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0" w:type="dxa"/>
            <w:vAlign w:val="bottom"/>
            <w:gridSpan w:val="1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thousands of U.S. dollars, except share and per share data)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PROFIT OR LOSS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157,240</w:t>
            </w:r>
          </w:p>
        </w:tc>
        <w:tc>
          <w:tcPr>
            <w:tcW w:w="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328,679</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415,078</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466,059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525,229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9"/>
              </w:rPr>
              <w:t>Vessel operating and supervision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(122,486)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(14,290)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(15,184)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(122,957)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(137,187)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(34,154)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(41,282)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(38,642)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(39,850)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217,556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ind w:left="1140"/>
              <w:spacing w:after="0"/>
              <w:rPr>
                <w:sz w:val="20"/>
                <w:szCs w:val="20"/>
                <w:color w:val="auto"/>
              </w:rPr>
            </w:pPr>
            <w:r>
              <w:rPr>
                <w:rFonts w:ascii="Arial" w:cs="Arial" w:eastAsia="Arial" w:hAnsi="Arial"/>
                <w:sz w:val="18"/>
                <w:szCs w:val="18"/>
                <w:color w:val="auto"/>
              </w:rPr>
              <w:t>Financial costs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(137,316)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(139,181)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Gain/(loss) on swaps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(24,787)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(10,332)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(13,419)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(133,347)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56,929</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50,765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53,668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1140"/>
              <w:spacing w:after="0"/>
              <w:rPr>
                <w:sz w:val="20"/>
                <w:szCs w:val="20"/>
                <w:color w:val="auto"/>
              </w:rPr>
            </w:pPr>
            <w:r>
              <w:rPr>
                <w:rFonts w:ascii="Arial" w:cs="Arial" w:eastAsia="Arial" w:hAnsi="Arial"/>
                <w:sz w:val="18"/>
                <w:szCs w:val="18"/>
                <w:color w:val="auto"/>
                <w:w w:val="98"/>
              </w:rPr>
              <w:t>Profit/(loss) attributable to owners of the</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Group</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56,929</w:t>
            </w:r>
          </w:p>
        </w:tc>
        <w:tc>
          <w:tcPr>
            <w:tcW w:w="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42,161</w:t>
            </w:r>
          </w:p>
        </w:tc>
        <w:tc>
          <w:tcPr>
            <w:tcW w:w="10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10,829</w:t>
            </w:r>
          </w:p>
        </w:tc>
        <w:tc>
          <w:tcPr>
            <w:tcW w:w="12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(21,486)</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15,506</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non-controlling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42,839</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89"/>
              </w:rPr>
              <w:t>Earnings/(loss) per share, basic and diluted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0.91</w:t>
            </w:r>
          </w:p>
        </w:tc>
        <w:tc>
          <w:tcPr>
            <w:tcW w:w="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 average number of shares, basic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62,863,665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78,633,820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80,496,314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80,534,702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80,622,788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62,863,665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78,800,192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80,610,420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80,534,702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81,266,130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5"/>
              </w:rPr>
              <w:t>Dividends declared per preference share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86"/>
              </w:rPr>
              <w:t>As of December 31,</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bottom w:val="single" w:sz="8" w:color="auto"/>
            </w:tcBorders>
            <w:gridSpan w:val="3"/>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37"/>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89"/>
              </w:rPr>
              <w:t>thousands of U.S.</w:t>
            </w:r>
          </w:p>
        </w:tc>
        <w:tc>
          <w:tcPr>
            <w:tcW w:w="780" w:type="dxa"/>
            <w:vAlign w:val="bottom"/>
            <w:gridSpan w:val="9"/>
          </w:tcPr>
          <w:p>
            <w:pPr>
              <w:jc w:val="right"/>
              <w:ind w:right="400"/>
              <w:spacing w:after="0" w:line="142" w:lineRule="exact"/>
              <w:rPr>
                <w:sz w:val="20"/>
                <w:szCs w:val="20"/>
                <w:color w:val="auto"/>
              </w:rPr>
            </w:pPr>
            <w:r>
              <w:rPr>
                <w:rFonts w:ascii="Arial" w:cs="Arial" w:eastAsia="Arial" w:hAnsi="Arial"/>
                <w:sz w:val="14"/>
                <w:szCs w:val="14"/>
                <w:b w:val="1"/>
                <w:bCs w:val="1"/>
                <w:color w:val="auto"/>
                <w:w w:val="71"/>
              </w:rPr>
              <w:t>dollars)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2"/>
        </w:trPr>
        <w:tc>
          <w:tcPr>
            <w:tcW w:w="116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left w:val="single" w:sz="8" w:color="CCEEFF"/>
            </w:tcBorders>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POSITION DATA</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left w:val="single" w:sz="8" w:color="CCEEFF"/>
            </w:tcBorders>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103,798</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211,974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302,988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227,024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384,092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62,718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Investment in associates</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2"/>
                <w:szCs w:val="22"/>
                <w:color w:val="auto"/>
              </w:rPr>
            </w:pPr>
          </w:p>
        </w:tc>
        <w:tc>
          <w:tcPr>
            <w:tcW w:w="1140" w:type="dxa"/>
            <w:vAlign w:val="bottom"/>
            <w:tcBorders>
              <w:left w:val="single" w:sz="8" w:color="CCEEFF"/>
            </w:tcBorders>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700" w:type="dxa"/>
            <w:vAlign w:val="bottom"/>
          </w:tcPr>
          <w:p>
            <w:pPr>
              <w:spacing w:after="0" w:line="256" w:lineRule="exact"/>
              <w:rPr>
                <w:sz w:val="20"/>
                <w:szCs w:val="20"/>
                <w:color w:val="auto"/>
              </w:rPr>
            </w:pPr>
            <w:r>
              <w:rPr>
                <w:rFonts w:ascii="Arial" w:cs="Arial" w:eastAsia="Arial" w:hAnsi="Arial"/>
                <w:sz w:val="18"/>
                <w:szCs w:val="18"/>
                <w:color w:val="auto"/>
              </w:rPr>
              <w:t>Tangible fixed assets</w:t>
            </w:r>
            <w:r>
              <w:rPr>
                <w:rFonts w:ascii="Arial" w:cs="Arial" w:eastAsia="Arial" w:hAnsi="Arial"/>
                <w:sz w:val="29"/>
                <w:szCs w:val="29"/>
                <w:color w:val="auto"/>
                <w:vertAlign w:val="superscript"/>
              </w:rPr>
              <w:t>(2)</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1,529,720</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2,809,517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9"/>
              </w:rPr>
              <w:t>3,400,270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4"/>
              </w:rPr>
              <w:t>3,889,047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3,772,566</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Vessels under construction</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120,295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142,776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178,405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96,356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166,655</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222,004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214,329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1,816,679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3,269,971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4,039,621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4,515,164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4,634,891</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100,320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116,431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636,987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147,448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179,367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Borrowings, non-current portion</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1,014,754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1,778,845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1,737,500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2,504,578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2,368,189</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5,946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liability, non-current portion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214,455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207,126</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Share capital</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810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attributable to owners of the Group</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639,533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929,391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9"/>
              </w:rPr>
              <w:t>1,001,674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945,643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918,029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323,646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506,246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564,039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845,105</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equity</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639,533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1,253,037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9"/>
              </w:rPr>
              <w:t>1,507,920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4"/>
              </w:rPr>
              <w:t>1,509,682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1,763,134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844"/>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gridSpan w:val="17"/>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(in thousands of U.S. dollars)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CASH FLOW DATA</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86,745</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148,288</w:t>
            </w:r>
          </w:p>
        </w:tc>
        <w:tc>
          <w:tcPr>
            <w:tcW w:w="60" w:type="dxa"/>
            <w:vAlign w:val="bottom"/>
          </w:tcPr>
          <w:p>
            <w:pPr>
              <w:spacing w:after="0"/>
              <w:rPr>
                <w:sz w:val="18"/>
                <w:szCs w:val="18"/>
                <w:color w:val="auto"/>
              </w:rPr>
            </w:pP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  161,579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  256,532</w:t>
            </w:r>
          </w:p>
        </w:tc>
        <w:tc>
          <w:tcPr>
            <w:tcW w:w="2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  223,630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(935,516)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7"/>
              </w:rPr>
              <w:t>(1,386,656)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(704,052)</w:t>
            </w:r>
          </w:p>
        </w:tc>
        <w:tc>
          <w:tcPr>
            <w:tcW w:w="1080" w:type="dxa"/>
            <w:vAlign w:val="bottom"/>
            <w:gridSpan w:val="8"/>
            <w:shd w:val="clear" w:color="auto" w:fill="CCEEFF"/>
          </w:tcPr>
          <w:p>
            <w:pPr>
              <w:jc w:val="right"/>
              <w:ind w:right="15"/>
              <w:spacing w:after="0"/>
              <w:rPr>
                <w:sz w:val="20"/>
                <w:szCs w:val="20"/>
                <w:color w:val="auto"/>
              </w:rPr>
            </w:pPr>
            <w:r>
              <w:rPr>
                <w:rFonts w:ascii="Arial" w:cs="Arial" w:eastAsia="Arial" w:hAnsi="Arial"/>
                <w:sz w:val="18"/>
                <w:szCs w:val="18"/>
                <w:color w:val="auto"/>
              </w:rPr>
              <w:t>(771,242)</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(74,599)</w:t>
            </w:r>
          </w:p>
        </w:tc>
        <w:tc>
          <w:tcPr>
            <w:tcW w:w="1140" w:type="dxa"/>
            <w:vAlign w:val="bottom"/>
            <w:tcBorders>
              <w:left w:val="single" w:sz="8" w:color="CCEEFF"/>
            </w:tcBorders>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840,481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1,346,762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634,317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439,766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844"/>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4"/>
          </w:tcPr>
          <w:p>
            <w:pPr>
              <w:ind w:left="18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2015</w:t>
            </w:r>
          </w:p>
        </w:tc>
        <w:tc>
          <w:tcPr>
            <w:tcW w:w="40" w:type="dxa"/>
            <w:vAlign w:val="bottom"/>
          </w:tcPr>
          <w:p>
            <w:pPr>
              <w:spacing w:after="0"/>
              <w:rPr>
                <w:sz w:val="12"/>
                <w:szCs w:val="12"/>
                <w:color w:val="auto"/>
              </w:rPr>
            </w:pPr>
          </w:p>
        </w:tc>
        <w:tc>
          <w:tcPr>
            <w:tcW w:w="6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6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50"/>
        </w:trPr>
        <w:tc>
          <w:tcPr>
            <w:tcW w:w="1160" w:type="dxa"/>
            <w:vAlign w:val="bottom"/>
          </w:tcPr>
          <w:p>
            <w:pPr>
              <w:spacing w:after="0"/>
              <w:rPr>
                <w:sz w:val="21"/>
                <w:szCs w:val="21"/>
                <w:color w:val="auto"/>
              </w:rPr>
            </w:pPr>
          </w:p>
        </w:tc>
        <w:tc>
          <w:tcPr>
            <w:tcW w:w="37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FLEET DATA</w:t>
            </w:r>
            <w:r>
              <w:rPr>
                <w:rFonts w:ascii="Arial" w:cs="Arial" w:eastAsia="Arial" w:hAnsi="Arial"/>
                <w:sz w:val="28"/>
                <w:szCs w:val="28"/>
                <w:b w:val="1"/>
                <w:bCs w:val="1"/>
                <w:color w:val="auto"/>
                <w:vertAlign w:val="superscript"/>
              </w:rPr>
              <w:t>(3)</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Number of managed ships at end of period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5"/>
          </w:tcPr>
          <w:p>
            <w:pPr>
              <w:jc w:val="right"/>
              <w:ind w:right="20"/>
              <w:spacing w:after="0"/>
              <w:rPr>
                <w:sz w:val="20"/>
                <w:szCs w:val="20"/>
                <w:color w:val="auto"/>
              </w:rPr>
            </w:pPr>
            <w:r>
              <w:rPr>
                <w:rFonts w:ascii="Arial" w:cs="Arial" w:eastAsia="Arial" w:hAnsi="Arial"/>
                <w:sz w:val="18"/>
                <w:szCs w:val="18"/>
                <w:color w:val="auto"/>
              </w:rPr>
              <w:t>20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4"/>
              </w:rPr>
              <w:t>Average number of managed ships during period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Number of owned ships at end of period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9"/>
              </w:rPr>
              <w:t>Average number of owned ships during period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Average age of owned ships (years)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5"/>
          </w:tcPr>
          <w:p>
            <w:pPr>
              <w:jc w:val="right"/>
              <w:ind w:right="20"/>
              <w:spacing w:after="0"/>
              <w:rPr>
                <w:sz w:val="20"/>
                <w:szCs w:val="20"/>
                <w:color w:val="auto"/>
              </w:rPr>
            </w:pPr>
            <w:r>
              <w:rPr>
                <w:rFonts w:ascii="Arial" w:cs="Arial" w:eastAsia="Arial" w:hAnsi="Arial"/>
                <w:sz w:val="18"/>
                <w:szCs w:val="18"/>
                <w:color w:val="auto"/>
              </w:rPr>
              <w:t>1.7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auto"/>
              </w:rPr>
              <w:t>5.1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calendar days for owned and bareboat fleet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3"/>
              </w:rPr>
              <w:t>1,832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6,638</w:t>
            </w:r>
          </w:p>
        </w:tc>
        <w:tc>
          <w:tcPr>
            <w:tcW w:w="4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7,568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382"/>
        </w:trPr>
        <w:tc>
          <w:tcPr>
            <w:tcW w:w="116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87"/>
              </w:rPr>
              <w:t>Total operating days for owned and bareboat fleet</w:t>
            </w:r>
            <w:r>
              <w:rPr>
                <w:rFonts w:ascii="Arial" w:cs="Arial" w:eastAsia="Arial" w:hAnsi="Arial"/>
                <w:sz w:val="29"/>
                <w:szCs w:val="29"/>
                <w:color w:val="auto"/>
                <w:w w:val="87"/>
                <w:vertAlign w:val="superscript"/>
              </w:rPr>
              <w:t>(4)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1,808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4,392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6,097</w:t>
            </w:r>
          </w:p>
        </w:tc>
        <w:tc>
          <w:tcPr>
            <w:tcW w:w="40" w:type="dxa"/>
            <w:vAlign w:val="bottom"/>
          </w:tcPr>
          <w:p>
            <w:pPr>
              <w:spacing w:after="0"/>
              <w:rPr>
                <w:sz w:val="24"/>
                <w:szCs w:val="24"/>
                <w:color w:val="auto"/>
              </w:rPr>
            </w:pP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auto"/>
              </w:rPr>
              <w:t>7,439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8,317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5"/>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left="240"/>
              <w:spacing w:after="0"/>
              <w:rPr>
                <w:sz w:val="20"/>
                <w:szCs w:val="20"/>
                <w:color w:val="auto"/>
              </w:rPr>
            </w:pPr>
            <w:r>
              <w:rPr>
                <w:rFonts w:ascii="Arial" w:cs="Arial" w:eastAsia="Arial" w:hAnsi="Arial"/>
                <w:sz w:val="14"/>
                <w:szCs w:val="14"/>
                <w:b w:val="1"/>
                <w:bCs w:val="1"/>
                <w:color w:val="auto"/>
                <w:w w:val="87"/>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5"/>
          </w:tcPr>
          <w:p>
            <w:pPr>
              <w:jc w:val="center"/>
              <w:ind w:left="22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102,193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217,552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262,170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301,023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355,902</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101,617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262,969</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302,386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356,048</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fixed assets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1,038,153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1,364,283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728,446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761,513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Common share dividend declared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45,078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45,101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45,144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 dividend declared</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80" w:hanging="531"/>
        <w:spacing w:after="0" w:line="270" w:lineRule="auto"/>
        <w:tabs>
          <w:tab w:leader="none" w:pos="1680" w:val="left"/>
        </w:tabs>
        <w:numPr>
          <w:ilvl w:val="0"/>
          <w:numId w:val="9"/>
        </w:numPr>
        <w:rPr>
          <w:rFonts w:ascii="Arial" w:cs="Arial" w:eastAsia="Arial" w:hAnsi="Arial"/>
          <w:sz w:val="10"/>
          <w:szCs w:val="10"/>
          <w:color w:val="auto"/>
        </w:rPr>
      </w:pPr>
      <w:r>
        <w:rPr>
          <w:rFonts w:ascii="Arial" w:cs="Arial" w:eastAsia="Arial" w:hAnsi="Arial"/>
          <w:sz w:val="12"/>
          <w:szCs w:val="12"/>
          <w:color w:val="auto"/>
        </w:rPr>
        <w:t>Consists of our 25.0% ownership interest in Egypt LNG, our 33.33% ownership interest in the Cool Pool and our investment in Gastrade. On October 1, 2015, GasLog, Dynagas and Golar signed an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 Gastrade is a private limited company licensed to develop an independent natural gas system offshore Alexandroupolis in Northern Greece utilizing a floating storage and regasification unit ("FSRU") along with other fixed infrastructure.</w:t>
      </w:r>
    </w:p>
    <w:p>
      <w:pPr>
        <w:spacing w:after="0" w:line="94" w:lineRule="exact"/>
        <w:rPr>
          <w:rFonts w:ascii="Arial" w:cs="Arial" w:eastAsia="Arial" w:hAnsi="Arial"/>
          <w:sz w:val="10"/>
          <w:szCs w:val="10"/>
          <w:color w:val="auto"/>
        </w:rPr>
      </w:pPr>
    </w:p>
    <w:p>
      <w:pPr>
        <w:ind w:left="1680" w:right="220" w:hanging="531"/>
        <w:spacing w:after="0" w:line="239" w:lineRule="auto"/>
        <w:tabs>
          <w:tab w:leader="none" w:pos="1680" w:val="left"/>
        </w:tabs>
        <w:numPr>
          <w:ilvl w:val="0"/>
          <w:numId w:val="9"/>
        </w:numPr>
        <w:rPr>
          <w:rFonts w:ascii="Arial" w:cs="Arial" w:eastAsia="Arial" w:hAnsi="Arial"/>
          <w:sz w:val="11"/>
          <w:szCs w:val="11"/>
          <w:color w:val="auto"/>
        </w:rPr>
      </w:pPr>
      <w:r>
        <w:rPr>
          <w:rFonts w:ascii="Arial" w:cs="Arial" w:eastAsia="Arial" w:hAnsi="Arial"/>
          <w:sz w:val="14"/>
          <w:szCs w:val="14"/>
          <w:color w:val="auto"/>
        </w:rPr>
        <w:t>Includes delivered ships (including dry-docking component of vessel cost) as well as office property and other tangible assets, less accumulated depreciation. See Note 6 to our consolidated financial statements included elsewhere in this annual report.</w:t>
      </w:r>
    </w:p>
    <w:p>
      <w:pPr>
        <w:spacing w:after="0" w:line="111" w:lineRule="exact"/>
        <w:rPr>
          <w:rFonts w:ascii="Arial" w:cs="Arial" w:eastAsia="Arial" w:hAnsi="Arial"/>
          <w:sz w:val="11"/>
          <w:szCs w:val="11"/>
          <w:color w:val="auto"/>
        </w:rPr>
      </w:pPr>
    </w:p>
    <w:p>
      <w:pPr>
        <w:ind w:left="1680" w:hanging="531"/>
        <w:spacing w:after="0" w:line="288" w:lineRule="auto"/>
        <w:tabs>
          <w:tab w:leader="none" w:pos="1680" w:val="left"/>
        </w:tabs>
        <w:numPr>
          <w:ilvl w:val="0"/>
          <w:numId w:val="9"/>
        </w:numPr>
        <w:rPr>
          <w:rFonts w:ascii="Arial" w:cs="Arial" w:eastAsia="Arial" w:hAnsi="Arial"/>
          <w:sz w:val="10"/>
          <w:szCs w:val="10"/>
          <w:color w:val="auto"/>
        </w:rPr>
      </w:pPr>
      <w:r>
        <w:rPr>
          <w:rFonts w:ascii="Arial" w:cs="Arial" w:eastAsia="Arial" w:hAnsi="Arial"/>
          <w:sz w:val="12"/>
          <w:szCs w:val="12"/>
          <w:color w:val="auto"/>
        </w:rPr>
        <w:t>Presentation of fleet data does not include newbuildings on order during the relevant periods. The data presented regarding our owned fleet includes only our owned ships delivered prior to December 31, 2017 including the ships owned by GasLog Partners. The data presented regarding our managed fleet includes our wholly owned vessels as well as ships owned by GasLog Partners, Egypt LNG and Lepta Shipping that are or were operating under our management.</w:t>
      </w:r>
    </w:p>
    <w:p>
      <w:pPr>
        <w:spacing w:after="0" w:line="83" w:lineRule="exact"/>
        <w:rPr>
          <w:rFonts w:ascii="Arial" w:cs="Arial" w:eastAsia="Arial" w:hAnsi="Arial"/>
          <w:sz w:val="10"/>
          <w:szCs w:val="10"/>
          <w:color w:val="auto"/>
        </w:rPr>
      </w:pPr>
    </w:p>
    <w:p>
      <w:pPr>
        <w:ind w:left="1680" w:hanging="531"/>
        <w:spacing w:after="0" w:line="273" w:lineRule="auto"/>
        <w:tabs>
          <w:tab w:leader="none" w:pos="1680" w:val="left"/>
        </w:tabs>
        <w:numPr>
          <w:ilvl w:val="0"/>
          <w:numId w:val="9"/>
        </w:numPr>
        <w:rPr>
          <w:rFonts w:ascii="Arial" w:cs="Arial" w:eastAsia="Arial" w:hAnsi="Arial"/>
          <w:sz w:val="10"/>
          <w:szCs w:val="10"/>
          <w:color w:val="auto"/>
        </w:rPr>
      </w:pPr>
      <w:r>
        <w:rPr>
          <w:rFonts w:ascii="Arial" w:cs="Arial" w:eastAsia="Arial" w:hAnsi="Arial"/>
          <w:sz w:val="12"/>
          <w:szCs w:val="12"/>
          <w:color w:val="auto"/>
        </w:rPr>
        <w:t xml:space="preserve">The operating days for our owned and bareboat fleet are the total number of days in a given period that the vessels (including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our vessel on a bareboat charter) were in our possession less the total number of days off-hire not recoverable from the insurers. In 2017, operating days include 1,768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79" w:lineRule="exact"/>
        <w:rPr>
          <w:rFonts w:ascii="Arial" w:cs="Arial" w:eastAsia="Arial" w:hAnsi="Arial"/>
          <w:sz w:val="10"/>
          <w:szCs w:val="10"/>
          <w:color w:val="auto"/>
        </w:rPr>
      </w:pPr>
    </w:p>
    <w:p>
      <w:pPr>
        <w:ind w:left="1680" w:hanging="531"/>
        <w:spacing w:after="0"/>
        <w:tabs>
          <w:tab w:leader="none" w:pos="16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680" w:right="40"/>
        <w:spacing w:after="0" w:line="266" w:lineRule="auto"/>
        <w:rPr>
          <w:rFonts w:ascii="Arial" w:cs="Arial" w:eastAsia="Arial" w:hAnsi="Arial"/>
          <w:sz w:val="22"/>
          <w:szCs w:val="22"/>
          <w:color w:val="auto"/>
          <w:vertAlign w:val="superscript"/>
        </w:rPr>
      </w:pPr>
      <w:r>
        <w:rPr>
          <w:rFonts w:ascii="Arial" w:cs="Arial" w:eastAsia="Arial" w:hAnsi="Arial"/>
          <w:sz w:val="12"/>
          <w:szCs w:val="12"/>
          <w:color w:val="auto"/>
        </w:rPr>
        <w:t>EBITDA is defined as earnings before depreciation, amortization, financial income and costs, gain/loss on swaps and taxes. Adjusted EBITDA is defined as EBITDA before foreign exchange gains/losses. EBITDA and Adjusted EBITDA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and Adjusted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financial costs, gain/loss on swaps, taxes, depreciation and amortization, and, in the case of Adjusted EBITDA, foreign exchange gains/losses, which items are affected by various and possibly changing financing methods, capital structure and historical cost basis and which items may significantly affect results of operations between periods.</w:t>
      </w:r>
    </w:p>
    <w:p>
      <w:pPr>
        <w:spacing w:after="0" w:line="330" w:lineRule="exact"/>
        <w:rPr>
          <w:sz w:val="20"/>
          <w:szCs w:val="20"/>
          <w:color w:val="auto"/>
        </w:rPr>
      </w:pPr>
    </w:p>
    <w:p>
      <w:pPr>
        <w:ind w:left="1680" w:right="20"/>
        <w:spacing w:after="0" w:line="270" w:lineRule="auto"/>
        <w:rPr>
          <w:sz w:val="20"/>
          <w:szCs w:val="20"/>
          <w:color w:val="auto"/>
        </w:rPr>
      </w:pPr>
      <w:r>
        <w:rPr>
          <w:rFonts w:ascii="Arial" w:cs="Arial" w:eastAsia="Arial" w:hAnsi="Arial"/>
          <w:sz w:val="12"/>
          <w:szCs w:val="12"/>
          <w:color w:val="auto"/>
        </w:rPr>
        <w:t>EBITDA and Adjusted EBITDA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and Adjusted EBITDA are not adjusted for all non-cash income or expense items that are reflected in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statements of cash flows and other companies in our industry may calculate these measures differently than we do, limiting their usefulness as a comparative measure.</w:t>
      </w:r>
    </w:p>
    <w:p>
      <w:pPr>
        <w:spacing w:after="0" w:line="227" w:lineRule="exact"/>
        <w:rPr>
          <w:sz w:val="20"/>
          <w:szCs w:val="20"/>
          <w:color w:val="auto"/>
        </w:rPr>
      </w:pPr>
    </w:p>
    <w:p>
      <w:pPr>
        <w:ind w:left="1680" w:right="60"/>
        <w:spacing w:after="0" w:line="288" w:lineRule="auto"/>
        <w:rPr>
          <w:sz w:val="20"/>
          <w:szCs w:val="20"/>
          <w:color w:val="auto"/>
        </w:rPr>
      </w:pPr>
      <w:r>
        <w:rPr>
          <w:rFonts w:ascii="Arial" w:cs="Arial" w:eastAsia="Arial" w:hAnsi="Arial"/>
          <w:sz w:val="12"/>
          <w:szCs w:val="12"/>
          <w:color w:val="auto"/>
        </w:rPr>
        <w:t>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4120" w:type="dxa"/>
            <w:vAlign w:val="bottom"/>
          </w:tcPr>
          <w:p>
            <w:pPr>
              <w:ind w:left="300"/>
              <w:spacing w:after="0"/>
              <w:rPr>
                <w:sz w:val="20"/>
                <w:szCs w:val="20"/>
                <w:color w:val="auto"/>
              </w:rPr>
            </w:pPr>
            <w:r>
              <w:rPr>
                <w:rFonts w:ascii="Arial" w:cs="Arial" w:eastAsia="Arial" w:hAnsi="Arial"/>
                <w:sz w:val="14"/>
                <w:szCs w:val="14"/>
                <w:b w:val="1"/>
                <w:bCs w:val="1"/>
                <w:color w:val="auto"/>
              </w:rPr>
              <w:t>Reconciliation of EBITDA and Adjusted EBITDA to Profit: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10"/>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 for the year</w:t>
            </w:r>
          </w:p>
        </w:tc>
        <w:tc>
          <w:tcPr>
            <w:tcW w:w="5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56,929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50,765</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53,668</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28,051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84,209</w:t>
            </w:r>
          </w:p>
        </w:tc>
        <w:tc>
          <w:tcPr>
            <w:tcW w:w="160" w:type="dxa"/>
            <w:vAlign w:val="bottom"/>
            <w:shd w:val="clear" w:color="auto" w:fill="CCEEFF"/>
          </w:tcPr>
          <w:p>
            <w:pPr>
              <w:spacing w:after="0"/>
              <w:rPr>
                <w:sz w:val="12"/>
                <w:szCs w:val="12"/>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29,322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70,695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106,641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122,957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137,187</w:t>
            </w:r>
          </w:p>
        </w:tc>
        <w:tc>
          <w:tcPr>
            <w:tcW w:w="16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137,316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139,181</w:t>
            </w:r>
          </w:p>
        </w:tc>
        <w:tc>
          <w:tcPr>
            <w:tcW w:w="160" w:type="dxa"/>
            <w:vAlign w:val="bottom"/>
            <w:shd w:val="clear" w:color="auto" w:fill="CCEEFF"/>
          </w:tcPr>
          <w:p>
            <w:pPr>
              <w:spacing w:after="0"/>
              <w:rPr>
                <w:sz w:val="12"/>
                <w:szCs w:val="12"/>
                <w:color w:val="auto"/>
              </w:rPr>
            </w:pPr>
          </w:p>
        </w:tc>
      </w:tr>
      <w:tr>
        <w:trPr>
          <w:trHeight w:val="149"/>
        </w:trPr>
        <w:tc>
          <w:tcPr>
            <w:tcW w:w="412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(2,650)</w:t>
            </w: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(Gain)/loss on swaps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(2,025)</w:t>
            </w: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4"/>
                <w:szCs w:val="14"/>
                <w:b w:val="1"/>
                <w:bCs w:val="1"/>
                <w:color w:val="auto"/>
              </w:rPr>
              <w:t>EBITDA</w:t>
            </w: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102,193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217,552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262,170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301,023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355,902</w:t>
            </w:r>
          </w:p>
        </w:tc>
        <w:tc>
          <w:tcPr>
            <w:tcW w:w="160" w:type="dxa"/>
            <w:vAlign w:val="bottom"/>
          </w:tcPr>
          <w:p>
            <w:pPr>
              <w:spacing w:after="0"/>
              <w:rPr>
                <w:sz w:val="12"/>
                <w:szCs w:val="12"/>
                <w:color w:val="auto"/>
              </w:rPr>
            </w:pPr>
          </w:p>
        </w:tc>
      </w:tr>
      <w:tr>
        <w:trPr>
          <w:trHeight w:val="149"/>
        </w:trPr>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(gains)/losses, net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spacing w:after="0"/>
              <w:rPr>
                <w:sz w:val="12"/>
                <w:szCs w:val="12"/>
                <w:color w:val="auto"/>
              </w:rPr>
            </w:pPr>
          </w:p>
        </w:tc>
      </w:tr>
      <w:tr>
        <w:trPr>
          <w:trHeight w:val="168"/>
        </w:trPr>
        <w:tc>
          <w:tcPr>
            <w:tcW w:w="41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38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101,617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217,172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262,969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302,386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356,048</w:t>
            </w:r>
          </w:p>
        </w:tc>
        <w:tc>
          <w:tcPr>
            <w:tcW w:w="160" w:type="dxa"/>
            <w:vAlign w:val="bottom"/>
          </w:tcPr>
          <w:p>
            <w:pPr>
              <w:spacing w:after="0"/>
              <w:rPr>
                <w:sz w:val="14"/>
                <w:szCs w:val="14"/>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2017:</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information should be read in conjunction with "Item 5. Operating and Financial Review and Prospects", and our consolidated financial statements and the related notes thereto included elsewhere in this annual report.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9"/>
              </w:rPr>
              <w:t>As of</w:t>
            </w:r>
          </w:p>
        </w:tc>
      </w:tr>
      <w:tr>
        <w:trPr>
          <w:trHeight w:val="161"/>
        </w:trPr>
        <w:tc>
          <w:tcPr>
            <w:tcW w:w="2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 2017</w:t>
            </w:r>
          </w:p>
        </w:tc>
      </w:tr>
      <w:tr>
        <w:trPr>
          <w:trHeight w:val="129"/>
        </w:trPr>
        <w:tc>
          <w:tcPr>
            <w:tcW w:w="21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4"/>
              </w:rPr>
              <w:t>(in thousands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U.S. dollars)</w:t>
            </w:r>
          </w:p>
        </w:tc>
      </w:tr>
      <w:tr>
        <w:trPr>
          <w:trHeight w:val="257"/>
        </w:trPr>
        <w:tc>
          <w:tcPr>
            <w:tcW w:w="6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57"/>
        </w:trPr>
        <w:tc>
          <w:tcPr>
            <w:tcW w:w="6540" w:type="dxa"/>
            <w:vAlign w:val="bottom"/>
            <w:gridSpan w:val="2"/>
          </w:tcPr>
          <w:p>
            <w:pPr>
              <w:spacing w:after="0" w:line="256" w:lineRule="exact"/>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179,367</w:t>
            </w:r>
          </w:p>
        </w:tc>
        <w:tc>
          <w:tcPr>
            <w:tcW w:w="140" w:type="dxa"/>
            <w:vAlign w:val="bottom"/>
          </w:tcPr>
          <w:p>
            <w:pPr>
              <w:spacing w:after="0"/>
              <w:rPr>
                <w:sz w:val="22"/>
                <w:szCs w:val="22"/>
                <w:color w:val="auto"/>
              </w:rPr>
            </w:pPr>
          </w:p>
        </w:tc>
      </w:tr>
      <w:tr>
        <w:trPr>
          <w:trHeight w:val="257"/>
        </w:trPr>
        <w:tc>
          <w:tcPr>
            <w:tcW w:w="6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Borrowings, non-current portion</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2,368,189</w:t>
            </w:r>
          </w:p>
        </w:tc>
        <w:tc>
          <w:tcPr>
            <w:tcW w:w="140" w:type="dxa"/>
            <w:vAlign w:val="bottom"/>
            <w:shd w:val="clear" w:color="auto" w:fill="CCEEFF"/>
          </w:tcPr>
          <w:p>
            <w:pPr>
              <w:spacing w:after="0"/>
              <w:rPr>
                <w:sz w:val="22"/>
                <w:szCs w:val="22"/>
                <w:color w:val="auto"/>
              </w:rPr>
            </w:pPr>
          </w:p>
        </w:tc>
      </w:tr>
      <w:tr>
        <w:trPr>
          <w:trHeight w:val="257"/>
        </w:trPr>
        <w:tc>
          <w:tcPr>
            <w:tcW w:w="6540" w:type="dxa"/>
            <w:vAlign w:val="bottom"/>
            <w:gridSpan w:val="2"/>
          </w:tcPr>
          <w:p>
            <w:pPr>
              <w:spacing w:after="0" w:line="256" w:lineRule="exact"/>
              <w:rPr>
                <w:sz w:val="20"/>
                <w:szCs w:val="20"/>
                <w:color w:val="auto"/>
              </w:rPr>
            </w:pPr>
            <w:r>
              <w:rPr>
                <w:rFonts w:ascii="Arial" w:cs="Arial" w:eastAsia="Arial" w:hAnsi="Arial"/>
                <w:sz w:val="18"/>
                <w:szCs w:val="18"/>
                <w:color w:val="auto"/>
              </w:rPr>
              <w:t>Finance lease liability, current portion</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6,302</w:t>
            </w:r>
          </w:p>
        </w:tc>
        <w:tc>
          <w:tcPr>
            <w:tcW w:w="140" w:type="dxa"/>
            <w:vAlign w:val="bottom"/>
          </w:tcPr>
          <w:p>
            <w:pPr>
              <w:spacing w:after="0"/>
              <w:rPr>
                <w:sz w:val="22"/>
                <w:szCs w:val="22"/>
                <w:color w:val="auto"/>
              </w:rPr>
            </w:pPr>
          </w:p>
        </w:tc>
      </w:tr>
      <w:tr>
        <w:trPr>
          <w:trHeight w:val="257"/>
        </w:trPr>
        <w:tc>
          <w:tcPr>
            <w:tcW w:w="6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Finance lease liability, non-current portion</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207,126</w:t>
            </w:r>
          </w:p>
        </w:tc>
        <w:tc>
          <w:tcPr>
            <w:tcW w:w="140" w:type="dxa"/>
            <w:vAlign w:val="bottom"/>
            <w:shd w:val="clear" w:color="auto" w:fill="CCEEFF"/>
          </w:tcPr>
          <w:p>
            <w:pPr>
              <w:spacing w:after="0"/>
              <w:rPr>
                <w:sz w:val="22"/>
                <w:szCs w:val="22"/>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2,760,984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7"/>
        </w:trPr>
        <w:tc>
          <w:tcPr>
            <w:tcW w:w="6540" w:type="dxa"/>
            <w:vAlign w:val="bottom"/>
            <w:gridSpan w:val="2"/>
          </w:tcPr>
          <w:p>
            <w:pPr>
              <w:spacing w:after="0" w:line="256" w:lineRule="exact"/>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2"/>
                <w:szCs w:val="22"/>
                <w:color w:val="auto"/>
              </w:rPr>
            </w:pPr>
          </w:p>
        </w:tc>
      </w:tr>
      <w:tr>
        <w:trPr>
          <w:trHeight w:val="257"/>
        </w:trPr>
        <w:tc>
          <w:tcPr>
            <w:tcW w:w="6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22"/>
                <w:szCs w:val="22"/>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Contributed surplus</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911,766</w:t>
            </w:r>
          </w:p>
        </w:tc>
        <w:tc>
          <w:tcPr>
            <w:tcW w:w="14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18,347</w:t>
            </w:r>
          </w:p>
        </w:tc>
        <w:tc>
          <w:tcPr>
            <w:tcW w:w="140" w:type="dxa"/>
            <w:vAlign w:val="bottom"/>
            <w:shd w:val="clear" w:color="auto" w:fill="CCEEFF"/>
          </w:tcPr>
          <w:p>
            <w:pPr>
              <w:spacing w:after="0"/>
              <w:rPr>
                <w:sz w:val="18"/>
                <w:szCs w:val="18"/>
                <w:color w:val="auto"/>
              </w:rPr>
            </w:pPr>
          </w:p>
        </w:tc>
      </w:tr>
      <w:tr>
        <w:trPr>
          <w:trHeight w:val="257"/>
        </w:trPr>
        <w:tc>
          <w:tcPr>
            <w:tcW w:w="6540" w:type="dxa"/>
            <w:vAlign w:val="bottom"/>
            <w:gridSpan w:val="2"/>
          </w:tcPr>
          <w:p>
            <w:pPr>
              <w:spacing w:after="0" w:line="256" w:lineRule="exact"/>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(6,960)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(5,980)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1,763,134</w:t>
            </w:r>
          </w:p>
        </w:tc>
        <w:tc>
          <w:tcPr>
            <w:tcW w:w="140" w:type="dxa"/>
            <w:vAlign w:val="bottom"/>
            <w:shd w:val="clear" w:color="auto" w:fill="CCEEFF"/>
          </w:tcPr>
          <w:p>
            <w:pPr>
              <w:spacing w:after="0"/>
              <w:rPr>
                <w:sz w:val="18"/>
                <w:szCs w:val="18"/>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4,524,118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line="230" w:lineRule="auto"/>
        <w:tabs>
          <w:tab w:leader="none" w:pos="2260" w:val="left"/>
        </w:tabs>
        <w:numPr>
          <w:ilvl w:val="0"/>
          <w:numId w:val="10"/>
        </w:numPr>
        <w:rPr>
          <w:rFonts w:ascii="Arial" w:cs="Arial" w:eastAsia="Arial" w:hAnsi="Arial"/>
          <w:sz w:val="11"/>
          <w:szCs w:val="11"/>
          <w:color w:val="auto"/>
        </w:rPr>
      </w:pPr>
      <w:r>
        <w:rPr>
          <w:rFonts w:ascii="Arial" w:cs="Arial" w:eastAsia="Arial" w:hAnsi="Arial"/>
          <w:sz w:val="14"/>
          <w:szCs w:val="14"/>
          <w:color w:val="auto"/>
        </w:rPr>
        <w:t>Our indebtedness, other than under our NOK denominated bonds issued under the agreement signed on June 22, 2016, between GasLog and the bond trustee, as amended (the "NOK 2021 Bonds"), and the 8.875% senior unsecured notes due in 2022 and issued in March 2017 (the "8.875% Senior Notes"), is secured by mortgages on our owned ships and is guaranteed by the Company or a combination of the Company and GasLog Partners, in the case of the Partnership's indebtedness. The NOK 2021 Bonds and the 8.875% Senior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2260" w:right="200"/>
        <w:spacing w:after="0" w:line="288" w:lineRule="auto"/>
        <w:rPr>
          <w:sz w:val="20"/>
          <w:szCs w:val="20"/>
          <w:color w:val="auto"/>
        </w:rPr>
      </w:pPr>
      <w:r>
        <w:rPr>
          <w:rFonts w:ascii="Arial" w:cs="Arial" w:eastAsia="Arial" w:hAnsi="Arial"/>
          <w:sz w:val="12"/>
          <w:szCs w:val="12"/>
          <w:color w:val="auto"/>
        </w:rPr>
        <w:t>Notes (the carrying amount of which, net of unamortized financing costs as of December 31, 2017, are $89.7 million and $245.9 million, respectively) are unsecured. Borrowings presented do not include our scheduled debt payments and our prepayments since December 31, 2017 totaling $72.5 million. See "Item 5. Operating and Financial Review and Prospects—B. Liquidity and Capital Resources—Credit Facilities" for more information about our credit facilities.</w:t>
      </w:r>
    </w:p>
    <w:p>
      <w:pPr>
        <w:spacing w:after="0" w:line="151" w:lineRule="exact"/>
        <w:rPr>
          <w:sz w:val="20"/>
          <w:szCs w:val="20"/>
          <w:color w:val="auto"/>
        </w:rPr>
      </w:pPr>
    </w:p>
    <w:p>
      <w:pPr>
        <w:ind w:left="2260" w:hanging="540"/>
        <w:spacing w:after="0"/>
        <w:tabs>
          <w:tab w:leader="none" w:pos="2260" w:val="left"/>
        </w:tabs>
        <w:numPr>
          <w:ilvl w:val="1"/>
          <w:numId w:val="11"/>
        </w:numPr>
        <w:rPr>
          <w:rFonts w:ascii="Arial" w:cs="Arial" w:eastAsia="Arial" w:hAnsi="Arial"/>
          <w:sz w:val="10"/>
          <w:szCs w:val="10"/>
          <w:color w:val="auto"/>
        </w:rPr>
      </w:pPr>
      <w:r>
        <w:rPr>
          <w:rFonts w:ascii="Arial" w:cs="Arial" w:eastAsia="Arial" w:hAnsi="Arial"/>
          <w:sz w:val="12"/>
          <w:szCs w:val="12"/>
          <w:color w:val="auto"/>
        </w:rPr>
        <w:t>Borrowings presented at December 31, 2017, are shown net of $40.4 million of loan issuance costs that are being amortized over the term of the respective borrowings.</w:t>
      </w:r>
    </w:p>
    <w:p>
      <w:pPr>
        <w:spacing w:after="0" w:line="145" w:lineRule="exact"/>
        <w:rPr>
          <w:rFonts w:ascii="Arial" w:cs="Arial" w:eastAsia="Arial" w:hAnsi="Arial"/>
          <w:sz w:val="10"/>
          <w:szCs w:val="10"/>
          <w:color w:val="auto"/>
        </w:rPr>
      </w:pPr>
    </w:p>
    <w:p>
      <w:pPr>
        <w:ind w:left="2260" w:right="20" w:hanging="540"/>
        <w:spacing w:after="0" w:line="318" w:lineRule="auto"/>
        <w:tabs>
          <w:tab w:leader="none" w:pos="2260" w:val="left"/>
        </w:tabs>
        <w:numPr>
          <w:ilvl w:val="1"/>
          <w:numId w:val="11"/>
        </w:numPr>
        <w:rPr>
          <w:rFonts w:ascii="Arial" w:cs="Arial" w:eastAsia="Arial" w:hAnsi="Arial"/>
          <w:sz w:val="10"/>
          <w:szCs w:val="10"/>
          <w:color w:val="auto"/>
        </w:rPr>
      </w:pPr>
      <w:r>
        <w:rPr>
          <w:rFonts w:ascii="Arial" w:cs="Arial" w:eastAsia="Arial" w:hAnsi="Arial"/>
          <w:sz w:val="12"/>
          <w:szCs w:val="12"/>
          <w:color w:val="auto"/>
        </w:rPr>
        <w:t>Does not include any shares that may be issued under the Company's 2013 Omnibus Incentive Compensation Plan. At December 31, 2017, our share capital consisted of 80,717,885 issued and outstanding common shares, 275,241 treasury shares issued and 4,600,000 Preference Shares issued and outstanding.</w:t>
      </w:r>
    </w:p>
    <w:p>
      <w:pPr>
        <w:spacing w:after="0" w:line="143" w:lineRule="exact"/>
        <w:rPr>
          <w:rFonts w:ascii="Arial" w:cs="Arial" w:eastAsia="Arial" w:hAnsi="Arial"/>
          <w:sz w:val="10"/>
          <w:szCs w:val="10"/>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to Our Business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As of February 26, 2018, our owned and bareboat fleet consists of 24 LNG carriers (including the 12 LNG carriers owned by GasLog Partners) and five newbuilds. The majority of our ships currently operate under multi-year charters with five ships operating in the spot market but the charters of a further six ships will terminate in 2018 and 2019. Any limitation in the availability/operation of our ships or an increase in the number of ships operating in the spot market or a reduction in demand for spot LNG carriers could have a negative impact on the level or volatility of charter rates in the LNG shipping spot market which could have a material adverse effect on our business, financial condition, results of operations and cash flows and could significantly reduce or eliminate our ability to pay dividends.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19 of our owned and bareboat vessels (including the 12 LNG Carriers owned by GasLog Partners) currently operate under multi-year charters. Four of our newbuilds will operate under multi-year charters following delivery from the shipyard, one of our newbuilds is uncommitted and five of our vessels are currently operating in the spot market. However, five Partnership vessels,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are due to come off charter in May 2018, July 2018, September 2018, October 2019 and December 2019, respectively, each plus or minus 30 days. In addition,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is due to come off charter in September 2019, plus or minus 30 days. GasLog Partners and GasLog continue to pursue opportunities for new multi-year charters with third parties for these vessels, but may have difficulty in securing new charters at attractive rates and durations. In the interim, we may have increased exposure to the volatile spot market which is highly competitive and subject to significant price fluctuations.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Failure to secure new multi-year charters could adversely affect our future liquidity, results of operations and cash flows, including cash available for dividends to shareholders, as well as our ability to meet certain of our debt covenants. A sustained decline in charter rates could also adversely affect the market value of our vessels, on which certain of the ratios and financial covenants with which we are required to comply are based. Vessel values may fluctuate substantially, which could result in an impairment charge, could impact our compliance with the covenants in our loan agreements and, if the values are lower at a time when we are attempting to dispose of vessels, could cause us to incur a loss.</w:t>
      </w:r>
    </w:p>
    <w:p>
      <w:pPr>
        <w:spacing w:after="0" w:line="17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any of our vessels is unable to generate revenues for any significant period of time for any reason, including unexpected periods of off-hire, early charter termination (which could result from damage to our vessels) or failure to secure employment for any vessels for which we have not secured charters, our business, financial condition, results of operations and cash flows, including cash available for dividends to our shareholders, could be materially and adversely affected. The impact of any limitation in the operation of our vessels or any early charter termination would be amplified during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period prior to delivery of our newbuildings, as a substantial portion of our cash flows and income are dependent on the revenues earned by the chartering of our 24 owned and bareboat LNG carriers in operation. In addition, the costs of vessel repairs are unpredictable and can be substantial. In the event of repair costs that are not covered by our insurance policies, we may have to pay for such repair costs, which would decrease our earnings and cash flows, including cash available for dividends to our shareholders. If the Partnership is unable to re-deploy a vessel, it will not receive any revenues from that vessel, and it would be required to pay expenses necessary to maintain the vessel in proper operating condition as well as service the debt attached to that vessel.</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future growth depends on our ability to expand relationships with existing customers, establish new customer relationships and obtain new time charter contracts for existing vessels and for additional newbuild LNG carriers and/or FSRUs, for which we will face substantial competition from established companies with significant resources, as well as potential new entrants.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One of our principal objectives is to enter into multi-year, fixed-rate charters for our open on-the-water vessels and for potential additional newbuild vessels. We are seeking to enter into time charter contracts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which currently operate in the spot market through the Cool Pool and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which will operate in the Cool Pool from September 2018. We will also seek to enter into new time charter contracts upon the expiration or early termination of our existing charter arrangements, including in respect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Jane Elizabeth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all of which are owned by GasLog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the </w:t>
      </w:r>
      <w:r>
        <w:rPr>
          <w:rFonts w:ascii="Arial" w:cs="Arial" w:eastAsia="Arial" w:hAnsi="Arial"/>
          <w:sz w:val="16"/>
          <w:szCs w:val="16"/>
          <w:i w:val="1"/>
          <w:iCs w:val="1"/>
          <w:color w:val="auto"/>
        </w:rPr>
        <w:t>GasLog Salem</w:t>
      </w:r>
      <w:r>
        <w:rPr>
          <w:rFonts w:ascii="Arial" w:cs="Arial" w:eastAsia="Arial" w:hAnsi="Arial"/>
          <w:sz w:val="16"/>
          <w:szCs w:val="16"/>
          <w:color w:val="auto"/>
        </w:rPr>
        <w:t>. In addition, we are seeking to enter into time charter contracts for the newbuild LNG carriers and for newbuild or converted FSRUs, including for Hull No. 2212. The process of obtaining long-term, fixed rate charters for LNG carriers is highly competitive and generally involves an intensive screening process by potential new customers and the submission of competitive bids, all of which can often extend for several months. We believe LNG carrier time charters are awarded based upon a variety of factors relating to the ship and the ship operator, including:</w:t>
      </w:r>
    </w:p>
    <w:p>
      <w:pPr>
        <w:spacing w:after="0" w:line="187"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efficiency of ship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LNG shipping experience and quality of ship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ships according to customer specifications;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expect substantial competition from a number of experienced companies. Competitors may include other independent ship owners, state-sponsored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have, and some have particular relationships that may provide them with competitive advantages. A number of marine transportation companies—including companies with strong reputations and extensive resources and experience—have entered the LNG transportation market in recent years and there are other ship owners and managers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which could have a material adverse effect on our business, financial condition, results of operations and cash flows, including cash available for dividends to our shareholders. We may not be successful in executing any future growth plans, and we may incur significant expenses and losses in connection with such growth efforts.</w:t>
      </w:r>
    </w:p>
    <w:p>
      <w:pPr>
        <w:spacing w:after="0" w:line="174"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If the short-term or spot LNG carrier charter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1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Most shipping requirements for new LNG projects continue to be provided on a multi-year basis, though the level of spot voyages and short-term time charters of less than 12 months in duration has grown in the past few years. If the short-term or spot charter market continues to expand, we may enter into short-term time charters upon expiration or early termination of our current charters. As a result, our revenues and cash flows may become more volatile. In addition, an active short-term or spot charter market may require us to enter into charters based on changing market prices, as opposed to contracts based on fixed rates, which could result in a decrease in our revenues and cash flows, including cash available for dividends to our shareholders, especially if we enter into charters during periods when charter rates are depressed.</w:t>
      </w:r>
    </w:p>
    <w:p>
      <w:pPr>
        <w:spacing w:after="0" w:line="198"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Further technological advancements and other innovations affecting LNG carriers could reduce the charter hire rates we are able to obtain when seeking new employment for existing or newbuild vessels and this could adversely impact the value of our assets and our results of operations and cash flows.</w:t>
      </w:r>
    </w:p>
    <w:p>
      <w:pPr>
        <w:spacing w:after="0" w:line="11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our shareholders.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performance and ability to secure future time charters depends on continued growth in LNG production and demand for LNG and LNG shipping.</w:t>
      </w:r>
    </w:p>
    <w:p>
      <w:pPr>
        <w:spacing w:after="0" w:line="26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future performance, including our ability to profitably expand our fleet, will depend on continued growth in LNG production and the demand for LNG and LNG shipping. A complete LNG project includes natural gas production, liquefaction, storage, regasification and distribution facilities, in addition to the marine transportation of LNG. Increased infrastructure investment has led to an expansion of LNG production capacity in recent years, but material delays in the construction or slower than expected ramp-up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6"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prices for crude oil, petroleum products and natural gas;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production levels of lower cost natural gas in domestic natural gas consuming markets, which could further depress prices for natural gas in those markets and make LNG uneconomical;</w:t>
      </w:r>
    </w:p>
    <w:p>
      <w:pPr>
        <w:spacing w:after="0" w:line="199"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or the extension of existing pipelines, or the development of new pipeline systems in markets we may serve;</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infrastructure constraints such as delays in the construction of liquefaction facilities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207"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interest rates or other events that may affect the availability of sufficient financing for LNG projects on commercially reasonable terms;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or political unrest or military conflicts affecting existing or proposed areas of LNG production, regasification or consumption;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regional, national or international energy policies that constrain the production or consumption of hydrocarbons including natural gas.</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recent years, global crude oil prices were very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continuation of the recent volatility in natural gas and oil prices may adversely affect our growth prospects, results of operations and cash flows.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Natural gas prices are volatile and are affected by numerous factors beyond our control, including but not limited to the following:</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availability of crude oil and petroleum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worldwide and regional demand for and price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exploration, development, production, transportation and distribution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expectations regarding future energy prices for both natural gas and other sources of energy, including renewable energy sources;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alternative energy sources, including coal and alternate sources of natural gas in gas importing and consuming countries.</w:t>
      </w:r>
    </w:p>
    <w:p>
      <w:pPr>
        <w:spacing w:after="0" w:line="186"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Given the significant global natural gas and crude oil price volatility referenced above, and with five Partnership vessels and one GasLog vessel currently scheduled to come off charter during 2018 and 2019, a continuation of volatility in natural gas or oil prices may adversely affect our future business, results of operations and financial condition and our ability to make cash distributions, as a result of, among other things:</w:t>
      </w:r>
    </w:p>
    <w:p>
      <w:pPr>
        <w:spacing w:after="0" w:line="174" w:lineRule="exact"/>
        <w:rPr>
          <w:sz w:val="20"/>
          <w:szCs w:val="20"/>
          <w:color w:val="auto"/>
        </w:rPr>
      </w:pPr>
    </w:p>
    <w:p>
      <w:pPr>
        <w:ind w:left="1080" w:right="2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high oil prices negatively affecting the competitiveness of natural gas to the extent that natural gas prices are linked to the price of crude oil;</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customers potentially seeking to renegotiate or terminate existing vessel contracts, or failing to extend or renew contracts upon expiration;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compliance with covenants in loan documentation.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An oversupply of LNG carriers may lead to a reduction in the charter hire rates we are able to obtain when seeking charters in the future which could adversely affect our results of operations and cash flows.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Driven in part by an increase in LNG production capacity, the market supply of LNG carriers has been increasing as a result of the construction of new ships. The development of liquefaction projects in the United States and the anticipation of exports beginning in early 2016 drove significant ordering activity. Whilst we saw a decline in ordering of newbuilds during 2017, as of December 31, 2017, the LNG carrier order book totaled 95 vessels and the delivered fleet stood at 428 vessels. This and any future expansion of the global LNG carrier fleet in excess of the demand for LNG shipping may have a negative impact on charter hire rates, ship utilization and ship values.</w:t>
      </w:r>
    </w:p>
    <w:p>
      <w:pPr>
        <w:spacing w:after="0" w:line="197"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If charter hire rates are lower when we are seeking new time charters, our revenues and cash flows, including cash available for dividends to our shareholders, may decline.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operating and managing ocean-going ships could affect our business and reputation.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operation and management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piracy;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cyber-attack;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business interruptions caused by mechanical failure, human error, war, terrorism, disease and quarantine, or political action in various countries;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accident involving any of our owned or managed ships could result in any of the following: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of these results could have a material adverse effect on our business, financial condition, results of operations and cash flows, including cash available for dividends to our shareholders.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operation of any ship includes risks such as mechanical failure, personal injury, collision, fire, contact with floating objects, property loss or damage, cargo loss or damage and business interruption</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due to a number of reasons, including political circumstances in foreign countries, hostilities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to shareholders.</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39"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b w:val="1"/>
          <w:bCs w:val="1"/>
          <w:i w:val="1"/>
          <w:iCs w:val="1"/>
          <w:color w:val="auto"/>
        </w:rPr>
        <w:t>The required dry-docking of our ships could be more expensive and time consuming than we anticipate. In 2018, three GasLog Partners vessels and one GasLog vessel are scheduled to be dry-docked. During the scheduled dry-docking, three of the four vessels will undertake additional work which is expected to enhance their operational performance. The dry-docking time for these three vessels will be longer than the usual time required for a normal dry-docking. Any overrun of the dry-docking or delay or cost overrun caused by the additional work to the vessels could have a material adverse effect on our business, results of operations and financial condition and could significantly reduce or eliminate our ability to pay dividends to our shareholders.</w:t>
      </w:r>
    </w:p>
    <w:p>
      <w:pPr>
        <w:spacing w:after="0" w:line="15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Dry-dockings of our owned and bareboat ships require significant expenditures and result in loss of revenue while our ships are off-hire during such period. Any significant increase in either the number of off-hire days due to such dry-dockings or in the costs of any repairs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or modifications during the dry-docking is greater than budgeted, our results of operations and our cash flows, including cash available for dividends to our shareholders, could be adversely affected. The dry-dockings of all of our vessels (other than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are expected to be carried out between 2018 and 2023.</w:t>
      </w:r>
    </w:p>
    <w:p>
      <w:pPr>
        <w:spacing w:after="0" w:line="172"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may experience operational problems with vessels that reduce revenue and increase costs. Any limitation in the availability or operation of our ships could have a material adverse effect on our business, financial condition, results of operations and cash flows.</w:t>
      </w:r>
    </w:p>
    <w:p>
      <w:pPr>
        <w:spacing w:after="0" w:line="139"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 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dividends to shareholders, could be materially and adversely affected. The impact of any limitation in the operation of our ships or any early charter termination would be amplified during the period prior to acquisition of additional vessels, as a substantial portion of our cash flows and income is dependent on the revenues earned by the chartering of our LNG carriers in operation. In addition, the costs of ship repairs are unpredictable and can be substantial. In the event of repair costs that are not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covered by our insurance policies, we may have to pay for such repair costs, which would decrease our earnings and cash flows. Any of these results could harm our business, financial condition, results of operations and ability to pay dividends to our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global and regional economic conditions could adversely impact our business, financial condition, results of operations and cash flows.</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Weak global or regional economic conditions may negatively impact our business, financial condition, results of operations and cash flows, including cash available for dividends to our shareholders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may negatively impact the demand for our ships and services and could also result in defaults under our current charters. Global financial markets and economic conditions have been volatile in recent years and remain subject to significant vulnerabilities. A tightening of the credit markets may further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to our shareholders.</w:t>
      </w:r>
    </w:p>
    <w:p>
      <w:pPr>
        <w:spacing w:after="0" w:line="18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GasLog LNG Services, our vessels' management company, and a substantial number of its staff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 to shore communications plan and funding mechanisms outside of Greece. While we believe these plans, combined with the international nature of our operations, will mitigate the impact of any disruption of operations in Greece, we cannot assure you that these plans will be effective in all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248"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dividends to our shareholders.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we may not be able to operate our vessels profitably which could have an adverse effect on our future performance, results of operations, cash flows and financial position.</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Customers, and in particular those in the LNG industry, have a high and increasing focus on quality and compliance standards with their suppliers across the entire value chain, including the shipping and transportation segment. Our continuous compliance with these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challenge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and financial position.</w:t>
      </w:r>
    </w:p>
    <w:p>
      <w:pPr>
        <w:spacing w:after="0" w:line="17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LNG shipping industry is subject to substantial environmental and other regulations, which may significantly limit our operations or increase our expenses.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third-party claims as a result of violations of, or liabilities under, such laws and regulations.</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Additional laws and regulations may be adopted that could limit our ability to do business or increase our operating costs, which could materially and adversely affect our business. For example, new or amended legislation relating to ship recycling, sewage systems, emission control (including emissions of greenhouse gases) as well as ballast water treatment and ballast water handling may be adopted. The United States has recently enacted ballast water management system legislation and regulations that require more stringent controls of air and water emissions from ocean-going ships. Such legislation or regulations may require additional capital expenditures or operating expenses (such as increased costs for low-sulfur fuel) in order for us to maintain our ships' compliance with international and/or national regulations. We also may become subject to additional laws and regulations if we enter new markets or trades.</w:t>
      </w:r>
    </w:p>
    <w:p>
      <w:pPr>
        <w:spacing w:after="0" w:line="17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also believe that the heightened environmental, quality and security concerns of insurance underwriters, regulators and charterers will generally lead to additional regulatory requirements, including enhanced risk assessment and security requirements, as well as greater inspection of and safety requirements on all LNG carriers. These requirements are likely to add incremental costs to our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operations, and the failure to comply with these requirements may affect the ability of our ships to obtain and, possibly, recover from, insurance or to obtain the required certificates for entry into some of the ports where we operate.</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17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Due to concern over the risks of climate change, a number of countries and the International Maritime Organization, or "IMO", have adopted, or are considering the adoption of, regulatory frameworks to reduce greenhouse gas emission from ships. These regulatory measures may include the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74"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and unpredictable financial and operational adverse impacts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our ships worldwide, which could expose us to political, governmental and economic instability that could harm our business.</w:t>
      </w:r>
    </w:p>
    <w:p>
      <w:pPr>
        <w:spacing w:after="0" w:line="24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Because we operate our ships in the geographic areas where our customers do business, our operations may be affected by political, governmental and economic conditions in the countries where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ships operate or where they are registered. Any disruption caused by these factors could harm our business, financial condition, results of operations and cash flows, including cash available for dividends to shareholders. In particular, our ships frequent LNG terminals in countries including Egypt, Nigeria, Equatorial Guinea and Trinidad, as well as transit through the Gulf of Aden and the Strait of Malacca. Economic, political and governmental conditions in these and other regions have from time to time resulted in military conflicts, terrorism, attacks on ships, mining of waterways, piracy and other efforts to disrupt shipping. Future hostilities or other political instability in the geographic regions where we operate or may operate could have a material adverse effect on our business, financial condition, results of operations and cash flows, including cash available for dividends to shareholders. In addition, our business could also be harmed by tariffs, trade embargoes and other economic sanctions by the United States or other countries against countries in the Middle East, Southeast Asia or elsewhere as a result of terrorist attacks, hostilities or diplomatic or political pressures that limit trading activities with those countries.</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dividends to our shareholders.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and the Gulf of Aden. Any terrorist attacks targeted at ships may in the future have a material adverse effect on our business, financial condition, results of operations and cash flows, including cash available for dividends to our shareholders and could directly impact our ships or our customers.</w:t>
      </w:r>
    </w:p>
    <w:p>
      <w:pPr>
        <w:spacing w:after="0" w:line="167"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39" w:lineRule="exact"/>
        <w:rPr>
          <w:sz w:val="20"/>
          <w:szCs w:val="20"/>
          <w:color w:val="auto"/>
        </w:rPr>
      </w:pPr>
    </w:p>
    <w:p>
      <w:pPr>
        <w:jc w:val="both"/>
        <w:ind w:right="200" w:firstLine="348"/>
        <w:spacing w:after="0" w:line="268"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86" w:lineRule="exact"/>
        <w:rPr>
          <w:sz w:val="20"/>
          <w:szCs w:val="20"/>
          <w:color w:val="auto"/>
        </w:rPr>
      </w:pPr>
    </w:p>
    <w:p>
      <w:pPr>
        <w:jc w:val="both"/>
        <w:ind w:right="200" w:firstLine="351"/>
        <w:spacing w:after="0" w:line="255"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may adversely affect the construction of additional LNG facilities and could lead to the temporary or permanent closing of various LNG facilities currently in operation.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GasLog's business.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GasLog's business operations could be targeted by individuals or groups seeking to sabotage or disrupt GasLog's information technology systems and networks, or to steal data. A successful cyber-attack could materially disrupt GasLog's operations, including the safety of its operations, or lead to unauthorized release of information or alteration of information on its systems. Any such attack or other breach of GasLog's information technology systems could have a material adverse effect on GasLog's business, financial condition, results of operations and cash flows, including cash available for dividends to our shareholders.</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In the future, the ships we own or manage could be required to call at ports located in countries that are subject to restrictions imposed by the United States and other governments.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GasLog, and limits the ability of companies and persons to do business or trade with Iran when such activities relate to the investment, supply or export of refined petroleum or petroleum products, as well as LNG.</w:t>
      </w:r>
    </w:p>
    <w:p>
      <w:pPr>
        <w:spacing w:after="0" w:line="170"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8"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On January 16, 2016, the United States suspended certain sanctions against Iran applicable to non-U.S. companies, such as us, pursuant to the nuclear agreement reached between Iran, China,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France, Germany, Russia, the United Kingdom, the United States and the European Union. To implement these changes, beginning on January 16, 2016, the United States waived enforcement of many of the sanctions against Iran's energy and petrochemical sectors described above, including, among other things, certain provisions of CISADA, ITRA, and IFCA. While non-U.S. companies may now engage in certain business or trade with Iran that was previously prohibited, the U.S. has the ability to reimpose sanctions against Iran.</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consistently applied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to our shareholders. In addition, actual or alleged violations could damage our reputation and ability to do business. Furthermore, detecting, investigating, and resolving actual or alleged violations is expensive and can consume significant senior management time and attention.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Changing laws, regulations and standards relating to reporting requirements, including the European Union General Data Protection Regulation ("GDPR"),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GDPR broadens the scope of personal privacy laws to protect the rights of European Union citizens and requires organizations to report on data breaches within 72 hours and be bound by more stringent rules for obtaining the consent of individuals on how their data can be used. GDPR will become enforceable on May 25, 2018 and non-compliance may expose entities to significant fines or other regulatory claims which could have an adverse effect on our business, financial conditions, results of operations, cash flows and ability to pay dividends.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and may cause us to breach covenants in certain of our credit facilities, and could have a material adverse effect on our business, financial condition, results of operations and cash flows, including cash available for dividends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to our shareholders.</w:t>
      </w:r>
    </w:p>
    <w:p>
      <w:pPr>
        <w:spacing w:after="0" w:line="198"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GasLog</w:t>
      </w:r>
    </w:p>
    <w:p>
      <w:pPr>
        <w:spacing w:after="0" w:line="23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depend upon one customer for nearly all of our revenues. The loss of this customer would result in a significant loss of revenues and could have a material adverse effect on our business, financial condition, results of operations and cash flows.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historically derived nearly all of our revenues from subsidiaries of Shell. For the year ended December 31, 2017, Shell accounted for 92.6% of our revenues. Following the delivery of our five new LNG carriers on order, Shell will continue to be a key customer, as two of our newbuildings will be chartered to MSL upon delivery, resulting in a total of 18 owned vessels being chartered to Shell. We could lose Shell as a customer or the benefits of our time charter or ship management arrangements for many different reasons, including if Shell is unable or unwilling to make charter hire or other payments to us because of a deterioration in its financial condition, disagreements with us or otherwise. If Shell or another customer terminates its charters, chooses not to re-charter our ships after the initial charter terms or is unable to perform under its charters and we are not able to find replacement charters on similar terms, we will suffer a loss of revenues that could have a material adverse effect on our business, financial condition, results of operations and cash flows, including cash available for dividends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charter termination could have a material adverse effect on our business, financial condition, results of operations and cash flows.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charterers have the right to terminate a ship's time charter in certain circumstances, such as:</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or 110 days, depending on the charter, in any one-year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 Accordingly, the existence of any right of termination could have a material adverse effect on our business, financial condition, results of operations and cash flows, including cash available for dividends to our shareholders.</w:t>
      </w:r>
    </w:p>
    <w:p>
      <w:pPr>
        <w:spacing w:after="0" w:line="19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Due to our lack of diversification, adverse developments in the LNG transportation industry could adversely affect our business, particularly if such developments occur at a time when we are seeking a new charter.</w:t>
      </w:r>
    </w:p>
    <w:p>
      <w:pPr>
        <w:spacing w:after="0" w:line="18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rely exclusively on the cash flow generated from charters for our LNG vessels and management of third party LNG vessels. Due to our lack of diversification, an adverse development in the LNG 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contracts for the five newbuildings we have on order as of February 26, 2018, are subject to risks that could cause delays in the delivery of the ships, which could adversely affect our results of operations and cash flows.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five contracted newbuildings are scheduled to be delivered to us on various dates between 2018 and 2020. Significant delays in the delivery of one or more of these ships, which are expected to generate a substantial portion of our contracted revenue in future years,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to our shareholders. In addition, the delivery of any of these ships with substantial defects or unexpected operational problems could have similar consequences.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completion and delivery of newbuildings or conversions could be delayed because of:</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or fire;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finance the construction or conversion of the vessels;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obtain requisite permits or approvals.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If delivery of a vessel is materially delayed, it could adversely affect our business, financial condition, results of operations and cash flows, including cash available for dividends to our shareholders.</w:t>
      </w:r>
    </w:p>
    <w:p>
      <w:pPr>
        <w:spacing w:after="0" w:line="18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11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ability to acquire and retain customers depends on a number of factors, including our ability to staff our vessels with masters, officers and crews of suitable experience in operating LNG carriers. As we take delivery of our newbuildings or any secondhand ships we acquire in the future, we expect to hire a significant number of seafarers qualified to staff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19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Material increases in crew costs could adversely affect our business, financial condition, results of operations and cash flows, including cash available for dividends to our shareholders. In addition, if we cannot recruit and retain sufficient numbers of quality on-board seafaring personnel, we may not be able to fully utilize our expanded fleet, which could have a material adverse effect on our business,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results of operations and cash flows, including cash available for dividends to our shareholders.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must make substantial capital expenditures to acquire the five newbuildings we have on order as of February 26, 2018, and any additional ships we may acquire in the future.</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 xml:space="preserve">We are obligated to make substantial capital expenditures to fund our commitments for the five newbuildings we have on order. We are scheduled to take delivery of the vessels on various dates between 2018 and 2020. As of December 31, 2017, the total remaining balance of the contract prices for the four vessels under construction and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delivered in January 2018 (and not including the contract price of the shipbuilding contract for Hull No. 2213 signed in 2018) was $882.6 million, which amounts are payable under each shipbuilding contract in installments upon the attainment of certain specified milestones. The largest portion of the purchase price for each vessel is payable upon its delivery to us from the shipyard. We intend to partially fund these commitments with the undrawn $664.0 million under the financing agreement we entered into on October 16, 2015 (the "October 2015 Facility"), and with available cash and cash from operations.</w:t>
      </w:r>
    </w:p>
    <w:p>
      <w:pPr>
        <w:spacing w:after="0" w:line="20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To the extent that we are unable to draw down the amounts committed under our credit facilities, whether due to our failure to comply with the terms of such facilities or the lenders' failure to fund the committed amounts, we will need to find alternative financing. If we are unable to find alternative financing, we will not be capable of funding all of our commitments for capital expenditures relating to our four contracted newbuildings. If we fail to meet our payment obligations under a shipbuilding contract, we would be in default under the applicable contract and the shipbuilder would have the option of cancelling the contract and retaining any previously funded installment payments, which could have a material adverse effect on our business, financial condition, results of operations and cash flows, including cash available for dividends to our shareholders.</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we may choose to make substantial capital expenditures to expand the size of our fleet and/or to convert existing LNG carriers to FSRUs in the future. We expect to finance the cost of any new vessels through available cash, cash from operations and debt or equity financings. Our ability to obtain bank financing or to access the capital markets may be limited by our financial condition at the time of any such financing or offering, as well as by adverse market conditions resulting from, among other things, general economic conditions, changes in the LNG industry and further contingencies and uncertainties that are beyond our control. Even if we are successful in obtaining necessary funds, the terms of any debt financings could limit our ability further to expand our fleet and to pay dividends to our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further expanding our fleet in the future.</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the eight vessels acquired from MSL in 2014 and 2015. Our future growth will depend on numerous factors, some of which are beyond our control, including our ability to:</w:t>
      </w:r>
    </w:p>
    <w:p>
      <w:pPr>
        <w:spacing w:after="0" w:line="174"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attractive ship acquisition opportunities and consummate such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newbuilding contracts at acceptable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required equity and debt financing on acceptable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secure charter arrangements on terms acceptable to our lenders;</w:t>
      </w:r>
    </w:p>
    <w:p>
      <w:pPr>
        <w:spacing w:after="0" w:line="252" w:lineRule="exact"/>
        <w:rPr>
          <w:rFonts w:ascii="Arial" w:cs="Arial" w:eastAsia="Arial" w:hAnsi="Arial"/>
          <w:sz w:val="18"/>
          <w:szCs w:val="18"/>
          <w:color w:val="auto"/>
        </w:rPr>
      </w:pPr>
    </w:p>
    <w:p>
      <w:pPr>
        <w:ind w:left="5620" w:right="3220" w:hanging="5072"/>
        <w:spacing w:after="0" w:line="519" w:lineRule="auto"/>
        <w:tabs>
          <w:tab w:leader="none" w:pos="10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 and retain additional suitably qualified and experienced seafarers and shore-based employees;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meet technical and safety performance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joint ventures;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the expansion of our operations to integrate the new ships into our fleet.</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not be successful in executing any future growth plans, and we cannot give any assurances that we will not incur significant expenses and losses in connection with such growth efforts.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credit facilities also impose specified financial covenants that apply to us and our subsidiaries on a consolidated basis or, in the case of the GasLog Partners' $450.0 million credit facility, or the "GasLog Partners Credit Facility", to GasLog Partners and its subsidiaries on a consolidated basis, or in the case of the credit facility provided under the credit agreement entered into on February 18, 2016 to refinance the existing indebtedness on five of our contracted vessels of up to $576.50 million, or the "Five Vessel Refinancing", to us and our subsidiaries on a consolidated basis and to GasLog Partners and its subsidiaries on a consolidated basis. These financial covenants generally include the following:</w:t>
      </w:r>
    </w:p>
    <w:p>
      <w:pPr>
        <w:spacing w:after="0" w:line="183" w:lineRule="exact"/>
        <w:rPr>
          <w:sz w:val="20"/>
          <w:szCs w:val="20"/>
          <w:color w:val="auto"/>
        </w:rPr>
      </w:pPr>
    </w:p>
    <w:p>
      <w:pPr>
        <w:ind w:left="1080" w:right="4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(not included in the GasLog Partners financial covenants);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indebtedness divided by our total assets (total indebtedness plus total equity in the case of the 8.875% Senior Notes) must not exceed 75.0% (in the case of the GasLog Partners financial covenants, must be less than 60.0%);</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 ($15.0 million under the GasLog Partners financial covenants);</w:t>
      </w:r>
    </w:p>
    <w:p>
      <w:pPr>
        <w:spacing w:after="0" w:line="21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being permitted to pay dividends, provided that unencumbered cash and cash equivalents equal to at least 4.0% of total indebtedness, subject to no event of default having occurred or occurring as a consequence of the payment of such dividends (in the case of the GasLog Partners financial covenants, being permitted to pay dividends subject to no event of default having occurred or resulting from such payment);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value adjusted net worth must be not less than $350.0 million (not included in the GasLog Partners financial covenants).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value of not less than 120.0% (in the case of the October 2015 Facility, 115.0% for the first two years after each drawdown and 120.0% at any time thereafter) of the then outstanding amount under the applicable facility.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9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Further, GasLog has the NOK 2021 Bonds and the US dollar denominated 8.875% Senior Notes which also impose specified financial covenants that apply to us and our subsidiaries on a consolidated basis. Under the terms of the NOK 2021 Bonds, GasLog is required to comply with the following financial covenants:</w:t>
      </w:r>
    </w:p>
    <w:p>
      <w:pPr>
        <w:spacing w:after="0" w:line="15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indebtedness divided by total assets (total indebtedness plus total equity in the case of the 8.875% Senior Notes) must not exceed 75.0%;</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w:t>
      </w:r>
    </w:p>
    <w:p>
      <w:pPr>
        <w:spacing w:after="0" w:line="212"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terms of the NOK 2021 Bonds include a dividend restriction according to which GasLog may not (i) declare or make any dividend payment or distribution, whether in cash or in kind, (ii) re-purchase any of GasLog's shares or undertake other similar transactions (including, but 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 50% of GasLog's consolidated net profit after taxes based on the audited annual accounts for the previous financial year (any unutilized portion of the permitted Distributions pursuant to the above may not be carried forward). For the purposes of the above, the consolidated net profit after taxes of GasLog shall not include any profits related to the sale of assets (and consequently any such profits related to such profits shall not form the basis for Distributions). Under the terms of the NOK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Bonds, GasLog is permitted to make Distributions up to a maximum amount per share per annum for the years 2017, 2018, 2019, 2020 and 2021 of $1.10/share, $1.10/share, $1.20/share, $1.20/share and $1.20/share, respectively, provided that GasLog can demonstrate by delivering a compliance certificate to the bond trustee that no event of default is continuing or would result from such Distributions.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8.875% Senior Notes, GasLog is required to comply with the following financial covenants:</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to our shareholders. In addition, a default under one of our credit facilities could result in the cross-acceleration of our other indebtedness. For more information regarding our credit facilities, please read "Item 5. Operating and Financial Review and Prospects—B. Liquidity and Capital Resources—Credit Facilities".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significant global natural gas and crude oil price volatility, amongst other factors referenced above, have in turn led to a significant shortening of the average duration of spot charters fixed during 2017, as well as a significant decline in average rates for new spot and shorter-term LNG charters commencing promptly. Over the next 18 months, unless LNG charter market conditions improve, we may have difficulty in securing new charters at attractive rates and durations for the five vessels in the Cool Pool. As of December 31, 2017, we had a total of 2,833 open vessel days during 2018, including 1,695 days for the five vessels operating in the Cool Pool. A failure to obtain charters at acceptable rates on these vessels could adversely affect our business, financial condition, results of operations and cash flows, including cash available for dividends to our shareholders, as well as our ability to meet certain of our debt covenants later in 2018, particularly the required ratio of EBITDA to debt service and the minimum cash requirement.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Ship values may fluctuate substantially, which could result in an impairment charge, impact our compliance with the covenants in our loan agreements and, if the values are lower at a time when we are attempting to dispose of ships, cause us to incur a loss.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supply-demand balance of the global LNG carrier fleet;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the market value of our ships declines, we may be required to record an impairment charge in our financial statements, which could adversely affect our results of operations. See "Item 5. Operating and Financial Review and Prospects—B. Liquidity and Capital Resources—Critical Accounting Policies— Impairment of Vessels". Deterioration in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prices have fallen, could result in a loss and could materially and adversely affect our business, financial condition, results of operations and cash flows, including cash available for dividends to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debt levels may limit our flexibility in obtaining additional financing, pursuing other business opportunities and paying dividends to our shareholders.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we had an aggregate of $2.55 billion of indebtedness outstanding under our credit agreements, the NOK 2021 Bonds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8.875% Senior Notes, of which $179.4 million was repayable within one year, and a $213.4 million finance lease liability related to the sale and leaseback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Methane Julia Louise</w:t>
      </w:r>
      <w:r>
        <w:rPr>
          <w:rFonts w:ascii="Arial" w:cs="Arial" w:eastAsia="Arial" w:hAnsi="Arial"/>
          <w:sz w:val="16"/>
          <w:szCs w:val="16"/>
          <w:color w:val="auto"/>
        </w:rPr>
        <w:t>, of which $6.3 million was repayable within one year. As of December 31, 2017, there was an undrawn available capacity of $100.0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revolving facility of the credit agreement we entered into on July 19, 2016 to refinance the existing indebtedness on eight of our on-the-water vessels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$1,050.0 million (the "Legacy Facility Refinancing"). In addition, there is one loan facility with an aggregate undrawn amount of $664.0 million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that will be used to finance a portion of the contract price of three of our newbuildings on their delivery and the </w:t>
      </w:r>
      <w:r>
        <w:rPr>
          <w:rFonts w:ascii="Arial" w:cs="Arial" w:eastAsia="Arial" w:hAnsi="Arial"/>
          <w:sz w:val="16"/>
          <w:szCs w:val="16"/>
          <w:i w:val="1"/>
          <w:iCs w:val="1"/>
          <w:color w:val="auto"/>
        </w:rPr>
        <w:t>GasLog Houston</w:t>
      </w:r>
      <w:r>
        <w:rPr>
          <w:rFonts w:ascii="Arial" w:cs="Arial" w:eastAsia="Arial" w:hAnsi="Arial"/>
          <w:sz w:val="16"/>
          <w:szCs w:val="16"/>
          <w:color w:val="auto"/>
        </w:rPr>
        <w:t>. We may incur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indebtedness in the future as we grow our fleet. This level of debt could have important consequences to us, including the following:</w:t>
      </w:r>
    </w:p>
    <w:p>
      <w:pPr>
        <w:spacing w:after="0" w:line="232" w:lineRule="exact"/>
        <w:rPr>
          <w:sz w:val="20"/>
          <w:szCs w:val="20"/>
          <w:color w:val="auto"/>
        </w:rPr>
      </w:pPr>
    </w:p>
    <w:p>
      <w:pPr>
        <w:ind w:left="1080" w:right="5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principal and interest payments on our debt, reducing the funds that would otherwise be available for operations, future business opportunities and dividends to our shareholders;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on us to maintain minimum levels of liquidity as a percentage of our total debt, reducing the funds that would otherwise be available for operations, future business opportunities and dividends to our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costs of borrowing could increase as we become more leveraged;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or a downturn in our industry or the economy generally;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are unable to satisfy the restrictions included in any of our financing agreements or are otherwise in default under any of those agreements, as a result of our debt levels or otherwise, we will not be able to make cash distributions to you.</w:t>
      </w:r>
    </w:p>
    <w:p>
      <w:pPr>
        <w:spacing w:after="0" w:line="186" w:lineRule="exact"/>
        <w:rPr>
          <w:sz w:val="20"/>
          <w:szCs w:val="20"/>
          <w:color w:val="auto"/>
        </w:rPr>
      </w:pPr>
    </w:p>
    <w:p>
      <w:pPr>
        <w:jc w:val="both"/>
        <w:ind w:right="220" w:firstLine="351"/>
        <w:spacing w:after="0" w:line="294" w:lineRule="auto"/>
        <w:rPr>
          <w:sz w:val="20"/>
          <w:szCs w:val="20"/>
          <w:color w:val="auto"/>
        </w:rPr>
      </w:pPr>
      <w:r>
        <w:rPr>
          <w:rFonts w:ascii="Arial" w:cs="Arial" w:eastAsia="Arial" w:hAnsi="Arial"/>
          <w:sz w:val="16"/>
          <w:szCs w:val="16"/>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7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ability to obtain additional debt financing for future acquisitions of ships or to refinance our existing debt may depend on the creditworthiness of our charterers and the terms of our future charters.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to our shareholders.</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ability to pay dividends or to redeem our Preference Shares may be limited by the amount of cash we generate from operations, by restrictions in our credit facilities and by additional factors unrelated to our profitability.</w:t>
      </w:r>
    </w:p>
    <w:p>
      <w:pPr>
        <w:spacing w:after="0" w:line="186"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intend to pay regular quarterly dividends. 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have available for dividends or to redeem our Preference Shares will vary based upon, among other things:</w:t>
      </w:r>
    </w:p>
    <w:p>
      <w:pPr>
        <w:spacing w:after="0" w:line="239" w:lineRule="exact"/>
        <w:rPr>
          <w:sz w:val="20"/>
          <w:szCs w:val="20"/>
          <w:color w:val="auto"/>
        </w:rPr>
      </w:pPr>
    </w:p>
    <w:p>
      <w:pPr>
        <w:ind w:left="1080" w:right="4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charter rates, ship values, factors affecting supply and demand, technological advancements and opportunities for the profitable operations of LNG carriers;</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comply with the specified financial covenants in our loan facilities, NOK 2021 Bonds and 8.875% Senior Notes and as corporate guarantor for certain loan facilities on a consolidated basis;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new charters for our vessels at favourable rates;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charter hire payments we obtain from our charters as well as our ability to re-charter the vessels and the rates obtained upon the expiration of our existing charters;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fleet expansion and associated uses of our cash as well as any financing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due performance by our charterers of their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the delivery of newbuild vessels and the beginning of payments under charters relating to those vessels;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 as well as the costs of repairs, maintenance or modifications of our 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unscheduled off-hire days for our fleet and the timing of, and number of days required for, scheduled dry-docking of our ships;</w:t>
      </w:r>
    </w:p>
    <w:p>
      <w:pPr>
        <w:spacing w:after="0" w:line="261"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prevailing global and regional economic or political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information regarding the dividend payment restrictions in our financing agreements, see "—Risks Related to Our Business—Our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amount of cash we generate from our operations may differ materially from our profit or loss for the period, which will be affected by non-cash items.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may incur other expenses or liabilities that could reduce or eliminate the cash available for dividends.</w:t>
      </w:r>
    </w:p>
    <w:p>
      <w:pPr>
        <w:spacing w:after="0" w:line="21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dividends are declared by our board of directors. We may not declare a common dividend if the payment of our preference dividends is in arrears.</w:t>
      </w:r>
    </w:p>
    <w:p>
      <w:pPr>
        <w:spacing w:after="0" w:line="248"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a holding company. Our subsidiaries conduct substantially all of our operations and own all of our operating assets, including our ships. As of February 26, 2018, we have no significant assets other than the equity interests in our subsidiaries, including GasLog Partners, in which we hold a 25.9% equity interest (including our 2.0% general partner interest) as well as all of the incentive distribution rights. As a result, our ability to pay our obligations and to make dividend payments depends entirely on our subsidiaries and their ability to distribute funds to us, including cash distributions and management and administrative services fees received from GasLog Partners. The ability of a subsidiary to make these distributions could be affected by a claim or other action by a third party, including a creditor, or by the law of its jurisdiction of incorporation which regulates the payment of dividends. Other factors which may impact the value of our equity interest in GasLog Partners and its ability to distribute funds to us are described in its public filings with the SEC. If we are unable to obtain funds from our subsidiaries, our board of directors may exercise its discretion not to declare or pay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and interest rates could result in financial losses for us.</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Fluctuations in currency exchange rates and interest rates may have an impact on our financial performance. We receive virtually all of our revenues in dollars, while some of our operating expenses, including certain employee costs and crew costs, are denominated in euros and in British pounds. As a result, we are exposed to foreign exchange risk. However, we also maintain cash balances in euros and British pounds, which amounted to approximately $7.5 million and $5.6 million as of December 31, 2017. We monitor exchange rate fluctuations on a continuous basis and we also hedge movements in currency exchange rates. However, there is still a risk that currency fluctuations will have a negative effect on our business, financial condition, results of operations and cash flows, including cash available for dividends to our shareholders.</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we are exposed to a market risk relating to fluctuations in interest rates because the majority of our credit facilities bear interest costs at a floating rate based on London Interbank Offered Rate, or "LIBOR". On July 27, 2017, the United Kingdom Financial Conduct Authority ("FCA"), which regulates LIBOR, announced that it intends to stop persuading or compelling banks to submit rates for the calculation of LIBOR to the administrator of LIBOR after 2021 ("FCA Announcement"). The FCA Announcement indicates that the continuation of LIBOR on the current basis is not guaranteed after 2021. Significant increases in LIBOR or uncertainty surrounding its phase out after 2021 could adversely affect our business, financial condition, results of operations and cash flows, including cash available for dividends to our shareholders and ability to service our debt. We use interest rate swaps to reduce our exposure to interest rate risk, and hedge a portion of our outstanding indebtedness. There is no assurance that our derivative contracts will provide adequate protection against adverse changes in interest rates or that our bank counterparties will be able to perform their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could result in reductions in our shareholders' equity as well as charges against our profit.</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enter into interest rate swaps from time to time for purposes of managing our exposure to fluctuations in interest rates applicable to floating rate indebtedness. As of December 31, 2017, we had 18 interest rate swaps in place with a notional amount of $1.17 billion. The changes in the fair value of the 18 derivative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70" w:lineRule="exact"/>
        <w:rPr>
          <w:sz w:val="20"/>
          <w:szCs w:val="20"/>
          <w:color w:val="auto"/>
        </w:rPr>
      </w:pPr>
    </w:p>
    <w:p>
      <w:pPr>
        <w:jc w:val="both"/>
        <w:ind w:right="20" w:firstLine="341"/>
        <w:spacing w:after="0" w:line="298" w:lineRule="auto"/>
        <w:rPr>
          <w:sz w:val="20"/>
          <w:szCs w:val="20"/>
          <w:color w:val="auto"/>
        </w:rPr>
      </w:pPr>
      <w:r>
        <w:rPr>
          <w:rFonts w:ascii="Arial" w:cs="Arial" w:eastAsia="Arial" w:hAnsi="Arial"/>
          <w:sz w:val="16"/>
          <w:szCs w:val="16"/>
          <w:color w:val="auto"/>
        </w:rPr>
        <w:t>As of December 31, 2017, we had three Cross Currency Swaps, or "CCSs", to exchange interest payments and principal on maturity on the same terms as the NOK 2021 Bonds, in order to hedge the variability of the functional currency equivalent cash flows on the NOK 2021 Bonds. As of December 31, 2017, the three CCSs had a notional amount of $90.2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enter into forward foreign exchange contracts from time to time for purposes of managing our exposure to fluctuations in foreign exchange rates applicable to payments in foreign currencies (mainly euros and British Pounds Sterling). As of December 31, 2017, we had 65 forward foreign exchange contracts in place with an aggregate notional amount of €72.0 million and 12 with an aggregate notional amount of £3.6 million. The changes in the fair value of these 77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74" w:lineRule="exact"/>
        <w:rPr>
          <w:sz w:val="20"/>
          <w:szCs w:val="20"/>
          <w:color w:val="auto"/>
        </w:rPr>
      </w:pPr>
    </w:p>
    <w:p>
      <w:pPr>
        <w:jc w:val="both"/>
        <w:ind w:right="120" w:firstLine="348"/>
        <w:spacing w:after="0" w:line="335" w:lineRule="auto"/>
        <w:rPr>
          <w:sz w:val="20"/>
          <w:szCs w:val="20"/>
          <w:color w:val="auto"/>
        </w:rPr>
      </w:pPr>
      <w:r>
        <w:rPr>
          <w:rFonts w:ascii="Arial" w:cs="Arial" w:eastAsia="Arial" w:hAnsi="Arial"/>
          <w:sz w:val="15"/>
          <w:szCs w:val="15"/>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enter into, among other things, time charters and other contracts with our customers, shipbuilding contracts and refund guarantees relating to newbuildings, credit facilities and commitment letters with banks, insurance contracts and interest rate swaps. Such agreements subject us to counterparty credit risk.</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to our shareholders.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business depends on certain of our senior executives who are subject to increasing demands as a result of our growth and who may not necessarily continue to work for us.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Increasing demands are placed on our management as a result of our growth. As we expand operations, we must monitor our operations, control costs and maintain quality control. In addition, the provision of management services to our publicly traded subsidiary, GasLog Partners, has increased the complexity of our business and placed additional demands on our management. Our success depends to a significant extent upon the abilities and the efforts of our Chairman, Peter G. Livanos, and certain of our senior executives. Mr. Livanos has substantial experience in the shipping industry and has worked with us for many years. He and certain of our senior executives are important to the execution of our business strategies and to the growth and development of our business. If Mr. Livanos or one or more of our senior executives ceased to be affiliated with us, we may be unable to recruit other employees with equivalent talent and experience, and our business and financial condition could suffer.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equity securities may be volatile.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price of our equity securities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payment of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oil and natural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seaborne transportation industry, including fluctuations in the LNG carrier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concerning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securities analysts to publish research about us, or analysts making changes in their financial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including 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sales of our shares or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investors' perceptions of us and the LNG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general state of the securities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Securities markets worldwide are experiencing significant price and volume fluctuations. The market price for our common shares may also be volatile. This market volatility, as well as general economic, market or political conditions, could reduce the market price of our common shares despite our operating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securities to decline.</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Any such increase in interest rates may result in a reduction in demand for our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resulting from other relatively more attractive investment opportunities and may cause the trading price of our securities to decline.</w:t>
      </w:r>
    </w:p>
    <w:p>
      <w:pPr>
        <w:spacing w:after="0" w:line="225"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We are a "foreign private issuer" under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1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the nominating/corporate governance committee be composed entirely of independent directors and have a written charter addressing the committee's purpose and responsibilities, (iii) the requirement that the compensation committee be composed entirely of independent directors and have a written charter addressing the committee's purpose and responsibilities and (iv) the requirement of an annual performance evaluation of the nominating/corporate governance and compensation committees.</w:t>
      </w:r>
    </w:p>
    <w:p>
      <w:pPr>
        <w:spacing w:after="0" w:line="172"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As permitted by these exemptions, as well as by our bye-laws and the laws of Bermuda, we have one or more non-independent directors serving as committee members on our compensation committee and our corporate governance and nominating committee. As a result, non-independent directors may, among other things, participate in fixing the compensation of our management, making share and option awards and resolving governance issues regarding our Company.</w:t>
      </w:r>
    </w:p>
    <w:p>
      <w:pPr>
        <w:spacing w:after="0" w:line="197"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Accordingly, in the future you may not have the same protections afforded to shareholders of companies that are subject to all of the NYSE corporate governance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equity securities could cause the market price of our equity securities to decline.</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Sales of a substantial number of our equity securities in the public market, or the perception that these sales could occur, may depress the market price for our equity securities. These sales could also impair our ability to raise additional capital through the sale of our equity securities.</w:t>
      </w:r>
    </w:p>
    <w:p>
      <w:pPr>
        <w:spacing w:after="0" w:line="139"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In the future we may issue additional equity securities which may be pari passu with or senior to our common shares. The issuance by us of additional common shares or other equity securities that are contractually or structurally pari passu with or senior to our common shares would have the following effects:</w:t>
      </w:r>
    </w:p>
    <w:p>
      <w:pPr>
        <w:spacing w:after="0" w:line="130"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shareholders' proportionate ownership interest in us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shares may be lower;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shareholders also may elect to sell large numbers of equity securities held by them from time to time. The number of our equity securities available for sale in the public market will be limited by restrictions applicable under securities laws.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Preference Shares are subordinated to our debt obligations and investors' interests could be diluted by the issuance of additional preference shares and by other transactions.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Preference Shares are subordinated to all of our existing and future indebtedness. As of December 31, 2017, we had $2.55 billion of outstanding indebtedness. Our existing indebtedness restricts, and our future indebtedness may include restrictions on, our ability to pay dividends to shareholders. Our memorandum of association and bye-laws currently authorizes the issuance of an 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at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Shares have extremely limited 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17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 In addition, the Preference Shares rank junior in all our indebtedness and other liabilities, and any other senior securities we may issue in the future with respect to assets available to satisfy claims against us.</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payment due to a holder of Preference Shares upon a liquidation is fixed at the redemption preference of $25.00 per share plus accumulated and unpaid dividends to the date of liquidation. If,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Entities controlled by members of the Livanos family are our principal shareholders and can effectively control the outcome of most matters on which our shareholders are entitled to vote; their interests may be different from yours.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Entities controlled by members of the Livanos family, including our Chairman, may be deemed to beneficially own approximately 40.1% of our issued and outstanding common shares. As a result of his shareholding, Mr. Livanos can effectively control the outcome of most matters on which our shareholders are entitled to vote, including the election of our entire board of directors and other significant corporate actions. The interests of these shareholders may be different to yours.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organizational documents may have anti-takeover effects.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bye-laws contain provisions that could make it more difficult for a third party to acquire us without the consent of our board of directors. These provisions require an affirmative vote of a majority of the votes attaching to all issued and outstanding shares to approve any merger, consolidation, amalgamation or similar transactions. Our bye-laws also provide for restrictions on the time period in which directors may be nominated.</w:t>
      </w:r>
    </w:p>
    <w:p>
      <w:pPr>
        <w:spacing w:after="0" w:line="16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These provisions could make it difficult for our shareholders to replace or remove our current board of directors or could have the effect of discouraging, delaying or preventing an offer by a third party to acquire us, even if the third party's offer may be considered beneficial by many shareholders. As a result, shareholders may be limited in their ability to obtain a premium for their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common shares and Preference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to pay tax on U.S.-source income, which would reduce our earnings.</w:t>
      </w:r>
    </w:p>
    <w:p>
      <w:pPr>
        <w:spacing w:after="0" w:line="225"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5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do not currently qualify for a tax treaty exemption or a statutory tax exemption, and therefore we are subject to the 4% U.S. Federal income tax described above. We do not expect any resulting U.S. tax liability to be material or materially reduce the earnings available for distribution to our shareholders for the fiscal years ended December 31, 2017 and December 31, 2018. For 2017, the U.S. source gross transportation tax was $0.7 million. Changes to our business could change this expectation and in such circumstances, we may attempt to qualify for the exemption from tax under Section 883. For a more detailed discussion, see the section entitled "Item 10. Additional Information—E. Tax Considerations—United States Federal Income Tax Considerations—U.S. Taxation of Our Operating Income".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were treated as a "passive foreign investment company", certain adverse U.S. Federal income tax consequences could result to U.S. shareholders.</w:t>
      </w:r>
    </w:p>
    <w:p>
      <w:pPr>
        <w:spacing w:after="0" w:line="26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foreign corporation will be treated as a "passive foreign investment company", or "PFIC", for U.S. Federal income tax purposes if at least 75% of its gross income for any tax year consists of certain 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Based on our method of operation, we do not believe that we are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to produce that income do not constitute passive assets.</w:t>
      </w:r>
    </w:p>
    <w:p>
      <w:pPr>
        <w:spacing w:after="0" w:line="16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 PFIC. Moreover, we could constitute a PFIC for a future tax year if there were to be changes in the nature and extent of our operations.</w:t>
      </w:r>
    </w:p>
    <w:p>
      <w:pPr>
        <w:spacing w:after="0" w:line="16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the IRS were to find that we are or have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Considerations—United States Federal Income Tax Considerations—Taxation of United States Holders—PFIC Status and Significant Tax Consequences" for a more detailed discussion of the U.S. Federal income tax consequences to U.S. shareholders if we are treated as a PFIC.</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tab/>
        <w:t>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31"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 management services. The Group conducts its operations through its vessel-owning subsidiaries and through its vessel management services subsidiary.</w:t>
      </w:r>
    </w:p>
    <w:p>
      <w:pPr>
        <w:spacing w:after="0" w:line="16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Our company and its founders have a long history in shipping and in LNG carriers. Our largest shareholder is Ceres Shipping, whose founding family's shipping activities commenced more than 100 years ago and which is currently controlled by our Chairman, Peter G. Livanos. Ceres Shipping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owns its shareholding in GasLog through its wholly owned subsidiary, Blenheim Holdings Ltd. ("Blenheim Holdings"). Ceres Shipping entered the LNG sector in 2001 by undertaking the management of BG Group's owned fleet of LNG carriers through our subsidiary GasLog LNG Services, and in 2003 GasLog Ltd. was incorporated. Until 2010, when we took delivery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Singapore</w:t>
      </w:r>
      <w:r>
        <w:rPr>
          <w:rFonts w:ascii="Arial" w:cs="Arial" w:eastAsia="Arial" w:hAnsi="Arial"/>
          <w:sz w:val="16"/>
          <w:szCs w:val="16"/>
          <w:color w:val="auto"/>
        </w:rPr>
        <w:t>, our business principally consisted of providing technical ship management services, as well as plan approval and 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4, 2012, we completed our initial public offering, or "IPO", and our common shares began trading on the NYSE on March 30, 2012 under the ticker symbol "GLOG". On January 22, 2014, GasLog completed a follow-on public offering of 10,925,000 common shares (including 1,425,000 common shares in relation to the over-allotment option exercised in full by the underwriters) and a concurrent private placement of 2,317,460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MSL in 2014. On April 16, 2014, GasLog completed a second follow-on public offering of 4,887,500 common shares (including 637,500 common shares in relation to the over-allotment option exercised in full by the underwriters). The offering resulted in net proceeds of $109.9 million which were used to partially finance the acquisition of the additional three ships acquired from MSL in 2014.</w:t>
      </w:r>
    </w:p>
    <w:p>
      <w:pPr>
        <w:spacing w:after="0" w:line="17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On May 12, 2014, our subsidiary GasLog Partners completed an IPO of 9,660,000 common units (including 1,260,000 units in relation to the over-allotment option exercised in full by the underwriters), resulting in net proceeds of $186.0 million. GasLog Partners is a Marshall Islands master limited partnership formed by us to own and operate LNG carriers under multi-year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from GasLog, in exchange for (i) 162,358 common units and 9,822,358 subordinated units issued to GasLog representing a 49.8% ownership interest and all of the incentive distribution rights that entitle GasLog to increasing percentages of the cash that the Partnership distributes in excess of $0.43125 per unit per quarter, (ii) 400,913 general partner units issued to GasLog Partners GP LLC, a wholly owned subsidiary of GasLog, representing a 2.0% general partner interest and (iii) $65.7 million of cash consideration paid directly to us from the offering proceeds. In addition to the cash consideration of $65.7 million paid to us, GasLog Partners used the $186.0 million net proceeds of its IPO to (a) prepay $82.6 million of debt plus accrued interest of $0.4 million and (b) make a payment of $2.3 million (including $0.3 million accrued interest) to settle the mark-to-market loss on termination of one interest rate swap and reduction of a second interest rate swap in connection with the aforementioned debt prepayment. The balance of $35.0 million was retained by GasLog Partners for general partnership purposes.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Since GasLog Partners' IPO, the Partnership has completed follow-on equity offerings as set out below, the proceeds of which have been used for general corporate purposes including partially funding the acquisition of the GasLog subsidiaries that own the vessels listed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Date of Equity</w:t>
            </w: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b w:val="1"/>
                <w:bCs w:val="1"/>
                <w:color w:val="auto"/>
                <w:w w:val="88"/>
              </w:rPr>
              <w:t>Date Acquisition</w:t>
            </w:r>
          </w:p>
        </w:tc>
        <w:tc>
          <w:tcPr>
            <w:tcW w:w="0" w:type="dxa"/>
            <w:vAlign w:val="bottom"/>
          </w:tcPr>
          <w:p>
            <w:pPr>
              <w:spacing w:after="0"/>
              <w:rPr>
                <w:sz w:val="1"/>
                <w:szCs w:val="1"/>
                <w:color w:val="auto"/>
              </w:rPr>
            </w:pPr>
          </w:p>
        </w:tc>
      </w:tr>
      <w:tr>
        <w:trPr>
          <w:trHeight w:val="16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Offering</w:t>
            </w:r>
          </w:p>
        </w:tc>
        <w:tc>
          <w:tcPr>
            <w:tcW w:w="4460" w:type="dxa"/>
            <w:vAlign w:val="bottom"/>
          </w:tcPr>
          <w:p>
            <w:pPr>
              <w:ind w:left="1780"/>
              <w:spacing w:after="0"/>
              <w:rPr>
                <w:sz w:val="20"/>
                <w:szCs w:val="20"/>
                <w:color w:val="auto"/>
              </w:rPr>
            </w:pPr>
            <w:r>
              <w:rPr>
                <w:rFonts w:ascii="Arial" w:cs="Arial" w:eastAsia="Arial" w:hAnsi="Arial"/>
                <w:sz w:val="14"/>
                <w:szCs w:val="14"/>
                <w:b w:val="1"/>
                <w:bCs w:val="1"/>
                <w:color w:val="auto"/>
              </w:rPr>
              <w:t>Equity Offering</w:t>
            </w:r>
          </w:p>
        </w:tc>
        <w:tc>
          <w:tcPr>
            <w:tcW w:w="160" w:type="dxa"/>
            <w:vAlign w:val="bottom"/>
          </w:tcPr>
          <w:p>
            <w:pPr>
              <w:spacing w:after="0"/>
              <w:rPr>
                <w:sz w:val="14"/>
                <w:szCs w:val="14"/>
                <w:color w:val="auto"/>
              </w:rPr>
            </w:pPr>
          </w:p>
        </w:tc>
        <w:tc>
          <w:tcPr>
            <w:tcW w:w="1520" w:type="dxa"/>
            <w:vAlign w:val="bottom"/>
          </w:tcPr>
          <w:p>
            <w:pPr>
              <w:ind w:left="380"/>
              <w:spacing w:after="0"/>
              <w:rPr>
                <w:sz w:val="20"/>
                <w:szCs w:val="20"/>
                <w:color w:val="auto"/>
              </w:rPr>
            </w:pPr>
            <w:r>
              <w:rPr>
                <w:rFonts w:ascii="Arial" w:cs="Arial" w:eastAsia="Arial" w:hAnsi="Arial"/>
                <w:sz w:val="14"/>
                <w:szCs w:val="14"/>
                <w:b w:val="1"/>
                <w:bCs w:val="1"/>
                <w:color w:val="auto"/>
              </w:rPr>
              <w:t>Net Proceeds</w:t>
            </w:r>
          </w:p>
        </w:tc>
        <w:tc>
          <w:tcPr>
            <w:tcW w:w="160" w:type="dxa"/>
            <w:vAlign w:val="bottom"/>
          </w:tcPr>
          <w:p>
            <w:pPr>
              <w:spacing w:after="0"/>
              <w:rPr>
                <w:sz w:val="14"/>
                <w:szCs w:val="14"/>
                <w:color w:val="auto"/>
              </w:rPr>
            </w:pPr>
          </w:p>
        </w:tc>
        <w:tc>
          <w:tcPr>
            <w:tcW w:w="2740" w:type="dxa"/>
            <w:vAlign w:val="bottom"/>
          </w:tcPr>
          <w:p>
            <w:pPr>
              <w:ind w:left="840"/>
              <w:spacing w:after="0"/>
              <w:rPr>
                <w:sz w:val="20"/>
                <w:szCs w:val="20"/>
                <w:color w:val="auto"/>
              </w:rPr>
            </w:pPr>
            <w:r>
              <w:rPr>
                <w:rFonts w:ascii="Arial" w:cs="Arial" w:eastAsia="Arial" w:hAnsi="Arial"/>
                <w:sz w:val="14"/>
                <w:szCs w:val="14"/>
                <w:b w:val="1"/>
                <w:bCs w:val="1"/>
                <w:color w:val="auto"/>
              </w:rPr>
              <w:t>Vessels Purchased</w:t>
            </w:r>
          </w:p>
        </w:tc>
        <w:tc>
          <w:tcPr>
            <w:tcW w:w="1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September 29,</w:t>
            </w: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$133.0 million</w:t>
            </w:r>
          </w:p>
        </w:tc>
        <w:tc>
          <w:tcPr>
            <w:tcW w:w="29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97"/>
              </w:rPr>
              <w:t xml:space="preserve">Methane Rita Andrea </w:t>
            </w:r>
            <w:r>
              <w:rPr>
                <w:rFonts w:ascii="Arial" w:cs="Arial" w:eastAsia="Arial" w:hAnsi="Arial"/>
                <w:sz w:val="18"/>
                <w:szCs w:val="18"/>
                <w:color w:val="auto"/>
                <w:w w:val="97"/>
              </w:rPr>
              <w:t>and</w:t>
            </w:r>
            <w:r>
              <w:rPr>
                <w:rFonts w:ascii="Arial" w:cs="Arial" w:eastAsia="Arial" w:hAnsi="Arial"/>
                <w:sz w:val="18"/>
                <w:szCs w:val="18"/>
                <w:i w:val="1"/>
                <w:iCs w:val="1"/>
                <w:color w:val="auto"/>
                <w:w w:val="97"/>
              </w:rPr>
              <w:t xml:space="preserve"> Methane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4"/>
              </w:rPr>
              <w:t>September 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Jane Elizabeth</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June 26, 2015</w:t>
            </w:r>
          </w:p>
        </w:tc>
        <w:tc>
          <w:tcPr>
            <w:tcW w:w="446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$171.8 million</w:t>
            </w: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Methane Alison Victoria, Methane</w:t>
            </w: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July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 xml:space="preserve">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Heather Sally</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5,</w:t>
            </w: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$52.3 million</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GasLog Seattle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7"/>
              </w:rPr>
              <w:t>November 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January 27,</w:t>
            </w:r>
          </w:p>
        </w:tc>
        <w:tc>
          <w:tcPr>
            <w:tcW w:w="446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$78.2 million</w:t>
            </w: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GasLog Greece</w:t>
            </w: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May 3, 2017</w:t>
            </w:r>
          </w:p>
        </w:tc>
        <w:tc>
          <w:tcPr>
            <w:tcW w:w="0" w:type="dxa"/>
            <w:vAlign w:val="bottom"/>
          </w:tcPr>
          <w:p>
            <w:pPr>
              <w:spacing w:after="0"/>
              <w:rPr>
                <w:sz w:val="1"/>
                <w:szCs w:val="1"/>
                <w:color w:val="auto"/>
              </w:rPr>
            </w:pP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2017</w:t>
            </w: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$138.8 million</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GasLog Geneva</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May 16, 2017</w:t>
            </w:r>
          </w:p>
        </w:tc>
        <w:tc>
          <w:tcPr>
            <w:tcW w:w="4460" w:type="dxa"/>
            <w:vAlign w:val="bottom"/>
          </w:tcPr>
          <w:p>
            <w:pPr>
              <w:spacing w:after="0"/>
              <w:rPr>
                <w:sz w:val="20"/>
                <w:szCs w:val="20"/>
                <w:color w:val="auto"/>
              </w:rPr>
            </w:pPr>
            <w:r>
              <w:rPr>
                <w:rFonts w:ascii="Arial" w:cs="Arial" w:eastAsia="Arial" w:hAnsi="Arial"/>
                <w:sz w:val="18"/>
                <w:szCs w:val="18"/>
                <w:color w:val="auto"/>
                <w:w w:val="94"/>
              </w:rPr>
              <w:t>Common equity offering through an at-the-market common</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$61.2 million</w:t>
            </w:r>
          </w:p>
        </w:tc>
        <w:tc>
          <w:tcPr>
            <w:tcW w:w="2900" w:type="dxa"/>
            <w:vAlign w:val="bottom"/>
            <w:gridSpan w:val="2"/>
          </w:tcPr>
          <w:p>
            <w:pPr>
              <w:ind w:left="160"/>
              <w:spacing w:after="0"/>
              <w:rPr>
                <w:sz w:val="20"/>
                <w:szCs w:val="20"/>
                <w:color w:val="auto"/>
              </w:rPr>
            </w:pPr>
            <w:r>
              <w:rPr>
                <w:rFonts w:ascii="Arial" w:cs="Arial" w:eastAsia="Arial" w:hAnsi="Arial"/>
                <w:sz w:val="18"/>
                <w:szCs w:val="18"/>
                <w:i w:val="1"/>
                <w:iCs w:val="1"/>
                <w:color w:val="auto"/>
              </w:rPr>
              <w:t>Solaris</w:t>
            </w:r>
          </w:p>
        </w:tc>
        <w:tc>
          <w:tcPr>
            <w:tcW w:w="16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October 20,</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onwards</w:t>
            </w:r>
          </w:p>
        </w:tc>
        <w:tc>
          <w:tcPr>
            <w:tcW w:w="4460" w:type="dxa"/>
            <w:vAlign w:val="bottom"/>
          </w:tcPr>
          <w:p>
            <w:pPr>
              <w:spacing w:after="0"/>
              <w:rPr>
                <w:sz w:val="20"/>
                <w:szCs w:val="20"/>
                <w:color w:val="auto"/>
              </w:rPr>
            </w:pPr>
            <w:r>
              <w:rPr>
                <w:rFonts w:ascii="Arial" w:cs="Arial" w:eastAsia="Arial" w:hAnsi="Arial"/>
                <w:sz w:val="18"/>
                <w:szCs w:val="18"/>
                <w:color w:val="auto"/>
                <w:w w:val="97"/>
              </w:rPr>
              <w:t>equity offering which commenced in May 2017 (the "ATM</w:t>
            </w:r>
          </w:p>
        </w:tc>
        <w:tc>
          <w:tcPr>
            <w:tcW w:w="16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(through</w:t>
            </w: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Programme")</w:t>
            </w:r>
          </w:p>
        </w:tc>
        <w:tc>
          <w:tcPr>
            <w:tcW w:w="16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1"/>
              </w:rPr>
              <w:t>December 31, 2017)</w:t>
            </w: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17,</w:t>
            </w: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$111.0 million</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$110.7 million to be used for general corporate purposes. The Preference Shares are listed on the New York Stock Exchange under the symbol "GLOG PR A".</w:t>
      </w:r>
    </w:p>
    <w:p>
      <w:pPr>
        <w:spacing w:after="0" w:line="16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As of February 26, 2018, GasLog holds a 25.9% interest in the Partnership and, as a result of its ownership of the general partner and the fact that the general partner elects the majority of the Partnership's directors in accordance with the Partnership's partnership agreement, or the "Partnership Agreement", GasLog has the ability to control the Partnership's affairs and policies. Consequently, GasLog Partners is consolidated in the Group's financial statements. The Group's control of the general partner and consequently of the Partnership could be challenged with a 66.67% vote by other unitholders. However, as the Partnership Agreement limits any single unitholder to a maximum of 4.9% of the vote, it is highly unlikely that a coordinated vote of widely held unitholders will be organized to change the Group's control of the general partner. As a result, the Group continues to assume that control of the general partner is a relevant basis on which to conclude control of the Partnership.</w:t>
      </w:r>
    </w:p>
    <w:p>
      <w:pPr>
        <w:spacing w:after="0" w:line="172"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 xml:space="preserve">As described elsewhere herein, GasLog Partners holds options to acquire from GasLog an additional four vessels and GAS-twenty six Ltd. with its long-term bareboat charter of (and right to acquire)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subject to a multi-year charter to MSL). In general, we would expect the exercise of these options to be beneficial to GasLog, as any external equity capital raised by GasLog Partners to finance the acquisition can be expected to reduce our consolidated indebtedness and, if GasLog Partners increases its per unit distributions, increase the return on our incentive distribution rights (although our common unit interest will be diluted by any GasLog Partners equity issuance). GasLog Partners will determine whether, and when, to exercise any of the options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rights that it holds. The timing of those decisions will depend in part on the price and availability of debt and equity financing to GasLog Partners. See "Item 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Major Shareholders and Related Party Transactions—B. Related Party Transactions—Relationship with GasLog Partners—Omnibus Agreement".</w:t>
      </w:r>
    </w:p>
    <w:p>
      <w:pPr>
        <w:spacing w:after="0" w:line="24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1, 2015, GasLog, Dynagas and Golar established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w:t>
      </w:r>
    </w:p>
    <w:p>
      <w:pPr>
        <w:spacing w:after="0" w:line="167"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As of February 26, 2018, the Cool Pool consists of 18 modern high quality and essentially equivalent vessels with TFDE propulsion. The three owners' vessels eligible for participation in the Cool Pool are as follows: GasLog: five vessels; Dynagas: three vessels; and Golar: ten vessels. Each vessel owner continues to be fully responsible for the manning and technical management of its respective vessels. The Cool Pool focuses on charters of less than 12 months' duration. The scheduling of employment opportunities in excess of 12 months will remain the mandate of the respective vessel owner. If a Cool Pool vessel is scheduled by an owner for a charter that exceeds 12 months in duration, such vessel will cease to be part of the Cool Pool.</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February 26, 2018, consists of 29 LNG carriers, including 24 ships on the water and five LNG carriers on order at two of the world's leading LNG shipbuilders, Samsung and Hyundai. This includes 12 LNG carriers in operation that are owned by our NYSE-listed subsidiary GasLog Partners, with which we have entered into certain agreements governing our relationship, including purchase options for certain of our ships. We currently manage and operate 24 LNG carriers including 11 of our wholly owned ships in operation, 11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have secured multi-year contracts for six of our owned ships, the 12 ships owned by the Partnership, four of our five newbuildings on order and the one vessel secured under a long-term bareboat charter with Lepta Shipping. As of December 31, 2017, these contracts are expected to provide total contracted revenues of $3.1 billion during their initial terms, which expire between 2018 and 2029.</w:t>
      </w:r>
    </w:p>
    <w:p>
      <w:pPr>
        <w:spacing w:after="0" w:line="177"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 xml:space="preserve">The LNG carrier in which we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technically managed by us that is currently operating under a 20-year time charter to MSL.</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current time charters have initial terms of up to ten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We have structured our order book of new LNG carriers to have staggered delivery dates, facilitating a smooth integration of the ships into our fleet 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well as significant annual growth through 2020. This has the additional advantage of spreading our exposure to the re-employment of these ships over several years upon expiration of their current charters.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Each of our 29 owned and bareboat LNG carriers is designed with a capacity of between approximately 145,000 cbm and 180,000 cbm. We believe this size range maximizes their operational flexibility as these ships are compatible with most existing LNG terminals around the world. All but one of the LNG carriers in our owned and bareboat fleet are of similar specifications (in groups of ten, seven, four, four, two and two ships), which allows us to benefit from economies of scale and operating efficiencies in ship construction, crew training, crew rotation and shared spare parts. Upon delivery of the last of our five contracted newbuildings, our owned and bareboat fleet will have an average age of 6.9 years, making it one of the youngest in the industry. By comparison, as of December 31, 2017, the average age for the global fleet of LNG carriers, including LNG carriers of all sizes, was 10.4 years.</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As the sole technical manager of BG Group's owned fleet of LNG carriers for over 15 years, we have established a track record for the efficient, safe and reliable operation of LNG carriers which is evidenced by our safety performance and the limited off-hire days of the 25 ships currently operating under our management.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GasLog continued the development of an FSRU business, acting on its strategic decision to enter this business segment.</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the end of 2016, a wholly owned subsidiary of GasLog acquired a 20% shareholding in Gastrade. Gastrade is licensed to develop an independent natural gas system offshore Alexandroupolis in Northern Greece utilizing a FSRU along with other fixed infrastructure. In March 2017, Gastrade launched a Front End Engineering and Design ("FEED") study with Wood Group and GasLog as subcontractor for the FSRU part of the study. The FEED study was finalized in August 2017, confirming the selected offshore concept.</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October 12, 2017, Gastrade and the Greek state-owned gas company, DEPA, signed a cooperation agreement for DEPA's participation in the development of the Alexandroupolis terminal. The agreement includes steps for the acquisition of shares in Gastrade by DEPA and a list of common efforts of the parties for the further commercial development of the project.</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February 23, 2018, a wholly owned subsidiary of GasLog executed an FSRU Operation and Maintenance Agreement with Gastrade. This agreement is tied to the Terminal Use Agreement and subject to final investment decision ("FID") of the Alexandroupolis Project.</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 xml:space="preserve">In March 2017, we signed an agreement with Samsung to commence an FSRU engineering process including the purchase of regasification equipment with long lead times (so-called Long Lead Items). In August, Keppel Shipyard commenced detailed engineering for the conversion of the </w:t>
      </w:r>
      <w:r>
        <w:rPr>
          <w:rFonts w:ascii="Arial" w:cs="Arial" w:eastAsia="Arial" w:hAnsi="Arial"/>
          <w:sz w:val="18"/>
          <w:szCs w:val="18"/>
          <w:i w:val="1"/>
          <w:iCs w:val="1"/>
          <w:color w:val="auto"/>
        </w:rPr>
        <w:t>GasLog Chelsea</w:t>
      </w:r>
      <w:r>
        <w:rPr>
          <w:rFonts w:ascii="Arial" w:cs="Arial" w:eastAsia="Arial" w:hAnsi="Arial"/>
          <w:sz w:val="18"/>
          <w:szCs w:val="18"/>
          <w:color w:val="auto"/>
        </w:rPr>
        <w:t>, one of our 153,600 cbm TFDE vessels into an FSRU. This will be finalized in March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wholly owned vessels and their associated time charters as of February 26,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Cargo</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4"/>
                <w:szCs w:val="14"/>
                <w:color w:val="auto"/>
              </w:rPr>
            </w:pP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Capacity</w:t>
            </w: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8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7"/>
              </w:rPr>
              <w:t>Year Built</w:t>
            </w:r>
          </w:p>
        </w:tc>
        <w:tc>
          <w:tcPr>
            <w:tcW w:w="16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(cbm)</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880" w:type="dxa"/>
            <w:vAlign w:val="bottom"/>
          </w:tcPr>
          <w:p>
            <w:pPr>
              <w:ind w:left="18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Savannah</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155,000</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0"/>
              </w:rPr>
              <w:t>Spot Market</w:t>
            </w:r>
            <w:r>
              <w:rPr>
                <w:rFonts w:ascii="Arial" w:cs="Arial" w:eastAsia="Arial" w:hAnsi="Arial"/>
                <w:sz w:val="28"/>
                <w:szCs w:val="28"/>
                <w:color w:val="auto"/>
                <w:w w:val="90"/>
                <w:vertAlign w:val="superscript"/>
              </w:rPr>
              <w:t>(3)</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Singapore</w:t>
            </w:r>
          </w:p>
        </w:tc>
        <w:tc>
          <w:tcPr>
            <w:tcW w:w="740" w:type="dxa"/>
            <w:vAlign w:val="bottom"/>
          </w:tcPr>
          <w:p>
            <w:pPr>
              <w:jc w:val="right"/>
              <w:spacing w:after="0"/>
              <w:rPr>
                <w:sz w:val="20"/>
                <w:szCs w:val="20"/>
                <w:color w:val="auto"/>
              </w:rPr>
            </w:pPr>
            <w:r>
              <w:rPr>
                <w:rFonts w:ascii="Arial" w:cs="Arial" w:eastAsia="Arial" w:hAnsi="Arial"/>
                <w:sz w:val="18"/>
                <w:szCs w:val="18"/>
                <w:color w:val="auto"/>
              </w:rPr>
              <w:t>2010</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30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i w:val="1"/>
                <w:iCs w:val="1"/>
                <w:color w:val="auto"/>
              </w:rPr>
              <w:t>GasLog Skagen</w:t>
            </w:r>
            <w:r>
              <w:rPr>
                <w:rFonts w:ascii="Arial" w:cs="Arial" w:eastAsia="Arial" w:hAnsi="Arial"/>
                <w:sz w:val="29"/>
                <w:szCs w:val="29"/>
                <w:color w:val="auto"/>
                <w:vertAlign w:val="superscript"/>
              </w:rPr>
              <w:t>(4)</w:t>
            </w: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155,000</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August 2019</w:t>
            </w:r>
            <w:r>
              <w:rPr>
                <w:rFonts w:ascii="Arial" w:cs="Arial" w:eastAsia="Arial" w:hAnsi="Arial"/>
                <w:sz w:val="29"/>
                <w:szCs w:val="29"/>
                <w:color w:val="auto"/>
                <w:w w:val="86"/>
                <w:vertAlign w:val="superscript"/>
              </w:rPr>
              <w:t>(5)</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Chelsea</w:t>
            </w:r>
          </w:p>
        </w:tc>
        <w:tc>
          <w:tcPr>
            <w:tcW w:w="740" w:type="dxa"/>
            <w:vAlign w:val="bottom"/>
          </w:tcPr>
          <w:p>
            <w:pPr>
              <w:jc w:val="right"/>
              <w:spacing w:after="0"/>
              <w:rPr>
                <w:sz w:val="20"/>
                <w:szCs w:val="20"/>
                <w:color w:val="auto"/>
              </w:rPr>
            </w:pPr>
            <w:r>
              <w:rPr>
                <w:rFonts w:ascii="Arial" w:cs="Arial" w:eastAsia="Arial" w:hAnsi="Arial"/>
                <w:sz w:val="18"/>
                <w:szCs w:val="18"/>
                <w:color w:val="auto"/>
              </w:rPr>
              <w:t>2010</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w w:val="86"/>
              </w:rPr>
              <w:t>153,600</w:t>
            </w:r>
          </w:p>
        </w:tc>
        <w:tc>
          <w:tcPr>
            <w:tcW w:w="16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Saratoga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155,000</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Lydon Volney</w:t>
            </w:r>
          </w:p>
        </w:tc>
        <w:tc>
          <w:tcPr>
            <w:tcW w:w="740" w:type="dxa"/>
            <w:vAlign w:val="bottom"/>
          </w:tcPr>
          <w:p>
            <w:pPr>
              <w:jc w:val="right"/>
              <w:spacing w:after="0"/>
              <w:rPr>
                <w:sz w:val="20"/>
                <w:szCs w:val="20"/>
                <w:color w:val="auto"/>
              </w:rPr>
            </w:pPr>
            <w:r>
              <w:rPr>
                <w:rFonts w:ascii="Arial" w:cs="Arial" w:eastAsia="Arial" w:hAnsi="Arial"/>
                <w:sz w:val="18"/>
                <w:szCs w:val="18"/>
                <w:color w:val="auto"/>
              </w:rPr>
              <w:t>2006</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w w:val="86"/>
              </w:rPr>
              <w:t>145,000</w:t>
            </w: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October 2020</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2023 - 2025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Becki Anne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170,000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2024</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2027 - 2029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8</w:t>
            </w:r>
          </w:p>
        </w:tc>
        <w:tc>
          <w:tcPr>
            <w:tcW w:w="2300" w:type="dxa"/>
            <w:vAlign w:val="bottom"/>
            <w:gridSpan w:val="2"/>
          </w:tcPr>
          <w:p>
            <w:pPr>
              <w:ind w:left="100"/>
              <w:spacing w:after="0" w:line="256" w:lineRule="exact"/>
              <w:rPr>
                <w:sz w:val="20"/>
                <w:szCs w:val="20"/>
                <w:color w:val="auto"/>
              </w:rPr>
            </w:pPr>
            <w:r>
              <w:rPr>
                <w:rFonts w:ascii="Arial" w:cs="Arial" w:eastAsia="Arial" w:hAnsi="Arial"/>
                <w:sz w:val="18"/>
                <w:szCs w:val="18"/>
                <w:i w:val="1"/>
                <w:iCs w:val="1"/>
                <w:color w:val="auto"/>
              </w:rPr>
              <w:t>GasLog Salem</w:t>
            </w:r>
            <w:r>
              <w:rPr>
                <w:rFonts w:ascii="Arial" w:cs="Arial" w:eastAsia="Arial" w:hAnsi="Arial"/>
                <w:sz w:val="29"/>
                <w:szCs w:val="29"/>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8"/>
                <w:szCs w:val="18"/>
                <w:color w:val="auto"/>
              </w:rPr>
              <w:t>2015</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w w:val="86"/>
              </w:rPr>
              <w:t>155,000</w:t>
            </w:r>
          </w:p>
        </w:tc>
        <w:tc>
          <w:tcPr>
            <w:tcW w:w="160" w:type="dxa"/>
            <w:vAlign w:val="bottom"/>
          </w:tcPr>
          <w:p>
            <w:pPr>
              <w:spacing w:after="0"/>
              <w:rPr>
                <w:sz w:val="22"/>
                <w:szCs w:val="22"/>
                <w:color w:val="auto"/>
              </w:rPr>
            </w:pPr>
          </w:p>
        </w:tc>
        <w:tc>
          <w:tcPr>
            <w:tcW w:w="1340" w:type="dxa"/>
            <w:vAlign w:val="bottom"/>
          </w:tcPr>
          <w:p>
            <w:pPr>
              <w:jc w:val="center"/>
              <w:spacing w:after="0" w:line="256" w:lineRule="exact"/>
              <w:rPr>
                <w:sz w:val="20"/>
                <w:szCs w:val="20"/>
                <w:color w:val="auto"/>
              </w:rPr>
            </w:pPr>
            <w:r>
              <w:rPr>
                <w:rFonts w:ascii="Arial" w:cs="Arial" w:eastAsia="Arial" w:hAnsi="Arial"/>
                <w:sz w:val="18"/>
                <w:szCs w:val="18"/>
                <w:color w:val="auto"/>
                <w:w w:val="86"/>
              </w:rPr>
              <w:t>Spot Market</w:t>
            </w:r>
            <w:r>
              <w:rPr>
                <w:rFonts w:ascii="Arial" w:cs="Arial" w:eastAsia="Arial" w:hAnsi="Arial"/>
                <w:sz w:val="29"/>
                <w:szCs w:val="29"/>
                <w:color w:val="auto"/>
                <w:w w:val="86"/>
                <w:vertAlign w:val="superscript"/>
              </w:rPr>
              <w:t>(3)</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Glasgow</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174,000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Gibraltar</w:t>
            </w:r>
          </w:p>
        </w:tc>
        <w:tc>
          <w:tcPr>
            <w:tcW w:w="740" w:type="dxa"/>
            <w:vAlign w:val="bottom"/>
          </w:tcPr>
          <w:p>
            <w:pPr>
              <w:jc w:val="right"/>
              <w:spacing w:after="0"/>
              <w:rPr>
                <w:sz w:val="20"/>
                <w:szCs w:val="20"/>
                <w:color w:val="auto"/>
              </w:rPr>
            </w:pPr>
            <w:r>
              <w:rPr>
                <w:rFonts w:ascii="Arial" w:cs="Arial" w:eastAsia="Arial" w:hAnsi="Arial"/>
                <w:sz w:val="18"/>
                <w:szCs w:val="18"/>
                <w:color w:val="auto"/>
              </w:rPr>
              <w:t>2016</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w w:val="86"/>
              </w:rPr>
              <w:t>174,000</w:t>
            </w: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2028 - 2031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230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174,000</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2028</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2031 - 2034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February 26,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b w:val="1"/>
                <w:bCs w:val="1"/>
                <w:color w:val="auto"/>
              </w:rPr>
              <w:t>Cargo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Charter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Capacity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60" w:type="dxa"/>
            <w:vAlign w:val="bottom"/>
            <w:gridSpan w:val="5"/>
          </w:tcPr>
          <w:p>
            <w:pPr>
              <w:ind w:left="1140"/>
              <w:spacing w:after="0"/>
              <w:rPr>
                <w:sz w:val="20"/>
                <w:szCs w:val="20"/>
                <w:color w:val="auto"/>
              </w:rPr>
            </w:pPr>
            <w:r>
              <w:rPr>
                <w:rFonts w:ascii="Arial" w:cs="Arial" w:eastAsia="Arial" w:hAnsi="Arial"/>
                <w:sz w:val="14"/>
                <w:szCs w:val="14"/>
                <w:b w:val="1"/>
                <w:bCs w:val="1"/>
                <w:color w:val="auto"/>
              </w:rPr>
              <w:t>Vessel Name</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Built</w:t>
            </w:r>
          </w:p>
        </w:tc>
        <w:tc>
          <w:tcPr>
            <w:tcW w:w="940" w:type="dxa"/>
            <w:vAlign w:val="bottom"/>
            <w:gridSpan w:val="3"/>
          </w:tcPr>
          <w:p>
            <w:pPr>
              <w:ind w:left="200"/>
              <w:spacing w:after="0"/>
              <w:rPr>
                <w:sz w:val="20"/>
                <w:szCs w:val="20"/>
                <w:color w:val="auto"/>
              </w:rPr>
            </w:pPr>
            <w:r>
              <w:rPr>
                <w:rFonts w:ascii="Arial" w:cs="Arial" w:eastAsia="Arial" w:hAnsi="Arial"/>
                <w:sz w:val="14"/>
                <w:szCs w:val="14"/>
                <w:b w:val="1"/>
                <w:bCs w:val="1"/>
                <w:color w:val="auto"/>
              </w:rPr>
              <w:t>(cbm)</w:t>
            </w:r>
          </w:p>
        </w:tc>
        <w:tc>
          <w:tcPr>
            <w:tcW w:w="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Charterer</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Propulsion</w:t>
            </w:r>
          </w:p>
        </w:tc>
        <w:tc>
          <w:tcPr>
            <w:tcW w:w="120" w:type="dxa"/>
            <w:vAlign w:val="bottom"/>
          </w:tcPr>
          <w:p>
            <w:pPr>
              <w:spacing w:after="0"/>
              <w:rPr>
                <w:sz w:val="15"/>
                <w:szCs w:val="15"/>
                <w:color w:val="auto"/>
              </w:rPr>
            </w:pPr>
          </w:p>
        </w:tc>
        <w:tc>
          <w:tcPr>
            <w:tcW w:w="132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28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GasLog Shanghai</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155,000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Shell</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TFDE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2018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264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Santiago</w:t>
            </w:r>
          </w:p>
        </w:tc>
        <w:tc>
          <w:tcPr>
            <w:tcW w:w="720" w:type="dxa"/>
            <w:vAlign w:val="bottom"/>
          </w:tcPr>
          <w:p>
            <w:pPr>
              <w:jc w:val="right"/>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82"/>
              </w:rPr>
              <w:t>155,000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Shell</w:t>
            </w:r>
          </w:p>
        </w:tc>
        <w:tc>
          <w:tcPr>
            <w:tcW w:w="12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TFDE</w:t>
            </w:r>
          </w:p>
        </w:tc>
        <w:tc>
          <w:tcPr>
            <w:tcW w:w="12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2018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GasLog Sydney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155,000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Shell</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TFDE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September 2018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4</w:t>
            </w:r>
          </w:p>
        </w:tc>
        <w:tc>
          <w:tcPr>
            <w:tcW w:w="264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Seattle</w:t>
            </w:r>
          </w:p>
        </w:tc>
        <w:tc>
          <w:tcPr>
            <w:tcW w:w="720" w:type="dxa"/>
            <w:vAlign w:val="bottom"/>
          </w:tcPr>
          <w:p>
            <w:pPr>
              <w:jc w:val="right"/>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82"/>
              </w:rPr>
              <w:t>155,000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Shell</w:t>
            </w:r>
          </w:p>
        </w:tc>
        <w:tc>
          <w:tcPr>
            <w:tcW w:w="12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TFDE</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December 2020</w:t>
            </w:r>
          </w:p>
        </w:tc>
        <w:tc>
          <w:tcPr>
            <w:tcW w:w="124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2025 - 2030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2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Solaris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155,000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Shell</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TFDE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June 2021</w:t>
            </w:r>
          </w:p>
        </w:tc>
        <w:tc>
          <w:tcPr>
            <w:tcW w:w="124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2026 - 2031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2640" w:type="dxa"/>
            <w:vAlign w:val="bottom"/>
            <w:gridSpan w:val="3"/>
          </w:tcPr>
          <w:p>
            <w:pPr>
              <w:ind w:left="100"/>
              <w:spacing w:after="0"/>
              <w:rPr>
                <w:sz w:val="20"/>
                <w:szCs w:val="20"/>
                <w:color w:val="auto"/>
              </w:rPr>
            </w:pPr>
            <w:r>
              <w:rPr>
                <w:rFonts w:ascii="Arial" w:cs="Arial" w:eastAsia="Arial" w:hAnsi="Arial"/>
                <w:sz w:val="18"/>
                <w:szCs w:val="18"/>
                <w:i w:val="1"/>
                <w:iCs w:val="1"/>
                <w:color w:val="auto"/>
              </w:rPr>
              <w:t>GasLog Greece</w:t>
            </w:r>
          </w:p>
        </w:tc>
        <w:tc>
          <w:tcPr>
            <w:tcW w:w="720" w:type="dxa"/>
            <w:vAlign w:val="bottom"/>
          </w:tcPr>
          <w:p>
            <w:pPr>
              <w:jc w:val="right"/>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82"/>
              </w:rPr>
              <w:t>174,000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Shell</w:t>
            </w:r>
          </w:p>
        </w:tc>
        <w:tc>
          <w:tcPr>
            <w:tcW w:w="12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TFDE</w:t>
            </w:r>
          </w:p>
        </w:tc>
        <w:tc>
          <w:tcPr>
            <w:tcW w:w="12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March 2026</w:t>
            </w:r>
          </w:p>
        </w:tc>
        <w:tc>
          <w:tcPr>
            <w:tcW w:w="1240" w:type="dxa"/>
            <w:vAlign w:val="bottom"/>
            <w:gridSpan w:val="3"/>
          </w:tcPr>
          <w:p>
            <w:pPr>
              <w:jc w:val="center"/>
              <w:ind w:left="52"/>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2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GasLog Geneva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174,000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Shell</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TFDE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September 2023</w:t>
            </w:r>
          </w:p>
        </w:tc>
        <w:tc>
          <w:tcPr>
            <w:tcW w:w="124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9"/>
              </w:rPr>
              <w:t>2028 - 2031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8</w:t>
            </w:r>
          </w:p>
        </w:tc>
        <w:tc>
          <w:tcPr>
            <w:tcW w:w="2640" w:type="dxa"/>
            <w:vAlign w:val="bottom"/>
            <w:gridSpan w:val="3"/>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720" w:type="dxa"/>
            <w:vAlign w:val="bottom"/>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82"/>
              </w:rPr>
              <w:t>145,000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Shell</w:t>
            </w:r>
          </w:p>
        </w:tc>
        <w:tc>
          <w:tcPr>
            <w:tcW w:w="12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Steam</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2020</w:t>
            </w:r>
          </w:p>
        </w:tc>
        <w:tc>
          <w:tcPr>
            <w:tcW w:w="124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2023 - 2025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145,000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Shell</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Steam</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October 2019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640" w:type="dxa"/>
            <w:vAlign w:val="bottom"/>
            <w:gridSpan w:val="3"/>
          </w:tcPr>
          <w:p>
            <w:pPr>
              <w:ind w:left="100"/>
              <w:spacing w:after="0"/>
              <w:rPr>
                <w:sz w:val="20"/>
                <w:szCs w:val="20"/>
                <w:color w:val="auto"/>
              </w:rPr>
            </w:pPr>
            <w:r>
              <w:rPr>
                <w:rFonts w:ascii="Arial" w:cs="Arial" w:eastAsia="Arial" w:hAnsi="Arial"/>
                <w:sz w:val="18"/>
                <w:szCs w:val="18"/>
                <w:i w:val="1"/>
                <w:iCs w:val="1"/>
                <w:color w:val="auto"/>
              </w:rPr>
              <w:t>Methane Shirley Elisabeth</w:t>
            </w: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82"/>
              </w:rPr>
              <w:t>145,000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Shell</w:t>
            </w:r>
          </w:p>
        </w:tc>
        <w:tc>
          <w:tcPr>
            <w:tcW w:w="12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Steam</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June 2020</w:t>
            </w:r>
          </w:p>
        </w:tc>
        <w:tc>
          <w:tcPr>
            <w:tcW w:w="124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2023 - 2025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2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145,000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Shell</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Steam</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December 2019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640" w:type="dxa"/>
            <w:vAlign w:val="bottom"/>
            <w:gridSpan w:val="3"/>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82"/>
              </w:rPr>
              <w:t>145,000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ind w:left="20"/>
              <w:spacing w:after="0"/>
              <w:rPr>
                <w:sz w:val="20"/>
                <w:szCs w:val="20"/>
                <w:color w:val="auto"/>
              </w:rPr>
            </w:pPr>
            <w:r>
              <w:rPr>
                <w:rFonts w:ascii="Arial" w:cs="Arial" w:eastAsia="Arial" w:hAnsi="Arial"/>
                <w:sz w:val="18"/>
                <w:szCs w:val="18"/>
                <w:color w:val="auto"/>
              </w:rPr>
              <w:t>Shell</w:t>
            </w:r>
          </w:p>
        </w:tc>
        <w:tc>
          <w:tcPr>
            <w:tcW w:w="120" w:type="dxa"/>
            <w:vAlign w:val="bottom"/>
          </w:tcPr>
          <w:p>
            <w:pPr>
              <w:spacing w:after="0"/>
              <w:rPr>
                <w:sz w:val="19"/>
                <w:szCs w:val="19"/>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color w:val="auto"/>
              </w:rPr>
              <w:t>Steam</w:t>
            </w:r>
          </w:p>
        </w:tc>
        <w:tc>
          <w:tcPr>
            <w:tcW w:w="12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December 2020</w:t>
            </w:r>
          </w:p>
        </w:tc>
        <w:tc>
          <w:tcPr>
            <w:tcW w:w="1240" w:type="dxa"/>
            <w:vAlign w:val="bottom"/>
            <w:gridSpan w:val="3"/>
          </w:tcPr>
          <w:p>
            <w:pPr>
              <w:jc w:val="center"/>
              <w:ind w:left="52"/>
              <w:spacing w:after="0"/>
              <w:rPr>
                <w:sz w:val="20"/>
                <w:szCs w:val="20"/>
                <w:color w:val="auto"/>
              </w:rPr>
            </w:pPr>
            <w:r>
              <w:rPr>
                <w:rFonts w:ascii="Arial" w:cs="Arial" w:eastAsia="Arial" w:hAnsi="Arial"/>
                <w:sz w:val="18"/>
                <w:szCs w:val="18"/>
                <w:color w:val="auto"/>
                <w:w w:val="89"/>
              </w:rPr>
              <w:t>2023 - 2025</w:t>
            </w:r>
          </w:p>
        </w:tc>
        <w:tc>
          <w:tcPr>
            <w:tcW w:w="0" w:type="dxa"/>
            <w:vAlign w:val="bottom"/>
          </w:tcPr>
          <w:p>
            <w:pPr>
              <w:spacing w:after="0"/>
              <w:rPr>
                <w:sz w:val="1"/>
                <w:szCs w:val="1"/>
                <w:color w:val="auto"/>
              </w:rPr>
            </w:pPr>
          </w:p>
        </w:tc>
      </w:tr>
      <w:tr>
        <w:trPr>
          <w:trHeight w:val="418"/>
        </w:trPr>
        <w:tc>
          <w:tcPr>
            <w:tcW w:w="14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Bareboat Vessel</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tcPr>
          <w:p>
            <w:pPr>
              <w:ind w:left="260"/>
              <w:spacing w:after="0"/>
              <w:rPr>
                <w:sz w:val="20"/>
                <w:szCs w:val="20"/>
                <w:color w:val="auto"/>
              </w:rPr>
            </w:pPr>
            <w:r>
              <w:rPr>
                <w:rFonts w:ascii="Arial" w:cs="Arial" w:eastAsia="Arial" w:hAnsi="Arial"/>
                <w:sz w:val="14"/>
                <w:szCs w:val="14"/>
                <w:b w:val="1"/>
                <w:bCs w:val="1"/>
                <w:color w:val="auto"/>
              </w:rPr>
              <w:t>Cargo</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Charter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7"/>
              </w:rPr>
              <w:t>Optional</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4"/>
                <w:szCs w:val="14"/>
                <w:b w:val="1"/>
                <w:bCs w:val="1"/>
                <w:color w:val="auto"/>
              </w:rPr>
              <w:t>Capacity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60" w:type="dxa"/>
            <w:vAlign w:val="bottom"/>
            <w:gridSpan w:val="5"/>
          </w:tcPr>
          <w:p>
            <w:pPr>
              <w:ind w:left="1140"/>
              <w:spacing w:after="0"/>
              <w:rPr>
                <w:sz w:val="20"/>
                <w:szCs w:val="20"/>
                <w:color w:val="auto"/>
              </w:rPr>
            </w:pPr>
            <w:r>
              <w:rPr>
                <w:rFonts w:ascii="Arial" w:cs="Arial" w:eastAsia="Arial" w:hAnsi="Arial"/>
                <w:sz w:val="14"/>
                <w:szCs w:val="14"/>
                <w:b w:val="1"/>
                <w:bCs w:val="1"/>
                <w:color w:val="auto"/>
              </w:rPr>
              <w:t>Vessel Name</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Built</w:t>
            </w:r>
          </w:p>
        </w:tc>
        <w:tc>
          <w:tcPr>
            <w:tcW w:w="940" w:type="dxa"/>
            <w:vAlign w:val="bottom"/>
            <w:gridSpan w:val="3"/>
          </w:tcPr>
          <w:p>
            <w:pPr>
              <w:ind w:left="280"/>
              <w:spacing w:after="0"/>
              <w:rPr>
                <w:sz w:val="20"/>
                <w:szCs w:val="20"/>
                <w:color w:val="auto"/>
              </w:rPr>
            </w:pPr>
            <w:r>
              <w:rPr>
                <w:rFonts w:ascii="Arial" w:cs="Arial" w:eastAsia="Arial" w:hAnsi="Arial"/>
                <w:sz w:val="14"/>
                <w:szCs w:val="14"/>
                <w:b w:val="1"/>
                <w:bCs w:val="1"/>
                <w:color w:val="auto"/>
              </w:rPr>
              <w:t>(cbm)</w:t>
            </w:r>
          </w:p>
        </w:tc>
        <w:tc>
          <w:tcPr>
            <w:tcW w:w="12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Charterer</w:t>
            </w:r>
          </w:p>
        </w:tc>
        <w:tc>
          <w:tcPr>
            <w:tcW w:w="1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Propulsion</w:t>
            </w:r>
          </w:p>
        </w:tc>
        <w:tc>
          <w:tcPr>
            <w:tcW w:w="120" w:type="dxa"/>
            <w:vAlign w:val="bottom"/>
          </w:tcPr>
          <w:p>
            <w:pPr>
              <w:spacing w:after="0"/>
              <w:rPr>
                <w:sz w:val="15"/>
                <w:szCs w:val="15"/>
                <w:color w:val="auto"/>
              </w:rPr>
            </w:pPr>
          </w:p>
        </w:tc>
        <w:tc>
          <w:tcPr>
            <w:tcW w:w="132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62"/>
              <w:spacing w:after="0" w:line="176" w:lineRule="exact"/>
              <w:rPr>
                <w:sz w:val="20"/>
                <w:szCs w:val="20"/>
                <w:color w:val="auto"/>
              </w:rPr>
            </w:pPr>
            <w:r>
              <w:rPr>
                <w:rFonts w:ascii="Arial" w:cs="Arial" w:eastAsia="Arial" w:hAnsi="Arial"/>
                <w:sz w:val="13"/>
                <w:szCs w:val="13"/>
                <w:b w:val="1"/>
                <w:bCs w:val="1"/>
                <w:color w:val="auto"/>
                <w:w w:val="88"/>
              </w:rPr>
              <w:t>Period</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vMerge w:val="continue"/>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640" w:type="dxa"/>
            <w:vAlign w:val="bottom"/>
            <w:tcBorders>
              <w:right w:val="single" w:sz="8" w:color="CCEEFF"/>
            </w:tcBorders>
            <w:gridSpan w:val="3"/>
            <w:shd w:val="clear" w:color="auto" w:fill="CCEEFF"/>
          </w:tcPr>
          <w:p>
            <w:pPr>
              <w:ind w:left="100"/>
              <w:spacing w:after="0" w:line="250" w:lineRule="exact"/>
              <w:rPr>
                <w:sz w:val="20"/>
                <w:szCs w:val="20"/>
                <w:color w:val="auto"/>
              </w:rPr>
            </w:pPr>
            <w:r>
              <w:rPr>
                <w:rFonts w:ascii="Arial" w:cs="Arial" w:eastAsia="Arial" w:hAnsi="Arial"/>
                <w:sz w:val="17"/>
                <w:szCs w:val="17"/>
                <w:i w:val="1"/>
                <w:iCs w:val="1"/>
                <w:color w:val="auto"/>
              </w:rPr>
              <w:t>Methane Julia Louise</w:t>
            </w:r>
            <w:r>
              <w:rPr>
                <w:rFonts w:ascii="Arial" w:cs="Arial" w:eastAsia="Arial" w:hAnsi="Arial"/>
                <w:sz w:val="28"/>
                <w:szCs w:val="28"/>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170,000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Shell</w:t>
            </w:r>
          </w:p>
        </w:tc>
        <w:tc>
          <w:tcPr>
            <w:tcW w:w="1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TFDE</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March 2026</w:t>
            </w:r>
          </w:p>
        </w:tc>
        <w:tc>
          <w:tcPr>
            <w:tcW w:w="1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2029 - 2031</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22" w:lineRule="exact"/>
        <w:rPr>
          <w:rFonts w:ascii="Arial" w:cs="Arial" w:eastAsia="Arial" w:hAnsi="Arial"/>
          <w:sz w:val="11"/>
          <w:szCs w:val="11"/>
          <w:color w:val="auto"/>
        </w:rPr>
      </w:pPr>
    </w:p>
    <w:p>
      <w:pPr>
        <w:ind w:left="1680" w:hanging="531"/>
        <w:spacing w:after="0" w:line="268" w:lineRule="auto"/>
        <w:tabs>
          <w:tab w:leader="none" w:pos="1680" w:val="left"/>
        </w:tabs>
        <w:numPr>
          <w:ilvl w:val="0"/>
          <w:numId w:val="34"/>
        </w:numPr>
        <w:rPr>
          <w:rFonts w:ascii="Arial" w:cs="Arial" w:eastAsia="Arial" w:hAnsi="Arial"/>
          <w:sz w:val="10"/>
          <w:szCs w:val="10"/>
          <w:color w:val="auto"/>
        </w:rPr>
      </w:pPr>
      <w:r>
        <w:rPr>
          <w:rFonts w:ascii="Arial" w:cs="Arial" w:eastAsia="Arial" w:hAnsi="Arial"/>
          <w:sz w:val="12"/>
          <w:szCs w:val="12"/>
          <w:color w:val="auto"/>
        </w:rPr>
        <w:t xml:space="preserve">The period shown reflects the expiration of the minimum optional period and the maximum optional period. The charterers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have unilateral options to extend the term of the time charter for periods ranging from five to ten years, provided that the charterers provide us with advance notices of declaration of any option in accordance with the terms of the applicable charter. The charterers of the </w:t>
      </w:r>
      <w:r>
        <w:rPr>
          <w:rFonts w:ascii="Arial" w:cs="Arial" w:eastAsia="Arial" w:hAnsi="Arial"/>
          <w:sz w:val="12"/>
          <w:szCs w:val="12"/>
          <w:i w:val="1"/>
          <w:iCs w:val="1"/>
          <w:color w:val="auto"/>
        </w:rPr>
        <w:t>Methane Lydon Volney,</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Rita</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Andrea, </w:t>
      </w:r>
      <w:r>
        <w:rPr>
          <w:rFonts w:ascii="Arial" w:cs="Arial" w:eastAsia="Arial" w:hAnsi="Arial"/>
          <w:sz w:val="12"/>
          <w:szCs w:val="12"/>
          <w:color w:val="auto"/>
        </w:rPr>
        <w:t>the</w:t>
      </w:r>
      <w:r>
        <w:rPr>
          <w:rFonts w:ascii="Arial" w:cs="Arial" w:eastAsia="Arial" w:hAnsi="Arial"/>
          <w:sz w:val="12"/>
          <w:szCs w:val="12"/>
          <w:i w:val="1"/>
          <w:iCs w:val="1"/>
          <w:color w:val="auto"/>
        </w:rPr>
        <w:t xml:space="preserve"> Methane Becki Anne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Julia Louise </w:t>
      </w:r>
      <w:r>
        <w:rPr>
          <w:rFonts w:ascii="Arial" w:cs="Arial" w:eastAsia="Arial" w:hAnsi="Arial"/>
          <w:sz w:val="12"/>
          <w:szCs w:val="12"/>
          <w:color w:val="auto"/>
        </w:rPr>
        <w:t>have unilateral options to extend the term for the related time charters for a period of either three or five years at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their election, provided that the charterers provide us with advance notices of declaration of any option in accordance with the terms of the applicable charter. The charterer of the </w:t>
      </w:r>
      <w:r>
        <w:rPr>
          <w:rFonts w:ascii="Arial" w:cs="Arial" w:eastAsia="Arial" w:hAnsi="Arial"/>
          <w:sz w:val="12"/>
          <w:szCs w:val="12"/>
          <w:i w:val="1"/>
          <w:iCs w:val="1"/>
          <w:color w:val="auto"/>
        </w:rPr>
        <w:t xml:space="preserve">Methane Becki Anne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Julia Louise </w:t>
      </w:r>
      <w:r>
        <w:rPr>
          <w:rFonts w:ascii="Arial" w:cs="Arial" w:eastAsia="Arial" w:hAnsi="Arial"/>
          <w:sz w:val="12"/>
          <w:szCs w:val="12"/>
          <w:color w:val="auto"/>
        </w:rPr>
        <w:t>has a unilateral option to extend the term of the time charters for a period of either three or five years at its election.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charterer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Glasgow</w:t>
      </w:r>
      <w:r>
        <w:rPr>
          <w:rFonts w:ascii="Arial" w:cs="Arial" w:eastAsia="Arial" w:hAnsi="Arial"/>
          <w:sz w:val="12"/>
          <w:szCs w:val="12"/>
          <w:color w:val="auto"/>
        </w:rPr>
        <w:t xml:space="preserve"> has the right to extend the charters for a period of five years at the charterer's option.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100"/>
        <w:spacing w:after="0" w:line="233" w:lineRule="auto"/>
        <w:rPr>
          <w:sz w:val="20"/>
          <w:szCs w:val="20"/>
          <w:color w:val="auto"/>
        </w:rPr>
      </w:pPr>
      <w:r>
        <w:rPr>
          <w:rFonts w:ascii="Arial" w:cs="Arial" w:eastAsia="Arial" w:hAnsi="Arial"/>
          <w:sz w:val="14"/>
          <w:szCs w:val="14"/>
          <w:color w:val="auto"/>
        </w:rPr>
        <w:t xml:space="preserve">charterer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has the right to extend each charter by two additional periods of five and three years, provided that the charterer provides us with advance notice of declaration. The charterer of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has the right to extend the charter by two additional periods of three years, provided that the charterer provides us with advance notice of declaration.</w:t>
      </w:r>
    </w:p>
    <w:p>
      <w:pPr>
        <w:spacing w:after="0" w:line="179" w:lineRule="exact"/>
        <w:rPr>
          <w:sz w:val="20"/>
          <w:szCs w:val="20"/>
          <w:color w:val="auto"/>
        </w:rPr>
      </w:pPr>
    </w:p>
    <w:p>
      <w:pPr>
        <w:ind w:left="1680" w:hanging="531"/>
        <w:spacing w:after="0"/>
        <w:tabs>
          <w:tab w:leader="none" w:pos="1680" w:val="left"/>
        </w:tabs>
        <w:numPr>
          <w:ilvl w:val="0"/>
          <w:numId w:val="35"/>
        </w:numPr>
        <w:rPr>
          <w:rFonts w:ascii="Arial" w:cs="Arial" w:eastAsia="Arial" w:hAnsi="Arial"/>
          <w:sz w:val="10"/>
          <w:szCs w:val="10"/>
          <w:color w:val="auto"/>
        </w:rPr>
      </w:pPr>
      <w:r>
        <w:rPr>
          <w:rFonts w:ascii="Arial" w:cs="Arial" w:eastAsia="Arial" w:hAnsi="Arial"/>
          <w:sz w:val="12"/>
          <w:szCs w:val="12"/>
          <w:color w:val="auto"/>
        </w:rPr>
        <w:t>Vessels operating in the spot market that participate in the Cool Pool. See "Item 4. Information of the Company—A. History and Development of the Company."</w:t>
      </w:r>
    </w:p>
    <w:p>
      <w:pPr>
        <w:spacing w:after="0" w:line="145" w:lineRule="exact"/>
        <w:rPr>
          <w:rFonts w:ascii="Arial" w:cs="Arial" w:eastAsia="Arial" w:hAnsi="Arial"/>
          <w:sz w:val="10"/>
          <w:szCs w:val="10"/>
          <w:color w:val="auto"/>
        </w:rPr>
      </w:pPr>
    </w:p>
    <w:p>
      <w:pPr>
        <w:ind w:left="1680" w:hanging="531"/>
        <w:spacing w:after="0" w:line="233" w:lineRule="auto"/>
        <w:tabs>
          <w:tab w:leader="none" w:pos="16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 xml:space="preserve">On December 6, 2017, a deed of novation and amendment of the charter party agreement of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with Shell was signed between the Group and Shell to substitute the </w:t>
      </w:r>
      <w:r>
        <w:rPr>
          <w:rFonts w:ascii="Arial" w:cs="Arial" w:eastAsia="Arial" w:hAnsi="Arial"/>
          <w:sz w:val="14"/>
          <w:szCs w:val="14"/>
          <w:i w:val="1"/>
          <w:iCs w:val="1"/>
          <w:color w:val="auto"/>
        </w:rPr>
        <w:t>GasLog Salem</w:t>
      </w:r>
      <w:r>
        <w:rPr>
          <w:rFonts w:ascii="Arial" w:cs="Arial" w:eastAsia="Arial" w:hAnsi="Arial"/>
          <w:sz w:val="14"/>
          <w:szCs w:val="14"/>
          <w:color w:val="auto"/>
        </w:rPr>
        <w:t xml:space="preserve"> for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in the execution of the charter party. The substitution will take effect after the completion of the </w:t>
      </w:r>
      <w:r>
        <w:rPr>
          <w:rFonts w:ascii="Arial" w:cs="Arial" w:eastAsia="Arial" w:hAnsi="Arial"/>
          <w:sz w:val="14"/>
          <w:szCs w:val="14"/>
          <w:i w:val="1"/>
          <w:iCs w:val="1"/>
          <w:color w:val="auto"/>
        </w:rPr>
        <w:t>GasLog Skagen's</w:t>
      </w:r>
      <w:r>
        <w:rPr>
          <w:rFonts w:ascii="Arial" w:cs="Arial" w:eastAsia="Arial" w:hAnsi="Arial"/>
          <w:sz w:val="14"/>
          <w:szCs w:val="14"/>
          <w:color w:val="auto"/>
        </w:rPr>
        <w:t xml:space="preserve"> drydocking in the third quarter of 2018.</w:t>
      </w:r>
    </w:p>
    <w:p>
      <w:pPr>
        <w:spacing w:after="0" w:line="111" w:lineRule="exact"/>
        <w:rPr>
          <w:rFonts w:ascii="Arial" w:cs="Arial" w:eastAsia="Arial" w:hAnsi="Arial"/>
          <w:sz w:val="11"/>
          <w:szCs w:val="11"/>
          <w:color w:val="auto"/>
        </w:rPr>
      </w:pPr>
    </w:p>
    <w:p>
      <w:pPr>
        <w:ind w:left="1680" w:right="160" w:hanging="531"/>
        <w:spacing w:after="0" w:line="239" w:lineRule="auto"/>
        <w:tabs>
          <w:tab w:leader="none" w:pos="16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 xml:space="preserve">On April 28, 2017, the Group signed an amendment to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seasonal time charter agreement, pursuant to which the seasonal charter of the vessel, due to expire in April 2021, was replaced by a continuous time charter for a period of 2.4 years ending in August 2019.</w:t>
      </w:r>
    </w:p>
    <w:p>
      <w:pPr>
        <w:spacing w:after="0" w:line="111" w:lineRule="exact"/>
        <w:rPr>
          <w:rFonts w:ascii="Arial" w:cs="Arial" w:eastAsia="Arial" w:hAnsi="Arial"/>
          <w:sz w:val="11"/>
          <w:szCs w:val="11"/>
          <w:color w:val="auto"/>
        </w:rPr>
      </w:pPr>
    </w:p>
    <w:p>
      <w:pPr>
        <w:ind w:left="1680" w:right="160" w:hanging="531"/>
        <w:spacing w:after="0" w:line="239" w:lineRule="auto"/>
        <w:tabs>
          <w:tab w:leader="none" w:pos="16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The vessel is currently on a short-term charter to a major LNG producer and thereafter will trade in the short-term market until the commencement of its multi-year charter party with a subsidiary of Shell, from the end of 2018 until April 2028.</w:t>
      </w:r>
    </w:p>
    <w:p>
      <w:pPr>
        <w:spacing w:after="0" w:line="111" w:lineRule="exact"/>
        <w:rPr>
          <w:rFonts w:ascii="Arial" w:cs="Arial" w:eastAsia="Arial" w:hAnsi="Arial"/>
          <w:sz w:val="11"/>
          <w:szCs w:val="11"/>
          <w:color w:val="auto"/>
        </w:rPr>
      </w:pPr>
    </w:p>
    <w:p>
      <w:pPr>
        <w:ind w:left="1680" w:right="20" w:hanging="531"/>
        <w:spacing w:after="0" w:line="278" w:lineRule="auto"/>
        <w:tabs>
          <w:tab w:leader="none" w:pos="1680" w:val="left"/>
        </w:tabs>
        <w:numPr>
          <w:ilvl w:val="0"/>
          <w:numId w:val="35"/>
        </w:numPr>
        <w:rPr>
          <w:rFonts w:ascii="Arial" w:cs="Arial" w:eastAsia="Arial" w:hAnsi="Arial"/>
          <w:sz w:val="10"/>
          <w:szCs w:val="10"/>
          <w:color w:val="auto"/>
        </w:rPr>
      </w:pPr>
      <w:r>
        <w:rPr>
          <w:rFonts w:ascii="Arial" w:cs="Arial" w:eastAsia="Arial" w:hAnsi="Arial"/>
          <w:sz w:val="12"/>
          <w:szCs w:val="12"/>
          <w:color w:val="auto"/>
        </w:rPr>
        <w:t xml:space="preserve">On February 24, 2016, GasLog's subsidiary,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Newbuilds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Expected</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160" w:type="dxa"/>
            <w:vAlign w:val="bottom"/>
          </w:tcPr>
          <w:p>
            <w:pPr>
              <w:spacing w:after="0"/>
              <w:rPr>
                <w:sz w:val="14"/>
                <w:szCs w:val="14"/>
                <w:color w:val="auto"/>
              </w:rPr>
            </w:pPr>
          </w:p>
        </w:tc>
        <w:tc>
          <w:tcPr>
            <w:tcW w:w="14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Vessel Name</w:t>
            </w:r>
          </w:p>
        </w:tc>
        <w:tc>
          <w:tcPr>
            <w:tcW w:w="1100" w:type="dxa"/>
            <w:vAlign w:val="bottom"/>
          </w:tcPr>
          <w:p>
            <w:pPr>
              <w:ind w:left="220"/>
              <w:spacing w:after="0" w:line="176" w:lineRule="exact"/>
              <w:rPr>
                <w:sz w:val="20"/>
                <w:szCs w:val="20"/>
                <w:color w:val="auto"/>
              </w:rPr>
            </w:pPr>
            <w:r>
              <w:rPr>
                <w:rFonts w:ascii="Arial" w:cs="Arial" w:eastAsia="Arial" w:hAnsi="Arial"/>
                <w:sz w:val="13"/>
                <w:szCs w:val="13"/>
                <w:b w:val="1"/>
                <w:bCs w:val="1"/>
                <w:color w:val="auto"/>
              </w:rPr>
              <w:t>Delivery</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(2)</w:t>
            </w:r>
          </w:p>
        </w:tc>
        <w:tc>
          <w:tcPr>
            <w:tcW w:w="160" w:type="dxa"/>
            <w:vAlign w:val="bottom"/>
          </w:tcPr>
          <w:p>
            <w:pPr>
              <w:spacing w:after="0"/>
              <w:rPr>
                <w:sz w:val="15"/>
                <w:szCs w:val="15"/>
                <w:color w:val="auto"/>
              </w:rPr>
            </w:pPr>
          </w:p>
        </w:tc>
        <w:tc>
          <w:tcPr>
            <w:tcW w:w="1420" w:type="dxa"/>
            <w:vAlign w:val="bottom"/>
          </w:tcPr>
          <w:p>
            <w:pPr>
              <w:ind w:left="44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2801</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Q1 2018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2025</w:t>
            </w:r>
          </w:p>
        </w:tc>
        <w:tc>
          <w:tcPr>
            <w:tcW w:w="1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200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2130</w:t>
            </w:r>
          </w:p>
        </w:tc>
        <w:tc>
          <w:tcPr>
            <w:tcW w:w="1100" w:type="dxa"/>
            <w:vAlign w:val="bottom"/>
          </w:tcPr>
          <w:p>
            <w:pPr>
              <w:ind w:left="480"/>
              <w:spacing w:after="0"/>
              <w:rPr>
                <w:sz w:val="20"/>
                <w:szCs w:val="20"/>
                <w:color w:val="auto"/>
              </w:rPr>
            </w:pPr>
            <w:r>
              <w:rPr>
                <w:rFonts w:ascii="Arial" w:cs="Arial" w:eastAsia="Arial" w:hAnsi="Arial"/>
                <w:sz w:val="18"/>
                <w:szCs w:val="18"/>
                <w:color w:val="auto"/>
                <w:w w:val="86"/>
              </w:rPr>
              <w:t>Q1 2018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2027</w:t>
            </w:r>
          </w:p>
        </w:tc>
        <w:tc>
          <w:tcPr>
            <w:tcW w:w="158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2030 - 2033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2131</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Q1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2029</w:t>
            </w:r>
          </w:p>
        </w:tc>
        <w:tc>
          <w:tcPr>
            <w:tcW w:w="1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2032 - 2035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200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2212</w:t>
            </w:r>
          </w:p>
        </w:tc>
        <w:tc>
          <w:tcPr>
            <w:tcW w:w="1100" w:type="dxa"/>
            <w:vAlign w:val="bottom"/>
          </w:tcPr>
          <w:p>
            <w:pPr>
              <w:ind w:left="480"/>
              <w:spacing w:after="0"/>
              <w:rPr>
                <w:sz w:val="20"/>
                <w:szCs w:val="20"/>
                <w:color w:val="auto"/>
              </w:rPr>
            </w:pPr>
            <w:r>
              <w:rPr>
                <w:rFonts w:ascii="Arial" w:cs="Arial" w:eastAsia="Arial" w:hAnsi="Arial"/>
                <w:sz w:val="18"/>
                <w:szCs w:val="18"/>
                <w:color w:val="auto"/>
                <w:w w:val="86"/>
              </w:rPr>
              <w:t>Q3 2019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2213</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Q2 2020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4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2027</w:t>
            </w:r>
          </w:p>
        </w:tc>
        <w:tc>
          <w:tcPr>
            <w:tcW w:w="1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2029 - 2033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Indicates the expiration of the initial term.</w:t>
      </w:r>
    </w:p>
    <w:p>
      <w:pPr>
        <w:spacing w:after="0" w:line="122" w:lineRule="exact"/>
        <w:rPr>
          <w:rFonts w:ascii="Arial" w:cs="Arial" w:eastAsia="Arial" w:hAnsi="Arial"/>
          <w:sz w:val="11"/>
          <w:szCs w:val="11"/>
          <w:color w:val="auto"/>
        </w:rPr>
      </w:pPr>
    </w:p>
    <w:p>
      <w:pPr>
        <w:ind w:left="1680" w:right="200" w:hanging="531"/>
        <w:spacing w:after="0" w:line="288" w:lineRule="auto"/>
        <w:tabs>
          <w:tab w:leader="none" w:pos="1680" w:val="left"/>
        </w:tabs>
        <w:numPr>
          <w:ilvl w:val="0"/>
          <w:numId w:val="36"/>
        </w:numPr>
        <w:rPr>
          <w:rFonts w:ascii="Arial" w:cs="Arial" w:eastAsia="Arial" w:hAnsi="Arial"/>
          <w:sz w:val="10"/>
          <w:szCs w:val="10"/>
          <w:color w:val="auto"/>
        </w:rPr>
      </w:pPr>
      <w:r>
        <w:rPr>
          <w:rFonts w:ascii="Arial" w:cs="Arial" w:eastAsia="Arial" w:hAnsi="Arial"/>
          <w:sz w:val="12"/>
          <w:szCs w:val="12"/>
          <w:color w:val="auto"/>
        </w:rPr>
        <w:t>The charterer of Hull No. 2801 has the right to extend the charter for a period of three years, provided that the charterer provides us with advance notice of declaration. The charterer of Hull No. 2130 and Hull No. 2131 has the right to extend each of the charters by two consecutive periods of three years each, provided that the charterer provides us with advance notice of declaration. The charterer of Hull No. 2213 has the right to extend the charter by three consecutive periods of two years each at the charterer's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are due to come off charter in May 2018, July 2018 and September 2018, respectively, each plus or minus 30 days. In addition,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October 2019 and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in December 2019, each plus or minus 30 days. Following the forthcoming substitution of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for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is due to come off charter in the third quarter of 2018 while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is due to come off charter in September 2019. GasLog Partners and GasLog continue to pursue opportunities for new multi-year charters with third parties for the vessels and, on an interim basis, may consider trading the vessels in the spot market, pursuing the most advantageous redeployment depending on evolving market conditions. It should be noted that for the </w:t>
      </w:r>
      <w:r>
        <w:rPr>
          <w:rFonts w:ascii="Arial" w:cs="Arial" w:eastAsia="Arial" w:hAnsi="Arial"/>
          <w:sz w:val="16"/>
          <w:szCs w:val="16"/>
          <w:i w:val="1"/>
          <w:iCs w:val="1"/>
          <w:color w:val="auto"/>
        </w:rPr>
        <w:t>GasLog Sydney</w:t>
      </w:r>
      <w:r>
        <w:rPr>
          <w:rFonts w:ascii="Arial" w:cs="Arial" w:eastAsia="Arial" w:hAnsi="Arial"/>
          <w:sz w:val="16"/>
          <w:szCs w:val="16"/>
          <w:color w:val="auto"/>
        </w:rPr>
        <w:t>,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Partners Existing Vessel Interests Purchase Options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within 36 months after we notify the Partnership's board of directors of the vessel's acceptance by her charterer, (ii)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right to acquire GAS-twenty six Ltd. with its long-term bareboat charter of (and the right to acquire)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subject to a multi-year charter to MSL) within 36 months after the completion of its acquisition by GasLog on March 31, 2015, which options will expire in March 2018 if not extended and (iii)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within 30 days after we notify the Partnership's board of directors of the vessel's acceptance by her charterer. In each case, GasLog Partners' option to purchase is at fair market value as determined pursuant to the omnibus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Fleet Characteristics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characteristics of our current owned and bareboat fleet include the following:</w:t>
      </w:r>
    </w:p>
    <w:p>
      <w:pPr>
        <w:spacing w:after="0" w:line="239" w:lineRule="exact"/>
        <w:rPr>
          <w:sz w:val="20"/>
          <w:szCs w:val="20"/>
          <w:color w:val="auto"/>
        </w:rPr>
      </w:pPr>
    </w:p>
    <w:p>
      <w:pPr>
        <w:ind w:left="1080" w:right="6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180,000 cbm capacity, which places our ships in the medium- to large-size class of LNG carriers; we believe this size range maximizes their operational flexibility, as these ships are compatible with most existing LNG terminals around the world and have competitive levels of LNG boil-off;</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080" w:right="80" w:hanging="532"/>
        <w:spacing w:after="0" w:line="370"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our ships is modern steam powered or has TFDE or LP-2S engine propulsion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Bermuda is the flag state of each ship;</w:t>
      </w:r>
    </w:p>
    <w:p>
      <w:pPr>
        <w:spacing w:after="0" w:line="238"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4"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delivery of the last of our five contracted newbuildings in 2020, our owned fleet will have an average age of 6.9 years, making it one of the youngest in the industry, compared to a current average age of 10.4 years for the global LNG carrier fleet including LNG carriers of all sizes as of December 31, 2017.</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In addition to our owned and bareboat fleet, we have a 25.0% ownership interest in Egypt LNG, an entity whose principal asset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is a 145,000 cbm LNG carrier that was built in 2007. It is currently chartered to MSL under a 20-year time charter, which is subject to extension for up to 10 years at the charterer's option.</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continually evaluate short and long-term charter opportunities for our vessels, including the newbuildings for which we do not currently have charters fixed. Our discussions with potential charterers are at various stages of advancement; however, we cannot provide assurance that we will conclude any particular charter or, if concluded, as to the charter rate that will apply.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Fleet</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Through GasLog LNG Services, we provide technical ship management services for one LNG carrier owned by a third party in addition to management of the 23 LNG carriers currently operating in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 xml:space="preserve">our owned and bareboat fleet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managed by a subsidiary of Shell). We supervised the construction by Samsung or Hyundai of each LNG carrier in our managed fleet, and each ship has operated under our technical management since its delivery from the shipyard with the exception of the </w:t>
      </w:r>
      <w:r>
        <w:rPr>
          <w:rFonts w:ascii="Arial" w:cs="Arial" w:eastAsia="Arial" w:hAnsi="Arial"/>
          <w:sz w:val="16"/>
          <w:szCs w:val="16"/>
          <w:i w:val="1"/>
          <w:iCs w:val="1"/>
          <w:color w:val="auto"/>
        </w:rPr>
        <w:t>Solaris</w:t>
      </w:r>
      <w:r>
        <w:rPr>
          <w:rFonts w:ascii="Arial" w:cs="Arial" w:eastAsia="Arial" w:hAnsi="Arial"/>
          <w:sz w:val="16"/>
          <w:szCs w:val="16"/>
          <w:color w:val="auto"/>
        </w:rPr>
        <w: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our managed, third party owned ship (not including the bareboat vessel):</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GasLog</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8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w w:val="97"/>
              </w:rPr>
              <w:t>Year Built</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Capacity (cbm)</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0"/>
              </w:rPr>
              <w:t>Propulsion</w:t>
            </w: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Ownership</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Ship Owner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i w:val="1"/>
                <w:iCs w:val="1"/>
                <w:color w:val="auto"/>
              </w:rPr>
              <w:t>Methane Nile Eagle</w:t>
            </w:r>
            <w:r>
              <w:rPr>
                <w:rFonts w:ascii="Arial" w:cs="Arial" w:eastAsia="Arial" w:hAnsi="Arial"/>
                <w:sz w:val="28"/>
                <w:szCs w:val="28"/>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Steam</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84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4"/>
              </w:rPr>
              <w:t>Egypt LNG</w:t>
            </w:r>
            <w:r>
              <w:rPr>
                <w:rFonts w:ascii="Arial" w:cs="Arial" w:eastAsia="Arial" w:hAnsi="Arial"/>
                <w:sz w:val="28"/>
                <w:szCs w:val="28"/>
                <w:color w:val="auto"/>
                <w:w w:val="94"/>
                <w:vertAlign w:val="superscript"/>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60" w:hanging="531"/>
        <w:spacing w:after="0" w:line="318" w:lineRule="auto"/>
        <w:tabs>
          <w:tab w:leader="none" w:pos="1680" w:val="left"/>
        </w:tabs>
        <w:numPr>
          <w:ilvl w:val="0"/>
          <w:numId w:val="38"/>
        </w:numPr>
        <w:rPr>
          <w:rFonts w:ascii="Arial" w:cs="Arial" w:eastAsia="Arial" w:hAnsi="Arial"/>
          <w:sz w:val="10"/>
          <w:szCs w:val="1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Methane Nile Eagle</w:t>
      </w:r>
      <w:r>
        <w:rPr>
          <w:rFonts w:ascii="Arial" w:cs="Arial" w:eastAsia="Arial" w:hAnsi="Arial"/>
          <w:sz w:val="12"/>
          <w:szCs w:val="12"/>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canal fees and LNG boil-off).</w:t>
      </w:r>
    </w:p>
    <w:p>
      <w:pPr>
        <w:spacing w:after="0" w:line="16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 xml:space="preserve">We entered into four master time charters with MSL that established the general terms under which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Sydney</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Skagen,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Greece,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Glasgow,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Geneva,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Gibraltar,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Houston </w:t>
      </w:r>
      <w:r>
        <w:rPr>
          <w:rFonts w:ascii="Arial" w:cs="Arial" w:eastAsia="Arial" w:hAnsi="Arial"/>
          <w:sz w:val="15"/>
          <w:szCs w:val="15"/>
          <w:color w:val="auto"/>
        </w:rPr>
        <w:t>and the two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newbuildings identified by Hull No. 2130 and Hull No. 2131 will be chartered to MSL. We enter into separate confirmation memorandums for each ship in order to supplement the master time charter and specify the charter term, extension options (if any), hire rate and other provisions applicable to each ship's charter. For the six vessels acquired from MSL in 2014, the two vessels acquired in 2015 and the </w:t>
      </w:r>
      <w:r>
        <w:rPr>
          <w:rFonts w:ascii="Arial" w:cs="Arial" w:eastAsia="Arial" w:hAnsi="Arial"/>
          <w:sz w:val="15"/>
          <w:szCs w:val="15"/>
          <w:i w:val="1"/>
          <w:iCs w:val="1"/>
          <w:color w:val="auto"/>
        </w:rPr>
        <w:t>GasLog Savannah,</w:t>
      </w:r>
      <w:r>
        <w:rPr>
          <w:rFonts w:ascii="Arial" w:cs="Arial" w:eastAsia="Arial" w:hAnsi="Arial"/>
          <w:sz w:val="15"/>
          <w:szCs w:val="15"/>
          <w:color w:val="auto"/>
        </w:rPr>
        <w:t xml:space="preserve"> we entered into separate time charters for each vessel.</w:t>
      </w:r>
    </w:p>
    <w:p>
      <w:pPr>
        <w:spacing w:after="0" w:line="15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 xml:space="preserve">We have entered into time charter agreements with a subsidiary of Shell, establishing the terms under which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be chartered to Shell.</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are operating in the Cool Pool and from time to time enter into short-term time charters. On December 6, 2017, a deed of novation and amendment of the charter party agreement of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was signed between GasLog and Shell to substitute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for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in the execution of the charter party. The substitution will take effect after the completion of the dry-docking of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in the third quarter of 2018. On completion of the substitution it is expected that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Skagen </w:t>
      </w:r>
      <w:r>
        <w:rPr>
          <w:rFonts w:ascii="Arial" w:cs="Arial" w:eastAsia="Arial" w:hAnsi="Arial"/>
          <w:sz w:val="18"/>
          <w:szCs w:val="18"/>
          <w:color w:val="auto"/>
        </w:rPr>
        <w:t>will operate in the Cool Pool.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time charter agreement with a subsidiary of Total, establishing the terms under which Hull No. 2801 will be chartered to Total.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time charter agreement with Centrica establishing the terms under which Hull No. 2213 will be chartered to Centrica.</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describes the material terms of the time charters for our owned and bareboat 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began upon delivery of the ships and will all terminate in 2018. The charterer had options to extend each of these charters, although none of these options has been exercised. The initial term of the charter for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began upon delivery of the ship and continues until approximately July 2018, at which time she will redeliver to GasLog in exchange for the </w:t>
      </w:r>
      <w:r>
        <w:rPr>
          <w:rFonts w:ascii="Arial" w:cs="Arial" w:eastAsia="Arial" w:hAnsi="Arial"/>
          <w:sz w:val="18"/>
          <w:szCs w:val="18"/>
          <w:i w:val="1"/>
          <w:iCs w:val="1"/>
          <w:color w:val="auto"/>
        </w:rPr>
        <w:t>GasLog Salem</w:t>
      </w:r>
      <w:r>
        <w:rPr>
          <w:rFonts w:ascii="Arial" w:cs="Arial" w:eastAsia="Arial" w:hAnsi="Arial"/>
          <w:sz w:val="18"/>
          <w:szCs w:val="18"/>
          <w:color w:val="auto"/>
        </w:rPr>
        <w:t>, which shall then remain on charter until September 2019.</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initial term of the time charters for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Methane Alison Victoria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began upon delivery to GasLog following their acquisition from MSL in 2014, and will terminate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various dates in 2019 and 2020. For the </w:t>
      </w:r>
      <w:r>
        <w:rPr>
          <w:rFonts w:ascii="Arial" w:cs="Arial" w:eastAsia="Arial" w:hAnsi="Arial"/>
          <w:sz w:val="16"/>
          <w:szCs w:val="16"/>
          <w:i w:val="1"/>
          <w:iCs w:val="1"/>
          <w:color w:val="auto"/>
        </w:rPr>
        <w:t>Methane Rita Andrea, the Methane Lydon Volney, the Methane Shirley Elisabeth and the Methane Heather Sally</w:t>
      </w:r>
      <w:r>
        <w:rPr>
          <w:rFonts w:ascii="Arial" w:cs="Arial" w:eastAsia="Arial" w:hAnsi="Arial"/>
          <w:sz w:val="16"/>
          <w:szCs w:val="16"/>
          <w:color w:val="auto"/>
        </w:rPr>
        <w:t>, MSL has the option to extend the term of the time charter for a period of either three or five years beyond the initial charter expiration date.</w:t>
      </w:r>
    </w:p>
    <w:p>
      <w:pPr>
        <w:spacing w:after="0" w:line="16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 xml:space="preserve">The initial term of the time charter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began upon delivery of the ships and will terminate in 2026, 2026, 2023 and 2023, respectively.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MSL has options to extend the terms of the charters for up to five years and for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MSL has the option to extend the terms of the charters for up to 8 years.</w:t>
      </w:r>
    </w:p>
    <w:p>
      <w:pPr>
        <w:spacing w:after="0" w:line="16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from the shipyard in January 2018 and is on charter to a major LNG producer for up to three months, and delivers into her time charter with MSL in 2019. The initial charter term for the ship will terminate in 2028. MSL has options to extend the terms of the charter for two consecutive periods of three years each, all at specified hire rates.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time charters to MSL for Hull No. 2130 and Hull No. 2131 will begin shortly after the delivery of the vessels in 2018 and 2019, respectively. The initial charter terms for the ships will terminate for Hull No. 2130 in 2027 and for Hull No. 2131 in 2029. MSL has options to extend terms of the charters for Hulls No. 2130 and Hull No. 2131 for two consecutive periods of three years each, all at specified hire rates.</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ships following an initial period during which the ships operated under maiden voyage time charters, the purpose of which was to facilitate completion by Shell of an operational discharge inspection of the ships. The time charters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terminate in 2020 and 2021, respectively. In each case, Shell has options to extend the charter terms for periods ranging from five to ten years at specified hire rates.</w:t>
      </w:r>
    </w:p>
    <w:p>
      <w:pPr>
        <w:spacing w:after="0" w:line="197"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 xml:space="preserve">The initial term of the time charters for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began upon delivery to GasLog and will terminate in 2024 and 2026. MSL will have options to extend the term of the time charter for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long-term bareboat charter of the </w:t>
      </w:r>
      <w:r>
        <w:rPr>
          <w:rFonts w:ascii="Arial" w:cs="Arial" w:eastAsia="Arial" w:hAnsi="Arial"/>
          <w:sz w:val="18"/>
          <w:szCs w:val="18"/>
          <w:i w:val="1"/>
          <w:iCs w:val="1"/>
          <w:color w:val="auto"/>
        </w:rPr>
        <w:t>Methane Julia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Louise </w:t>
      </w:r>
      <w:r>
        <w:rPr>
          <w:rFonts w:ascii="Arial" w:cs="Arial" w:eastAsia="Arial" w:hAnsi="Arial"/>
          <w:sz w:val="18"/>
          <w:szCs w:val="18"/>
          <w:color w:val="auto"/>
        </w:rPr>
        <w:t>which is now owned by Lepta Shipping and leased back to GasLog, for an additional period of either three or five years beyond the initial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time charter to Total for Hull No. 2801 will begin upon delivery of the ship. The initial charter term will terminate in 2025. Total has the option to extend the term of the charter by a three-year period at the charterer's option at a specified hire rate.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time charter to Centrica for Hull No. 2213 will begin upon delivery of the vessel in 2020. The initial charter term will terminate in 2027. Centrica has the option to extend the term of the charter by three consecutive periods of two years each at the charterer's option.</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 xml:space="preserve">The terms and period for fixtures of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vary from charter to charter, as is the nature of trading in the spot market.</w:t>
      </w:r>
    </w:p>
    <w:p>
      <w:pPr>
        <w:spacing w:after="0" w:line="186"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minus 30 days. Under all of our charters, the charterer has the right to extend the term for most periods in which the ship is off-hire. Our charter contracts do not provide the charterers with options to purchase our ships during or upon expiration of the charter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"Hire rate" refers to the basic payment from the customer for use of the ship. Under all of our time charters, the hire rate is payable to us monthly in advance in U.S. dollars. Depending on the time charter contract, there are three methods by which the daily hire rate for our owned ships is determined:</w:t>
      </w:r>
    </w:p>
    <w:p>
      <w:pPr>
        <w:spacing w:after="0" w:line="153" w:lineRule="exact"/>
        <w:rPr>
          <w:sz w:val="20"/>
          <w:szCs w:val="20"/>
          <w:color w:val="auto"/>
        </w:rPr>
      </w:pPr>
    </w:p>
    <w:p>
      <w:pPr>
        <w:ind w:left="1080" w:hanging="532"/>
        <w:spacing w:after="0" w:line="290"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the first method, the hire rate includes two components: a capital cost component and an operating cost component. The capital cost component relates to the total cost of the ship's construction and is a fixed daily amount that is structured to provide a return on our invested capital. Some of the charters provide for the capital cost component to increase by a specified amount during any option period. The operating cost component is a fixed daily amount that increases annually at a fixed percentage. Although the daily amount of the operating cost component is fixed (subject to a specified annual increase), it is intended to correspond to the costs of operating the ship and related expenses. In the event of a material increase or decrease in the actual costs we incur in operating the ship, a clause in the charter provides each party the right in certain circumstances to seek a review and potential adjustment of the operating cost component.</w:t>
      </w:r>
    </w:p>
    <w:p>
      <w:pPr>
        <w:spacing w:after="0" w:line="199"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the second method, the hire rate includes only one component that is a fixed daily amount that will either remain the same, increase or decrease by a specified amount during any option period as compared to the firm period.</w:t>
      </w:r>
    </w:p>
    <w:p>
      <w:pPr>
        <w:spacing w:after="0" w:line="199"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the third method, the hire rate for an initial period of up to two years, at the charterer's option, will be set at the prevailing market rate for a comparable ship, subject to a cap and a floor. Following such initial period, the hire rate will be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fully pass-through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172"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 hire rates for each of our ships may be reduced if the ship does not perform to certain of its specifications or if we breach our obligations under the charter. We have had no instances of hire rate reductions since the first two of our owned ships commenced operations in 2010.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When a ship is "off-hire"—or not available for service—a time charterer generally is not required to pay the hire rate, and we remain responsible for all costs, including the cost of any LNG cargo lost as boil-off during such off-hire periods. Our time charters provide an annual allowance period for us to schedule preventative maintenance work on the ship.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172"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Our ships are considered to be off-hire under our time charters during such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our charterers have the option to terminate a charter if the relevant ship is off-hire for any reason other than scheduled dry-docking for a period exceeding 90 consecutive days, or for more than 90 days or 110 days, depending on the charter, in any one-year period. Certain of our charters give the charterer a termination option for shorter periods of off-hire, if such off-hire is due to an uncured breach of our obligations to maintain the applicable ship.</w:t>
      </w:r>
    </w:p>
    <w:p>
      <w:pPr>
        <w:spacing w:after="0" w:line="201"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In addition to its termination rights, Shell has the right to convert the time charter with respect to the relevant ship into a bareboat charter upon the occurrence of specified defaults or in the event that Shell's quality assurance review is not successfully completed upon delivery of the ship.</w:t>
      </w:r>
    </w:p>
    <w:p>
      <w:pPr>
        <w:spacing w:after="0" w:line="139"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mirror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Cool Pool</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Five of our vessels are operating as part of the Cool Pool established in October 2015 with Dynagas and Golar. The Cool Pool was established to market certain of each company's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41"/>
        <w:spacing w:after="0" w:line="306" w:lineRule="auto"/>
        <w:rPr>
          <w:sz w:val="20"/>
          <w:szCs w:val="20"/>
          <w:color w:val="auto"/>
        </w:rPr>
      </w:pPr>
      <w:r>
        <w:rPr>
          <w:rFonts w:ascii="Arial" w:cs="Arial" w:eastAsia="Arial" w:hAnsi="Arial"/>
          <w:sz w:val="16"/>
          <w:szCs w:val="16"/>
          <w:color w:val="auto"/>
        </w:rPr>
        <w:t>As of February 26, 2018, the Cool Pool consists of 18 modern high quality and essentially equivalent vessels powered by fuel efficient TFDE propulsion technology. The three owners' vessels eligible for participation in the Cool Pool are as follows: GasLog: five vessels; Dynagas: three vessels; and Golar: ten vessels. Each vessel owner continues to be fully responsible for the manning and technical management of its respective vessels.</w:t>
      </w:r>
    </w:p>
    <w:p>
      <w:pPr>
        <w:spacing w:after="0" w:line="16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Cool Pool focuses on charters of 12 months' duration or less. The scheduling of employment opportunities in excess of 12 months will remain the mandate of the respective vessel owner. If a Cool Pool vessel is scheduled by an owner for a charter that exceeds 12 months in duration, such vessel will cease to be part of the Cool Pool. Gross pool revenues represent time charter revenues earned by GasLog vessels participating in the pool under charter agreements where GasLog contracts directly with charterers. Revenue is recognised on a monthly basis given that, when the vessel is made available and services are provided to the charterer during the period, the amount can be estimated reliably and collection of the related revenue is reasonably assured.</w:t>
      </w:r>
    </w:p>
    <w:p>
      <w:pPr>
        <w:spacing w:after="0" w:line="170"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Voyage expenses and commissions include the net allocation from the pool which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Bareboat Charter</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On February 24, 2016, GasLog's subsidiary,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11 year charter with MSL.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Shipbuilding Contracts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have entered into shipbuilding contracts with Samsung and Hyundai in respect of four and one newbuildings, respectively, which have an aggregate contract price of approximately $1.03 billion. As of December 31, 2017, the aggregate outstanding balance, including the outstanding installments for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Houston </w:t>
      </w:r>
      <w:r>
        <w:rPr>
          <w:rFonts w:ascii="Arial" w:cs="Arial" w:eastAsia="Arial" w:hAnsi="Arial"/>
          <w:sz w:val="16"/>
          <w:szCs w:val="16"/>
          <w:color w:val="auto"/>
        </w:rPr>
        <w:t>delivered in 2018 and excluding the contract price of the shipbuilding contract for Hull No. 2213 which was signed in 2018, was $882.6 million,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paid in installments upon steel cutting, keel laying and launching of the ship, with the largest portion of the purchase price for each ship coming due upon its delivery. All of our obligations under the shipbuilding contracts are payable in U.S. dollars.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our remaining payment obligations under the shipbuilding contracts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3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340" w:type="dxa"/>
            <w:vAlign w:val="bottom"/>
            <w:gridSpan w:val="3"/>
          </w:tcPr>
          <w:p>
            <w:pPr>
              <w:jc w:val="center"/>
              <w:ind w:right="1880"/>
              <w:spacing w:after="0" w:line="193" w:lineRule="exact"/>
              <w:rPr>
                <w:sz w:val="20"/>
                <w:szCs w:val="20"/>
                <w:color w:val="auto"/>
              </w:rPr>
            </w:pPr>
            <w:r>
              <w:rPr>
                <w:rFonts w:ascii="Arial" w:cs="Arial" w:eastAsia="Arial" w:hAnsi="Arial"/>
                <w:sz w:val="14"/>
                <w:szCs w:val="14"/>
                <w:b w:val="1"/>
                <w:bCs w:val="1"/>
                <w:color w:val="auto"/>
                <w:w w:val="84"/>
              </w:rPr>
              <w:t>December 31, 2017</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(in thousands of U.S.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34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6"/>
              </w:rPr>
              <w:t>dollars)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due in less than one year</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553,812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Amounts due in one to three years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328,798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882,610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2180" w:type="dxa"/>
            <w:vAlign w:val="bottom"/>
            <w:gridSpan w:val="2"/>
          </w:tcPr>
          <w:p>
            <w:pPr>
              <w:ind w:left="1720"/>
              <w:spacing w:after="0"/>
              <w:rPr>
                <w:sz w:val="20"/>
                <w:szCs w:val="20"/>
                <w:color w:val="auto"/>
              </w:rPr>
            </w:pPr>
            <w:r>
              <w:rPr>
                <w:rFonts w:ascii="Arial" w:cs="Arial" w:eastAsia="Arial" w:hAnsi="Arial"/>
                <w:sz w:val="11"/>
                <w:szCs w:val="11"/>
                <w:color w:val="auto"/>
              </w:rPr>
              <w:t>(1)</w:t>
            </w:r>
          </w:p>
        </w:tc>
        <w:tc>
          <w:tcPr>
            <w:tcW w:w="5900" w:type="dxa"/>
            <w:vAlign w:val="bottom"/>
            <w:gridSpan w:val="2"/>
          </w:tcPr>
          <w:p>
            <w:pPr>
              <w:jc w:val="right"/>
              <w:ind w:right="2160"/>
              <w:spacing w:after="0"/>
              <w:rPr>
                <w:sz w:val="20"/>
                <w:szCs w:val="20"/>
                <w:color w:val="auto"/>
              </w:rPr>
            </w:pPr>
            <w:r>
              <w:rPr>
                <w:rFonts w:ascii="Arial" w:cs="Arial" w:eastAsia="Arial" w:hAnsi="Arial"/>
                <w:sz w:val="14"/>
                <w:szCs w:val="14"/>
                <w:color w:val="auto"/>
                <w:w w:val="91"/>
              </w:rPr>
              <w:t>Amounts do not reflect installments of $183.6 million paid in 2018.</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gridSpan w:val="2"/>
          </w:tcPr>
          <w:p>
            <w:pPr>
              <w:jc w:val="right"/>
              <w:ind w:right="2280"/>
              <w:spacing w:after="0"/>
              <w:rPr>
                <w:sz w:val="20"/>
                <w:szCs w:val="20"/>
                <w:color w:val="auto"/>
              </w:rPr>
            </w:pPr>
            <w:r>
              <w:rPr>
                <w:rFonts w:ascii="Arial" w:cs="Arial" w:eastAsia="Arial" w:hAnsi="Arial"/>
                <w:sz w:val="18"/>
                <w:szCs w:val="18"/>
                <w:color w:val="auto"/>
              </w:rPr>
              <w:t>47</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shipbuilding contracts provide for the five newbuildings to be delivered and ready for immediate operation on various dates in 2018 through 2020. The shipbuilding contracts require Samsung and Hyundai to pay us liquidated damages in the event of certain delays in the delivery of a ship unless such delays are attributable to a force majeure event, and in the event of a prolonged delay we would have the right to cancel the contract and receive a refund of any installment payments previously made on the ship.</w:t>
      </w:r>
    </w:p>
    <w:p>
      <w:pPr>
        <w:spacing w:after="0" w:line="19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15 business days, Samsung and Hyundai would have the option of cancelling the applicable shipbuilding contract and retaining any installment payments previously funded by us under the contract.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Services and Construction Supervision</w:t>
      </w:r>
    </w:p>
    <w:p>
      <w:pPr>
        <w:spacing w:after="0" w:line="231"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 xml:space="preserve">Except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a subsidiary of Shell, management of our owned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and bareboat fleet, through GasLog LNG Services we provide technical ship management services for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ship in which we have a 25.0% ownership interest. During the year ended December 31, 2017, ship management services provided to external customers accounted for approximately 0.2% of our consolidated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Supervision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supervise and manage the construction of our newbuildings through GasLog LNG Services.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three LNG carriers in Shell's owned fleet and the </w:t>
      </w:r>
      <w:r>
        <w:rPr>
          <w:rFonts w:ascii="Arial" w:cs="Arial" w:eastAsia="Arial" w:hAnsi="Arial"/>
          <w:sz w:val="16"/>
          <w:szCs w:val="16"/>
          <w:i w:val="1"/>
          <w:iCs w:val="1"/>
          <w:color w:val="auto"/>
        </w:rPr>
        <w:t>Methane Nile Eagle</w:t>
      </w:r>
      <w:r>
        <w:rPr>
          <w:rFonts w:ascii="Arial" w:cs="Arial" w:eastAsia="Arial" w:hAnsi="Arial"/>
          <w:sz w:val="16"/>
          <w:szCs w:val="16"/>
          <w:color w:val="auto"/>
        </w:rPr>
        <w:t>, all of which were constructed at Samsung.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and Operational Management</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Pursuant to ship management agreements, through GasLog LNG Services we manage the day-to-day aspects of ship operations, including crewing, training, employing armed guards for transport in certain high-risk areas, insurance, maintenance and repair, procurement of supplies and equipment, regulatory and classification compliance and HSSE management and reporting, as well as dry-docking under certain charters, for our owned and bareboat fleet (with the exception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for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owned by Egypt LNG. We utilize certain third-party sub-contractors and suppliers in carrying out our technical management responsibilities. In the case of ships owned by Egypt LNG and Lepta Shipping, the crewing and other operational costs are fully passed-through to the ship owner, and the customers pay us a management fee per ship per month for our technical management services.</w:t>
      </w:r>
    </w:p>
    <w:p>
      <w:pPr>
        <w:spacing w:after="0" w:line="17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connection with our ship management services, we also enter into consultant service agreements pursuant to which we provide specialized services relating to the management of LNG carriers. These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services include the development and installation of a ship's ship management system, which includes installing onboard hardware and software systems and providing related training to the ship's personnel.</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terms of our ship management agreements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 xml:space="preserve">We operate in markets that are highly competitive and based primarily on supply and demand. Generally, competition for LNG time charters is based primarily on price, ship availability, size, age, technical specifications and condition, LNG shipping experience, quality and efficiency of ship operations, shipping industry relationships and reputation for customer service, and technical ability and reputation for operation of highly specialized ships. In addition, through the </w:t>
      </w:r>
      <w:r>
        <w:rPr>
          <w:rFonts w:ascii="Arial" w:cs="Arial" w:eastAsia="Arial" w:hAnsi="Arial"/>
          <w:sz w:val="18"/>
          <w:szCs w:val="18"/>
          <w:i w:val="1"/>
          <w:iCs w:val="1"/>
          <w:color w:val="auto"/>
        </w:rPr>
        <w:t>GasLog Singapore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Chelsea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Savannah</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Saratoga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we operate in the spot market that covers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charters of less than one year.</w:t>
      </w:r>
    </w:p>
    <w:p>
      <w:pPr>
        <w:spacing w:after="0" w:line="197"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Although we believe that we are one of a small number of owners that continue to focus on newly-built, technically advanced LNG carriers and provide in-house technical management of the fleet, other independent shipping companies also own, operate and, in some cases, manage LNG carriers and have new ships under construction. There are other ship owners and managers, and potential new entrants, who may also attempt to participate in the LNG market in the future. We believe that our strategy of focusing on charter contracts with initial terms of five to ten years, as well as the scale of our technical ship management operations, differentiates us to some extent from other independent owners.</w:t>
      </w:r>
    </w:p>
    <w:p>
      <w:pPr>
        <w:spacing w:after="0" w:line="170" w:lineRule="exact"/>
        <w:rPr>
          <w:sz w:val="20"/>
          <w:szCs w:val="20"/>
          <w:color w:val="auto"/>
        </w:rPr>
      </w:pPr>
    </w:p>
    <w:p>
      <w:pPr>
        <w:ind w:right="560" w:firstLine="351"/>
        <w:spacing w:after="0" w:line="306" w:lineRule="auto"/>
        <w:rPr>
          <w:sz w:val="20"/>
          <w:szCs w:val="20"/>
          <w:color w:val="auto"/>
        </w:rPr>
      </w:pPr>
      <w:r>
        <w:rPr>
          <w:rFonts w:ascii="Arial" w:cs="Arial" w:eastAsia="Arial" w:hAnsi="Arial"/>
          <w:sz w:val="16"/>
          <w:szCs w:val="16"/>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may compete with independent owners by using their fleets to carry LNG for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31"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 of December 31, 2017, we had 184 full-time employees and contractors based in our offices in Greece, Monaco, London, New York, Singapore and the newbuildings site in South Korea. In addition to our shore-based employees and contractors, we had approximately 1,435 seafaring staff serving on our owned and managed ships. These seafarers are retained through crewing agencies based in Ukraine, the Philippines and Spain or, in the case of Greek seafarers, through direct hire. As we take delivery of our newbuildings, we expect to retain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In addition, we provide intensive onboard training for our officers and crews to instill a culture focused on the highest operational and safety standards. As a result, we have historically enjoyed high retention rates. In 2017, our retention rate was 96% for senior seagoing officers, 97% for other seagoing officers and 98% for shore staff.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has been increasing as the global fleet of LNG vessels continues to grow. This increased demand has and may continue to put inflationary cost pressure on ensuring qualified and well-trained crew are available to GasLog. However, we expect that the impact of cost increases would be mitigated to some extent by certain provisions in our time charters, including automatic periodic adjustment provisions and cost review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Every large, commercial seagoing ship must be "classed" by a classification society. The classification society certifies that the ship is "in class", signifying that the ship has been built and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74"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67"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All areas subject to surveys as defined by the classification society, are required to be surveyed at least once per five-year class cycle, unless shorter intervals between surveys are mandated.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w:t>
      </w:r>
    </w:p>
    <w:p>
      <w:pPr>
        <w:spacing w:after="0" w:line="15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Most insurance underwriters make it a condition for insurance coverage that a ship be certified as "in class" by a classification society that is a member of the International Association of Classification Societies. All but two of our delivered ships are certified by the American Bureau of Shipping, or "ABS"; the other delivered ships are certified by the Det Norske Veritas. Each ship has been awarded International Safety Management ("ISM") certification and is currently "in class". Under our shipbuilding contracts, all of our contracted newbuildings must be certified prior to delivery to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owned fleet and the bareboat vessel as of February 26, 2018:</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Dry-docking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0" w:type="dxa"/>
            <w:vAlign w:val="bottom"/>
          </w:tcPr>
          <w:p>
            <w:pPr>
              <w:spacing w:after="0"/>
              <w:rPr>
                <w:sz w:val="1"/>
                <w:szCs w:val="1"/>
                <w:color w:val="auto"/>
              </w:rPr>
            </w:pPr>
          </w:p>
        </w:tc>
      </w:tr>
      <w:tr>
        <w:trPr>
          <w:trHeight w:val="161"/>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Ship 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Special Survey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Skagen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Santiago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Sydney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Saratoga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Savannah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Julia Louise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Chelsea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Singapore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Salem</w:t>
            </w: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Greece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Glasgow</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Houston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2801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Hull No. 2130</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2131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Hull No. 2212</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2213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political circumstances in foreign countries, hostilities and labor strikes. In addition, there is always an inherent possibility of marine disaster, including explosion, spills and other environmental mishaps, and the liabilities arising from owning and operating ships in international trade.</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maintain hull and machinery insurance on all our owned and bareboat ships against marine and war risks in amounts that we believe to be prudent to cover such risks, as well as loss of hire insurance against loss of income as a result of a ship being off-hire or otherwise suffering a loss of operational time for events falling under our hull and machinery insurance. In addition, we maintain protection and indemnity insurance on all our owned and bareboat ships up to the maximum insurable limit available at any given time. We also maintain ship manager insurance in respect of our managed vessel. While we believe that our insurance coverage will be adequate, not all risks can be insured,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can be no guarantee that we will always be able to obtain adequate insurance coverage at reasonable rates or at all, or that any specific claim we may make under our insurance coverage will be paid.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maintain hull and machinery marine risks insurance and hull and machinery war risks insurance on our owned and bareboat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for a maximum of 180 days. The number of deductible days for the ships in our fleet is 14 days per ship. In addition to the loss of hire insurance, we also have in place delay insurance which, like loss of hire, covers all of our owned and bareboat vessels for time lost due to events falling under the terms of our hull and machinery insurance, plus additional protection and indemnity related incidents. The policy has a deductible of two days with a maximum of 12 days (which brings it in line with the loss of hire deductible of 14 days) and a daily rate per vessel of $40,000 for our wholly owned and bareboat vessels or the hire rate agreed as per the loss of hire insurance policy for the Partnership's vessels.</w:t>
      </w:r>
    </w:p>
    <w:p>
      <w:pPr>
        <w:spacing w:after="0" w:line="172"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Additionally, we buy piracy, loss of hire and kidnap and ransom insurance when our ships are ordered to sail through the Indian Ocean to insure against potential losses relating to the hijacking of a ship and its crew by pirates.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protection and indemnity insurance covering our owned and bareboat ships is provided by P&amp;I associations that are members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protection and indemnity insurance is currently subject to limits of $3 billion per ship/per event in respect of liability to passengers, crew and cargo interests and $1 billion per ship/per event in respect of liability for oil pollution.</w:t>
      </w:r>
    </w:p>
    <w:p>
      <w:pPr>
        <w:spacing w:after="0" w:line="186"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provide intensive onboard training for our officers and crews to instill a culture of the highest operational and safety standards. During 2017, GasLog's fleet experienced one restricted work case and five first aid cases.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our cost of doing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ships operate in material compliance with applicable environmental laws and regulations and that our ships in operation have all material permits, licenses, certificates or other authorizations necessary for the conduct of our operations. In fact, each of our ships have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stricter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STCW (International Convention on Standards of Training, Certification and Watchkeeping for Seafarers) and the MARPOL Convention.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developing a safety management system for our ships that meets these requirements. GasLog LNG also is subject to the International Code for Construction and Equipment of Ships Carrying Liquefied Gases in Bulk (or the "IGC Code"), which prescribes design and construction standards for ships involved in the transport of gas. Compliance with the IGC Code must be evidenced by a Certificate of Fitness for the Carriage of Liquefied Gases of Bulk.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7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August 12, 2017, SOLAS 1974 had 163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International Convention on Standards of Training, Certification and Watchkeeping for Seafarers (STCW),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7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 Annex VI regarding particulate matter, nitrogen oxide and sulfur oxide emissions standards. These amendments became effective in July 2010. These requirements establish a series of progressive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standards to further limit the sulfur content in fuel oil, which are being phased in between 2012 and 2020, and by establishing new tiers of nitrogen oxide emission standards for new marine diesel engines, depending on their date of installation. Additionally, more stringent emission standards could apply in coastal areas designated as Emission Control Areas, or "ECAs". For example, "Tier III" emission standards apply in North American and U.S. Caribbean Sea ECAs to all marine diesel engines installed on a ship constructed on or after January 1, 2016.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20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7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all up-to-date standards of existing international maritime labour conventions and recommendations, as well as the fundamental principles to be found in other international Labour Conventions.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operations are subject to the U.S. Pollution Act of 1990, or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OPA currently limits the liability of responsible parties with respect to ships over 3,000 gross tons to the greater of $2,200 per gross ton or $18,796,800 per double hull ship and permits individual states to impose their own liability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9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 billion per incident for our owned ships. We also believe that we will be in substantial compliance with OPA, CERCLA and all applicable state regulations in the ports where our ships will call.</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OPA also requires owners and operators of ships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and we intend to obtain such certificates in the future for each of our vessels, if they are required to have them.</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The U.S. Clean Water Act of 1972, or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7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United States Environmental Protection Agency, or "EPA", has enacted rules requiring ballast water discharges and other discharges incidental to the normal operation of certain ships within United States waters to be authorized under the Ship General Permit for Discharges Incidental to the Normal Operation of Ships, or the "VGP". To be covered by the VGP, owners of certain ships must submit a Notice of Intent, or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VGP that includes numeric effluent limits for ballast water expressed as the maximum concentration of living organisms in ballast water. These VGP requirements also are the subject of litigation by certain environmental groups seeking more stringent ballast water requirements. In addition, the VGP also imposes a variety of changes for non-ballast water discharges including more stringent Best Management Practices for discharges of oil-to-sea interfaces in an effort to reduce the toxicity of oil leaked into U.S. water. We have submitted NOIs for all of our delivered ships and intend to submit NOIs for our ships in the future, where required, and do not believe that the costs associated with obtaining and complying with the VGP will have a significant impact on our operations.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U.S. Clean Air Act of 1970, as amended by the Clean Air Act Amendments of 1977 and 1990, or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TFDE LNG carriers have the ability to burn natural gas as fuel to power the ship, which can significantly reduce relevant emissions compared with steam-powered ships.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0.10%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U.S. Coast Guard regulations adopted under the U.S. National Invasive Species Act, or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or "BWMS", became effective. The rule requires installation of Coast Guard approved BWMS (none of which have received full approval by the Coast Guard to date)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72"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At the international level, the IMO adopted an International Convention for the Control and Management of Ships' Ballast Water and Sediments in February 2004, or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earlier in 2016, and the convention became effective on September 8, 2017. While we believe that the vessels in our fleet comply with existing requirements, the cost of compliance could increase for ocean carriers. It is difficult to accurately predict the overall impact of such a requirement on our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HNS Fund which comes into play when the insurance is insufficient to satisfy a claim or does not cover the incident. To date, the HNS Convention has not been ratified by a sufficient number of countries to enter into force.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 The IMO is also considering the development of a market-based mechanism for greenhouse gas emissions from ships, but it is impossible to predict the likelihood that such a standard might be adopted or its potential impact on our operations at this time.</w:t>
      </w:r>
    </w:p>
    <w:p>
      <w:pPr>
        <w:spacing w:after="0" w:line="170"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European Union has indicated that it intends to propose an expansion of the existing European Union emissions trading scheme to include emissions of greenhouse gases from marine ships. In the United States, the EPA has issued a finding that greenhouse gases endanger the public health and safety and has adopted regulations under the CAA to limit greenhouse gas emissions from certain mobile sources and large stationary sources, although the mobile source emissions do not currently apply to greenhouse gas emissions from ships. Any passage of climate control legislation or other regulatory initiatives by the IMO, the European Union, the United States or other countries where we operate, or any treaty adopted or amended at the international level that restrict emissions of greenhouse gases could require us to make significant expenditures that we cannot predict with certainty at this time.</w:t>
      </w:r>
    </w:p>
    <w:p>
      <w:pPr>
        <w:spacing w:after="0" w:line="17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believe that LNG carriers, which have the inherent ability to burn natural gas to power the ship, can be considered among the cleanest of large ships in terms of emissions.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number of initiatives have been introduced in recent years intended to enhance ship security. On November 25, 2002, the Maritime Transportation Security Act of 2002, or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GasLog is a holding company incorporated in Bermuda. As of February 26, 2018, it has 45 subsidiaries which are incorporated in the British Virgin Islands, Monaco, Bermuda, the Marshall Islands, the United States, Singapore, Cyprus and England and Wales. Of our subsidiaries, 28 either own vessels in our fleet or are parties to contracts to obtain newbuild vessels. Of our subsidiaries, 31 are wholly owned by us and 14 are 25.9% owned by us. A list of our subsidiaries is set forth in Exhibit 8.1 to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Other than our ships, we do not own any material property. Our vessels are subject to priority mortgages, which secure our obligations under our various credit facilities. For information on our vessels, see "Item 4. Information on the Company—B. Business Overview—Our Fleet". For further details regarding our credit facilities, refer to "Item 5. Operating and Financial Review and Prospects—B. Liquidity and Capital Resources—Credit Facilities".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occupy office space at 7 Rue du Gabian, MC 98000, Monaco, which is provided pursuant to a lease agreement between our subsidiary, GasLog Monaco S.A.M., and a third-party property owner. We also occupy office space at: (i) 69 Akti Miaouli, Piraeus, GR 185 37, Greece, which we lease through our subsidiary GasLog LNG Services from an entity controlled by Ceres Shipping; the lease agreement is disclosed and filed with the Greek authorities, and has been entered into on market rates; (ii) at 81 Kings Road, London SW3 4NX, United Kingdom, which we lease through our subsidiary GasLog Services UK Ltd.; (iii) at ~24-02B Asia Square Tower 2, Singapore, which we lease through our subsidiary, GasLog Asia PTE. Ltd.; and (iv) at 885 Third Avenue, New York, New York 10022, United States, which we lease through our subsidiary, GasLog Services U.S. Inc.</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more information about the contractual arrangements for our office space in Piraeus, see "Item 7. Major Shareholders and Related Party Transactions— B. Related Party Transactions".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A. 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197"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We are an international owner, operator and manager of LNG carriers. As of February 26, 2018, our wholly owned fleet consists of 16 LNG carriers, including 11 ships in operation and four LNG carriers on order at Samsung and one LNG carrier on order at Hyundai. GasLog is also the general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 xml:space="preserve">and controlling partner in GasLog Partners, which owns 12 LNG carriers, and GasLog has leased back for a period of up to 20 years, one vessel sold to Lepta Shipping in February 2016. We currently manage and operate 24 LNG carriers including 12 of our wholly owned vessels in operation, 11 ships contributed or sold to the Partnership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is managed by a subsidiary of Shell), the bareboat vessel and one additional LNG carrier in which we have a 25.0% interest. We are also supervising the construction of our newbuildings. We have secured multi-year time charter contracts for six of our operating ships, the 12 ships owned by the Partnership, the bareboat vessel and four of our five newbuildings on order, while five of our ships are operating in the spot market. As of December 31, 2017, our contracts are expected to provide total contracted revenue of $3.1 billion during their initial terms, which expire between 2018 and 2029.</w:t>
      </w:r>
    </w:p>
    <w:p>
      <w:pPr>
        <w:spacing w:after="0" w:line="15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additional LNG carrier in which we also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 2007-built LNG carrier owned by Egypt LNG and technically managed by us. It is currently operating under a 20-year time charter to a subsidiary of Shell. The information about our owned fleet presented in this report does not include our ownership interest in the </w:t>
      </w:r>
      <w:r>
        <w:rPr>
          <w:rFonts w:ascii="Arial" w:cs="Arial" w:eastAsia="Arial" w:hAnsi="Arial"/>
          <w:sz w:val="18"/>
          <w:szCs w:val="18"/>
          <w:i w:val="1"/>
          <w:iCs w:val="1"/>
          <w:color w:val="auto"/>
        </w:rPr>
        <w:t>Methane Nile Eagle.</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generate revenues by chartering our ships to customers on multi-year time charters and 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(the "CODM"), being the Chief Executive Officer, reviews the Group's operating results on a consolidated basis as one operating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referenced in "Item 3. Key Information—Risk Factors", global crude oil prices fell in 2014 and remained at relatively low levels through the third quarter of 2017. Combined with a significant increase in natural gas supply, this in turn applied downward pressure on international natural gas prices and led to a narrowing of the gap in natural gas pricing between different geographic regions.</w:t>
      </w:r>
    </w:p>
    <w:p>
      <w:pPr>
        <w:spacing w:after="0" w:line="194"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a result largely of strong increases in demand for oil and for natural gas, as well as the actions taken by the Organization of Petroleum Exporting Countries and Russia to reduce production of crude oil, global oil, gas and LNG prices have recovered in recent months. As of February 8, 2018, Brent crude oil was quoted at approximately $64.8 per barrel compared to approximately $55.1 per barrel at this time last year. International natural gas prices were quoted at approximately $5.1 per million British thermal units ("mmbtu") for the Title Transfer Index in North West Europe compared to $5.9 per mmbtu at the same time last year, and at approximately $8.2 per mmbtu for the Japan Korea Marker index in North Asia compared to $8.0 per mmbtu at the same time last year.</w:t>
      </w:r>
    </w:p>
    <w:p>
      <w:pPr>
        <w:spacing w:after="0" w:line="17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believe that the difference between international gas prices and gas prices in the U.S., where Henry Hub gas pricing was quoted with a range of $2.4 - 3.7 per mmbtu during 2017, is positive for LNG shipping given the economic incentive for natural gas buyers and marketers to ship LNG over longer distances, such as between sources of LNG in the U.S. and markets in Europe and Asia.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global seaborne trade of LNG cargoes was over 295 mtpa in 2017 and is projected by Wood Mackenzie to rise to approximately 320 mtpa in 2018. This forecasted growth is expected to be driven mainly by new Australian, U.S. and Russian LNG export projects, with shipments commencing or ramping up from Wheatstone Train 2 (4.5 mtpa), Ichthys Trains 1 and 2 (8.8 mtpa), Prelude (3.6 mtpa), Sabine Pass Train 4 (4.5 mtpa), Cove Point (5.3 mtpa) and Yamal (16.5 mtpa), all of which are scheduled to increase or start production over the next 12 months.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Looking beyond 2018, there continues to be good visibility on the construction of new LNG production capacity through 2020 from projects in the U.S., Malaysia and Indonesia, with 42 mtpa expected to be added in 2019 and 36 mtpa expected to be added in 2020 according to Wood Mackenzie. Of these countries, the U.S. is by far the most significant contributor to new supply, with more than 40 mtpa of new LNG production capacity anticipated to enter production during 2019 and 2020. U.S. projects scheduled to begin exports by the end of 2020 include Freeport (13.2 mtpa), Corpus Christi (9 mtpa), Cameron (12 mtpa), and Elba Island (2.5 mtpa). The majority of U.S. volumes have already been contracted with most expected to be sold into the Asian and European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As a result of economic growth, energy and environmental policy and declines in domestic production of natural gas in certain countries, demand for LNG increased strongly during 2017. China experienced especially strong growth with LNG imports increasing by 44% to approximately 38 mtpa in 2017. Other established markets where LNG demand grew strongly in 2017 include South Korea, Spain, Portugal and France. In addition, in recent years Egypt, Jordan, Pakistan, Poland, Lithuania, Colombia, Malta, Jamaica and Jordan all imported their first LNG cargoes.</w:t>
      </w:r>
    </w:p>
    <w:p>
      <w:pPr>
        <w:spacing w:after="0" w:line="167"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This increase in the number of importing nations has been encouraged by low LNG prices, declining domestic production of gas in certain countries and attractive economics for FSRUs. These are either custom-built vessels or LNG carriers that have been converted to operate as FSRUs and offer cheaper and quicker access to LNG markets. FSRUs remain a growing sector of the LNG trade and they increase the number of potential LNG markets and trade routes. For example, in 2017, Pakistan inaugurated its second FSRU terminal with plans for at least two more. Several other countries are steadily progressing FSRU projects, including Greece, Hong Kong, Bangladesh, Ivory Coast and Australia to name a few.</w:t>
      </w:r>
    </w:p>
    <w:p>
      <w:pPr>
        <w:spacing w:after="0" w:line="170"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There are currently 26 FSRUs on the water, with a further 12 being delivered over the next two to three years. However, the availability of on-the-water FSRUs without charters and increasingly competitive tenders are putting FSRU charter rates under pressure. In addition, newbuild FSRU costs are at historical lows, with a comparable all-in cost to a modern TFDE conversion. While this continues to be the case, FSRU conversions' competitive advantage is predominantly 'speed-to-market', targeting projects with start-ups prior to 2020.</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Beyond 2020, signs are beginning to emerge of longer term incremental demand for LNG. The Area 1 Project in Mozambique has entered into off-take contracts with PTT of Thailand and Tohoku Electric of Japan for 2.6 mtpa and 0.3 mtpa, respectively. Gunvor, the energy trading company based in Switzerland, has contracted to acquire up to 2.2 mtpa from the Fortuna project in Equatorial Guinea. In the U.S., Edison of Italy and Shell have both contracted to acquire 1 mtpa over a 20-year period from the Calcasieu Pass project. Trafigura has contracted to acquire 1 mtpa from Cheniere for 15 years commencing in 2019 and China National Petroleum Company ("CNPC") has contracted to acquire up to 1.2 mtpa from Cheniere for up to 25 years commencing in 2018. These projects, as well as others in multiple regions of the world, continue to make progress towards taking FID.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we will be successful in securing renewed or new charters at attractive rates and durations to meet such LNG shipping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 xml:space="preserve">As referenced in </w:t>
      </w:r>
      <w:r>
        <w:rPr>
          <w:rFonts w:ascii="Arial" w:cs="Arial" w:eastAsia="Arial" w:hAnsi="Arial"/>
          <w:sz w:val="18"/>
          <w:szCs w:val="18"/>
          <w:b w:val="1"/>
          <w:bCs w:val="1"/>
          <w:i w:val="1"/>
          <w:iCs w:val="1"/>
          <w:color w:val="auto"/>
        </w:rPr>
        <w:t>"Energy Prices"</w:t>
      </w:r>
      <w:r>
        <w:rPr>
          <w:rFonts w:ascii="Arial" w:cs="Arial" w:eastAsia="Arial" w:hAnsi="Arial"/>
          <w:sz w:val="18"/>
          <w:szCs w:val="18"/>
          <w:color w:val="auto"/>
        </w:rPr>
        <w:t xml:space="preserve"> above, the significant fall in oil prices in 2014 combined with increases in LNG supply led to substantial declines in the price of LNG and a lack of pricing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differential between the Eastern and Western hemispheres. The resultant lack of inter basin trading led to a significant shortening of the average duration of spot charters fixed throughout 2015 and 2016 and into 2017. This decrease in ton mile demand together with the substantial increase in LNG shipping capacity as a result of deliveries of new LNG carriers since 2014, led to a significant decline in average rates for new prompt spot and shorter-term LNG charters.</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latter half of 2017 saw this trend reversing, with charterers taking vessels for longer periods and/or at higher rates. According to Clarksons, spot rates for a TFDE vessel in the Atlantic Basin increased to $85,000 per day in December 2017, an increase of approximately 90% over the same period in 2016. Spot charter terms also improved with round trip economics more common in December 2017 and January 2018. In the Pacific Basin, reported rates were similar, attracting only a slight discount despite the greater availability of vessels in the region during the period.</w:t>
      </w:r>
    </w:p>
    <w:p>
      <w:pPr>
        <w:spacing w:after="0" w:line="16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principal catalyst for this increase in spot rates was strong LNG demand growth in Asia which led to greater ton-mile demand with many cargoes going from the U.S. to Asia, a voyage of approximately 9,000 nautical miles through the Panama Canal, a routing option now available to LNG shipping since the widening of the canal in 2016. However, there are limitations on the ability of LNG carriers to use the Panama Canal and the same voyage around Cape Horn is approximately 13,000 nautical miles. From the U.S. Gulf Coast to North West Europe, the distance is approximately 5,000 nautical miles. In recent years, the average global LNG voyage was in the range of 3,600 nautical miles to 4,000 nautical miles, and therefore any voyage in excess of this distance is likely to increase the global average voyage distance and thus the demand for LNG carriers.</w:t>
      </w:r>
    </w:p>
    <w:p>
      <w:pPr>
        <w:spacing w:after="0" w:line="174"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According to Poten, approximately 335 charters of LNG vessels were fixed during 2017, compared with 273 in 2016. This significant increase in chartering activity is a positive sign for the developing LNG shipping market and reflects among other trends the increasing activity of trading houses and LNG portfolio marketers.</w:t>
      </w:r>
    </w:p>
    <w:p>
      <w:pPr>
        <w:spacing w:after="0" w:line="19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Looking forward, it is likely that part of the recent increase in demand for LNG has been seasonal and driven in particular by colder weather in North Asia during the fourth quarter of 2017 and early 2018. It is therefore possible that there will be a reduction in LNG demand and LNG prices after the end of the Northern Hemisphere winter trading period. In addition, according to Wood Mackenzie, approximately 28 newbuild LNG carriers are due to be delivered during the first half of 2018 and a further 21 in the second half of 2018, representing an increase of 11.1% in the global LNG carrier fleet. In early February, Clarksons was quoting spot rates for TFDE vessels of $70,000-75,000 per day in the Atlantic Basin and $64,000-69,000 per day in the Pacific Basin. The combination of these factors may lead to a decrease in spot rates for LNG shipping which could harm our business, financial condition, results of operations and cash flows, including cash available for dividends to shareholders.</w:t>
      </w:r>
    </w:p>
    <w:p>
      <w:pPr>
        <w:spacing w:after="0" w:line="17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Over the longer term, if construction and commissioning of the new LNG production facilities referenced above in </w:t>
      </w:r>
      <w:r>
        <w:rPr>
          <w:rFonts w:ascii="Arial" w:cs="Arial" w:eastAsia="Arial" w:hAnsi="Arial"/>
          <w:sz w:val="18"/>
          <w:szCs w:val="18"/>
          <w:b w:val="1"/>
          <w:bCs w:val="1"/>
          <w:i w:val="1"/>
          <w:iCs w:val="1"/>
          <w:color w:val="auto"/>
        </w:rPr>
        <w:t>"LNG Supply"</w:t>
      </w:r>
      <w:r>
        <w:rPr>
          <w:rFonts w:ascii="Arial" w:cs="Arial" w:eastAsia="Arial" w:hAnsi="Arial"/>
          <w:sz w:val="18"/>
          <w:szCs w:val="18"/>
          <w:color w:val="auto"/>
        </w:rPr>
        <w:t xml:space="preserve"> proceed as expected by Wood Mackenzie, the incremental supply of LNG will increase the demand for LNG shipping capacity. Although much of the shipping required to transport this additional volume has been contracted and is currently under construction, encouraging levels of tendering activity are being noted and we continue to expect to see a likely future shortfall of vessels required for the LNG projects that have taken FID. A number of tenders for newbuild LNG carriers were carried out during 2017 as charterers looked to lock in their longer-term LNG shipping requirements and to take advantage of current relatively low shipyard prices for newbuild vessels.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Nonetheless, although there is broad market consensus that LNG ship demand is expected to outstrip ship supply over the next few years, delays to start-up, or unexpected downtime, of LNG supply projects may reduce demand for LNG shipping. Reduced demand for LNG or LNG shipping, or any reduction or limitation in LNG production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dividends to shareholders,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December 31, 2017, the global fleet of dedicated LNG carriers stood at 440 LNG Carriers (&gt;100,000 cbm) on the water, and 93 LNG Carriers (&gt;100,000 cbm) on order, of which 78 have long-term charters. In 2017, approximately 30 LNG carriers were delivered and only ten orders were placed. This low level of ordering is commensurate with the poor LNG shipping spot market conditions experienced between 2015 and the third quarter of 2017.</w:t>
      </w:r>
    </w:p>
    <w:p>
      <w:pPr>
        <w:spacing w:after="0" w:line="161" w:lineRule="exact"/>
        <w:rPr>
          <w:sz w:val="20"/>
          <w:szCs w:val="20"/>
          <w:color w:val="auto"/>
        </w:rPr>
      </w:pPr>
    </w:p>
    <w:p>
      <w:pPr>
        <w:ind w:right="160" w:firstLine="348"/>
        <w:spacing w:after="0" w:line="310" w:lineRule="auto"/>
        <w:rPr>
          <w:sz w:val="20"/>
          <w:szCs w:val="20"/>
          <w:color w:val="auto"/>
        </w:rPr>
      </w:pPr>
      <w:r>
        <w:rPr>
          <w:rFonts w:ascii="Arial" w:cs="Arial" w:eastAsia="Arial" w:hAnsi="Arial"/>
          <w:sz w:val="15"/>
          <w:szCs w:val="15"/>
          <w:color w:val="auto"/>
        </w:rPr>
        <w:t>We believe that the growing global demand for natural gas, especially in Asia, increasing supply from the U.S. and other regions, and other LNG market trends, including increased trading of LNG leading to transportation inefficiencies with cargoes spending more time on the water, should support the existing order backlog for vessels and should also drive a need for additional LNG carrier newbuildings. In addition, LNG project developers are typically large multinational oil and gas companies that have high standards for safety and reliability and a preference for modern LNG carriers with fuel-efficient ship design and propulsion, which should support our ability to obtain new charters over new or less-experienced operators. Finally, the scrapping of older and less efficient vessels and/or the conversion of existing vessels to FSRUs could reduce the availability of LNG carriers. However, various factors, including changes in prices and demand for LNG, can materially affect the competitive dynamics that currently exist and there can be no assurance that this need for additional carriers will materialize or that we will be successful in securing renewed or new charters at attractive rates and durations to meet such LNG shipping requirements.</w:t>
      </w:r>
    </w:p>
    <w:p>
      <w:pPr>
        <w:spacing w:after="0" w:line="16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LNG carriers in our owned and managed fleets;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timely delivery of our ships under construction;</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good working relationships with our existing customers and our ability to increase the number of our customers through the development of new working relationships;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performance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supply-demand relationship for LNG shipping services;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employ the ships we own and the bareboat vessel, including our LNG carriers on order, that currently do not have charters at economically attractive rates;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the ships under our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acceptable debt financing in respect of our capital commitments;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shipping and the LNG industry, which include changes in the number of new LNG importing countries and regions, as well as structural LNG market changes impacting LNG supply that may allow greater flexibility and competition of other energy sources with global LNG use.</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hire rate earned by our owned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fees we receive for construction supervision and technical ship management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crewing costs, insurance and maintenance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access to capital required to acquire additional ships and/or to implement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mark-to-market changes in interest rate swaps and foreign currency fluctuations;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cost increases. See "Item 4. Information on the Company—B. Business Overview—Ship Time Charters—Hire Rate Provisions" for a more detailed discussion of the hire rate provisions of our charter contracts.</w:t>
      </w:r>
    </w:p>
    <w:p>
      <w:pPr>
        <w:spacing w:after="0" w:line="17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LNG carriers are employed through time charter contracts. Revenues under our time charters are recognized when services are performed, revenue is earned and the collection of the revenue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reasonably assured. The charter hire revenue is recognized on a straight-line basis over the term of the relevant time charter. We do not recognize revenue during days when the ship is off-hire, unless it is recoverable from insurers. Advance payments under time charter contracts are classified as liabilities until such time as the criteria for recognizing the revenue are met.</w:t>
      </w:r>
    </w:p>
    <w:p>
      <w:pPr>
        <w:spacing w:after="0" w:line="194"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 xml:space="preserve">The table below provides additional information about our contracted charter revenues based on contracts in effect as of December 31, 2017 for (a) the six ships in our wholly owned fleet, the 12 ships in the GasLog Partners' fleet and the bareboat vessel for which we have secured time charters and (b) four of our five newbuildings on order. Other than the assumptions reflected in the footnotes to the table, including our assumption that our newbuildings are delivered on schedule, the table does not reflect events, including charter party agreements signed or amended, occurring after December 31, 2017. The table reflects only our contracted charter revenues for the ships in our owned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Salem </w:t>
      </w:r>
      <w:r>
        <w:rPr>
          <w:rFonts w:ascii="Arial" w:cs="Arial" w:eastAsia="Arial" w:hAnsi="Arial"/>
          <w:sz w:val="16"/>
          <w:szCs w:val="16"/>
          <w:color w:val="auto"/>
        </w:rPr>
        <w:t>that are operating in the Cool Pool, any additional ships we may acquire in the future, nor does it reflect the options under our time charters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permit our charterers to extend the time charter terms for successive multi-year periods. The entry into time charter contracts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Savannah</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Salem </w:t>
      </w:r>
      <w:r>
        <w:rPr>
          <w:rFonts w:ascii="Arial" w:cs="Arial" w:eastAsia="Arial" w:hAnsi="Arial"/>
          <w:sz w:val="16"/>
          <w:szCs w:val="16"/>
          <w:color w:val="auto"/>
        </w:rPr>
        <w:t>and any additional ships we may acquire or the exercise of options extending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terms of our existing charters, would result in an increase in the number of contracted days and the contracted revenue for our fleet in the future. The table reflects the upcoming substitution of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for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that will take place in the third quarter of 2018.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below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they assume no responsibility for, and disclaim any association with, the information in the table.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 as of December 31, 2017</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2"/>
          </w:tcPr>
          <w:p>
            <w:pPr>
              <w:jc w:val="right"/>
              <w:ind w:right="740"/>
              <w:spacing w:after="0"/>
              <w:rPr>
                <w:sz w:val="20"/>
                <w:szCs w:val="20"/>
                <w:color w:val="auto"/>
              </w:rPr>
            </w:pPr>
            <w:r>
              <w:rPr>
                <w:rFonts w:ascii="Arial" w:cs="Arial" w:eastAsia="Arial" w:hAnsi="Arial"/>
                <w:sz w:val="14"/>
                <w:szCs w:val="14"/>
                <w:b w:val="1"/>
                <w:bCs w:val="1"/>
                <w:color w:val="auto"/>
                <w:w w:val="92"/>
              </w:rPr>
              <w:t>For the Year Ending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5"/>
              </w:rPr>
              <w:t>2022 - 2029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13"/>
          </w:tcPr>
          <w:p>
            <w:pPr>
              <w:jc w:val="right"/>
              <w:ind w:right="120"/>
              <w:spacing w:after="0" w:line="142" w:lineRule="exact"/>
              <w:rPr>
                <w:sz w:val="20"/>
                <w:szCs w:val="20"/>
                <w:color w:val="auto"/>
              </w:rPr>
            </w:pPr>
            <w:r>
              <w:rPr>
                <w:rFonts w:ascii="Arial" w:cs="Arial" w:eastAsia="Arial" w:hAnsi="Arial"/>
                <w:sz w:val="14"/>
                <w:szCs w:val="14"/>
                <w:b w:val="1"/>
                <w:bCs w:val="1"/>
                <w:color w:val="auto"/>
                <w:w w:val="85"/>
              </w:rPr>
              <w:t>(in millions of U.S. dollars, except days and percentages)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475.0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w:t>
            </w:r>
          </w:p>
        </w:tc>
        <w:tc>
          <w:tcPr>
            <w:tcW w:w="1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3,068.7</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6,381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5,525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16,583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39,252</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10,223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10,405</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123,148</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70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2,833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6,329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66,895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83,896</w:t>
            </w:r>
          </w:p>
        </w:tc>
        <w:tc>
          <w:tcPr>
            <w:tcW w:w="160" w:type="dxa"/>
            <w:vAlign w:val="bottom"/>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Percentage of total contracted days/total available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days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r>
      <w:tr>
        <w:trPr>
          <w:trHeight w:val="108"/>
        </w:trPr>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line="268" w:lineRule="auto"/>
        <w:tabs>
          <w:tab w:leader="none" w:pos="1680" w:val="left"/>
        </w:tabs>
        <w:numPr>
          <w:ilvl w:val="0"/>
          <w:numId w:val="44"/>
        </w:numPr>
        <w:rPr>
          <w:rFonts w:ascii="Arial" w:cs="Arial" w:eastAsia="Arial" w:hAnsi="Arial"/>
          <w:sz w:val="10"/>
          <w:szCs w:val="10"/>
          <w:color w:val="auto"/>
        </w:rPr>
      </w:pPr>
      <w:r>
        <w:rPr>
          <w:rFonts w:ascii="Arial" w:cs="Arial" w:eastAsia="Arial" w:hAnsi="Arial"/>
          <w:sz w:val="12"/>
          <w:szCs w:val="12"/>
          <w:color w:val="auto"/>
        </w:rPr>
        <w:t xml:space="preserve">Reflects time charter revenues and contracted days for six of our wholly owned ships, the 12 ships owned by the Partnership, the bareboat vessel, and four of our five newbuildings on order for which we have secured time charters. Does not include charter revenues for the vessels operating in the spot/short-term market under the Cool Pool agreement and the </w:t>
      </w:r>
      <w:r>
        <w:rPr>
          <w:rFonts w:ascii="Arial" w:cs="Arial" w:eastAsia="Arial" w:hAnsi="Arial"/>
          <w:sz w:val="12"/>
          <w:szCs w:val="12"/>
          <w:i w:val="1"/>
          <w:iCs w:val="1"/>
          <w:color w:val="auto"/>
        </w:rPr>
        <w:t>Methane Nile Eagle</w:t>
      </w:r>
      <w:r>
        <w:rPr>
          <w:rFonts w:ascii="Arial" w:cs="Arial" w:eastAsia="Arial" w:hAnsi="Arial"/>
          <w:sz w:val="12"/>
          <w:szCs w:val="12"/>
          <w:color w:val="auto"/>
        </w:rPr>
        <w:t>, in which we hold a 25.0% minority interest. Contracted revenue calculations assume: (a) 365 revenue days per annum, with 30 off-hire days when the ship</w:t>
      </w:r>
      <w:r>
        <w:rPr>
          <w:rFonts w:ascii="Arial" w:cs="Arial" w:eastAsia="Arial" w:hAnsi="Arial"/>
          <w:sz w:val="12"/>
          <w:szCs w:val="12"/>
          <w:i w:val="1"/>
          <w:iCs w:val="1"/>
          <w:color w:val="auto"/>
        </w:rPr>
        <w:t xml:space="preserve"> </w:t>
      </w:r>
      <w:r>
        <w:rPr>
          <w:rFonts w:ascii="Arial" w:cs="Arial" w:eastAsia="Arial" w:hAnsi="Arial"/>
          <w:sz w:val="12"/>
          <w:szCs w:val="12"/>
          <w:color w:val="auto"/>
        </w:rPr>
        <w:t>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96" w:lineRule="exact"/>
        <w:rPr>
          <w:rFonts w:ascii="Arial" w:cs="Arial" w:eastAsia="Arial" w:hAnsi="Arial"/>
          <w:sz w:val="10"/>
          <w:szCs w:val="10"/>
          <w:color w:val="auto"/>
        </w:rPr>
      </w:pPr>
    </w:p>
    <w:p>
      <w:pPr>
        <w:ind w:left="1680" w:right="200" w:hanging="531"/>
        <w:spacing w:after="0" w:line="239" w:lineRule="auto"/>
        <w:tabs>
          <w:tab w:leader="none" w:pos="1680" w:val="left"/>
        </w:tabs>
        <w:numPr>
          <w:ilvl w:val="0"/>
          <w:numId w:val="44"/>
        </w:numPr>
        <w:rPr>
          <w:rFonts w:ascii="Arial" w:cs="Arial" w:eastAsia="Arial" w:hAnsi="Arial"/>
          <w:sz w:val="11"/>
          <w:szCs w:val="11"/>
          <w:color w:val="auto"/>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44"/>
        </w:numPr>
        <w:rPr>
          <w:rFonts w:ascii="Arial" w:cs="Arial" w:eastAsia="Arial" w:hAnsi="Arial"/>
          <w:sz w:val="11"/>
          <w:szCs w:val="11"/>
          <w:color w:val="auto"/>
        </w:rPr>
      </w:pPr>
      <w:r>
        <w:rPr>
          <w:rFonts w:ascii="Arial" w:cs="Arial" w:eastAsia="Arial" w:hAnsi="Arial"/>
          <w:sz w:val="14"/>
          <w:szCs w:val="14"/>
          <w:color w:val="auto"/>
        </w:rPr>
        <w:t>Represents available days for ships after the expiration of existing charters (assuming charterers do not exercise any option to extend the terms of the charters) and the available days for the vessels operating in the spot/short-term market.</w:t>
      </w:r>
    </w:p>
    <w:p>
      <w:pPr>
        <w:spacing w:after="0" w:line="19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Revenue from ship management and ship construction project supervision contracts is recognized in the statement of profit or loss when earned and when it is probable that future economic benefits will flow to us and such benefits can be measured reliably.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Our charters contain provisions that significantly reduce our exposure to increases in operating costs, including review provisions and cost pass-through provisions. Ship operating expenses are recognized as expenses when incurred.</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inter-segment profit, are capitalized as part of the asset value of our ships. The fees paid for technical ship management services, which are considered vessel operating and supervision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our owned fleet (and corresponding revenues of GasLog LNG Services), are eliminated on consolidation.</w:t>
      </w:r>
    </w:p>
    <w:p>
      <w:pPr>
        <w:spacing w:after="0" w:line="225" w:lineRule="exact"/>
        <w:rPr>
          <w:sz w:val="20"/>
          <w:szCs w:val="20"/>
          <w:color w:val="auto"/>
        </w:rPr>
      </w:pPr>
    </w:p>
    <w:p>
      <w:pPr>
        <w:ind w:right="880" w:firstLine="348"/>
        <w:spacing w:after="0" w:line="268" w:lineRule="auto"/>
        <w:rPr>
          <w:sz w:val="20"/>
          <w:szCs w:val="20"/>
          <w:color w:val="auto"/>
        </w:rPr>
      </w:pPr>
      <w:r>
        <w:rPr>
          <w:rFonts w:ascii="Arial" w:cs="Arial" w:eastAsia="Arial" w:hAnsi="Arial"/>
          <w:sz w:val="18"/>
          <w:szCs w:val="18"/>
          <w:color w:val="auto"/>
        </w:rPr>
        <w:t>Vessel operating and supervision costs of GasLog LNG Services include staff costs, such as salaries, social security and training for the technical management team and project specialists, and project-related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our time charter arrangements, charterers bear substantially all voyage expenses, including bunker fuel, port charges and canal tolls, but not commissions, which we have historically paid to unaffiliated ship brokers based on a flat fee per ship. Commissions are recognized as expenses on a pro rata basis over the duration of the period of the time charter.</w:t>
      </w:r>
    </w:p>
    <w:p>
      <w:pPr>
        <w:spacing w:after="0" w:line="194"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Vessel operating costs and voyage expenses and commissions are expensed as incurred, with the exception of commissions, which are recognized on a pro-rata basis over the duration of the period of the time charter. Bunkers consumption represents mainly bunkers consumed during vessels' unemployment and off-hire.</w:t>
      </w:r>
    </w:p>
    <w:p>
      <w:pPr>
        <w:spacing w:after="0" w:line="194"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Furthermore, in relation to the vessels participating in the Cool Pool, voyage expenses and commissions include the net allocation from the pool which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right="80" w:firstLine="348"/>
        <w:spacing w:after="0" w:line="303" w:lineRule="auto"/>
        <w:rPr>
          <w:sz w:val="20"/>
          <w:szCs w:val="20"/>
          <w:color w:val="auto"/>
        </w:rPr>
      </w:pPr>
      <w:r>
        <w:rPr>
          <w:rFonts w:ascii="Arial" w:cs="Arial" w:eastAsia="Arial" w:hAnsi="Arial"/>
          <w:sz w:val="15"/>
          <w:szCs w:val="15"/>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at the end of its useful life. We review scrap rates on an annual basis.</w:t>
      </w:r>
    </w:p>
    <w:p>
      <w:pPr>
        <w:spacing w:after="0" w:line="198"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case of new ships, and until the next dry-docking for secondhand ships, which is performed within five years from the vessel's last dry-docking unless we determine to dry-dock the ships at an earlier date. In the event a ship is dry-docked at an earlier date, the unamortized dry-docking component is written off immediately.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expenses consist principally of personnel costs for administrative and support staff, board of directors fees, expense recognized in connection with share-based compensation, rent, utilities, travel expenses, legal expenses, other professional services and consultants, training for crew familiarization and other advisor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For a description of our credit facilities, including our loan agreements, see "Item 5. Operating and Financial Review and Prospects—B. Liquidity and Capital Resources—Credit Facilities".</w:t>
      </w:r>
    </w:p>
    <w:p>
      <w:pPr>
        <w:spacing w:after="0" w:line="170"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Interest expense and the amortization of loan issuance costs that relate directly to a specific loan to finance an LNG carrier under construction and are incurred during the construction period are capitalized as part of the cost of the ship. Otherwise, interest expense and amortization of loan issuance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Swaps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(Loss)/gain on swaps consist of the ineffective portion of changes in the fair value of the swaps that meet hedge accounting criteria, net interest on derivative financial instruments held for trading, the movement in the fair value of the derivative financial instruments that have not been designated as hedges and the amortization of the cumulative unrealized loss for the interest rate swaps in respect of which hedge accounting was discontinued.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Profit of Associate</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 xml:space="preserve">The share of profit of associate consists of our share of profits from our 25.0% ownership interest in Egypt LNG, a Bermuda exempted company whose principal asset is the LNG carrier </w:t>
      </w:r>
      <w:r>
        <w:rPr>
          <w:rFonts w:ascii="Arial" w:cs="Arial" w:eastAsia="Arial" w:hAnsi="Arial"/>
          <w:sz w:val="18"/>
          <w:szCs w:val="18"/>
          <w:i w:val="1"/>
          <w:iCs w:val="1"/>
          <w:color w:val="auto"/>
        </w:rPr>
        <w:t>Methane Nile Eagle.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2017</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466,059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525,229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59,170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(112,632)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(122,486)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(15,184)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(8,150)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(122,957)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(137,187)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(38,642)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(39,850)</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176,644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217,556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40,912</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Financial costs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(137,316)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(139,181)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(Loss)/gain on swaps</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(13,419)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(148,593)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(133,347)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56,158</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49,537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68,703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attributable to owners of the Group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(21,486)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36,992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During the year ended December 31, 2017, we had an average of 23 ships operating in our owned and bareboat fleet (including ships owned by the Partnership), having 8,317 operating days and an average of 23.4 ships operating under our technical management (including 22 of our owned and bareboat ships). During the year ended December 31, 2016, we had an average of 20.7 ships operating in our owned fleet having 7,439 operating days and an average of 23.6 ships operating under our technical management (including 19.7 of our owned ships).</w:t>
      </w:r>
    </w:p>
    <w:p>
      <w:pPr>
        <w:spacing w:after="0" w:line="167"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b w:val="1"/>
          <w:bCs w:val="1"/>
          <w:i w:val="1"/>
          <w:iCs w:val="1"/>
          <w:color w:val="auto"/>
        </w:rPr>
        <w:t xml:space="preserve">Revenues: </w:t>
      </w:r>
      <w:r>
        <w:rPr>
          <w:rFonts w:ascii="Arial" w:cs="Arial" w:eastAsia="Arial" w:hAnsi="Arial"/>
          <w:sz w:val="15"/>
          <w:szCs w:val="15"/>
          <w:color w:val="auto"/>
        </w:rPr>
        <w:t>Revenues increased by 12.7%, or $59.1 million, from $466.1 million during the year ended December 31, 2016 to $525.2 million during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year ended December 31, 2017. The increase is attributable to an increase in revenues of $69.3 million from the full operation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Glasgow</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Geneva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Gibraltar</w:t>
      </w:r>
      <w:r>
        <w:rPr>
          <w:rFonts w:ascii="Arial" w:cs="Arial" w:eastAsia="Arial" w:hAnsi="Arial"/>
          <w:sz w:val="15"/>
          <w:szCs w:val="15"/>
          <w:color w:val="auto"/>
        </w:rPr>
        <w:t>, which were delivered on March 29, 2016, June 30, 2016, September 30, 2016 and October 31, 2016,</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These deliveries resulted in an increase in operating days. There was also an increase of $14.8 million in revenues from our vessels operating in the spot market and an increase of $1.1 million due to decreased off-hire days for scheduled dry-dockings in the year ended December 31, 2017 compared to the same period in 2016. These increases were partially offset by a decrease of $24.7 million due to the expiration of two time charter party agreements during 2016 (with the vessels operating in the spot market thereafter) and a decrease of $0.8 million in revenues from the remaining vessels. The average daily hire rate increased from $62,400 for the year ended December 31, 2016 to $63,004 for the year ended December 31, 2017. Furthermore, there was a decrease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$0.6 million in revenues from technical management services mainly due to the decrease in the average number of the managed vessels owned by third parties.</w:t>
      </w:r>
    </w:p>
    <w:p>
      <w:pPr>
        <w:spacing w:after="0" w:line="24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Vessel Operating and Supervision Costs: </w:t>
      </w:r>
      <w:r>
        <w:rPr>
          <w:rFonts w:ascii="Arial" w:cs="Arial" w:eastAsia="Arial" w:hAnsi="Arial"/>
          <w:sz w:val="18"/>
          <w:szCs w:val="18"/>
          <w:color w:val="auto"/>
        </w:rPr>
        <w:t>Vessel operating and supervision costs increased by 8.8%, or $9.9 million, from $112.6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to $122.5 million during the year ended December 31, 2017. The increase is primarily attributable to the increase in ownership days due to the full operation of the 2016 deliveries mentioned above. The average daily operating cost per vessel marginally increased from $15,253 per day in 2016 to $15,254 per day in 2017.</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and commission expenses decreased by 46.1%, or $7.0 million, from $15.2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2016 to $8.2 million during the year ended December 31, 2017. The decrease is mainly attributable to the movement in the net allocation of the Cool Pool results of $11.9 million in the year ended December 31, 2017 in accordance with the profit sharing terms specified in the pool agreement entered into with Dynagas and Golar, partially offset by an increase of $4.3 million in bunkers consumption of the vessels operating in the spot market and an increase of $0.6 million in brokers' commissions following the increase in revenues.</w:t>
      </w:r>
    </w:p>
    <w:p>
      <w:pPr>
        <w:spacing w:after="0" w:line="170"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11.5%, or $14.2 million, from $123.0 million during the year ended December 31, 2016 to $137.2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2017. The increase in depreciation resulted mainly from the increase in the average number of vessels in our fleet in the year ended December 31, 2017 compared to 2016.</w:t>
      </w:r>
    </w:p>
    <w:p>
      <w:pPr>
        <w:spacing w:after="0" w:line="194"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increased by 3.4%, or $1.3 million, from $38.6 million during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2016 to $39.9 million during the year ended December 31, 2017. The increase is mainly attributable to an increase of $1.8 million in employee costs and an increase of $0.7 million in non-cash share-based compensation expense, partially offset by a decrease of $1.2 million in net foreign exchange losses.</w:t>
      </w:r>
    </w:p>
    <w:p>
      <w:pPr>
        <w:spacing w:after="0" w:line="14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1.4%, or $1.9 million, from $137.3 million during the year ended December 31, 2016 to $139.2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2017. The increase is attributable to an increase of $17.2 million in interest expense on our 8.875% Senior Notes, the increase of $9.3 million in interest expense on loans mainly due to the increased weighted average debt outstanding and the increased weighted average interest rate and an increase of $1.5 million in finance lease charges in 2017. The above increases were partially offset by (a) a decrease of $22.7 million in the amortization of deferred loan issuance costs and premium mainly driven by (i) a write-off of $18.2 million of unamortized loan fees associated with the six legacy facilities that were refinanced by the Legacy Facility Refinancing in July 2016, (ii) a write-off of $2.1 million of unamortized bond fees and premium as a result of the NOK denominated bond repurchases in June 2016 and June 2017 and (iii) a write-off and accelerated amortization of $2.2 million due to the termination or scheduled prepayments of certain facilities, (b) a decrease of $1.8 million in interest expense on the NOK denominated bonds and realized losses on cross currency swaps (on which we apply hedge accounting), (c) a decrease of $0.9 million in other financial costs and (d) a decrease of $0.7 million in loss arising upon the repurchase of the NOK denominated bonds at a premium. During the year ended December 31, 2017, we had an average of $2,688.2 million of outstanding indebtedness, with a weighted average interest rate of 4.1%, while during the year ended December 31, 2016, we had an average of $2,452.9 million of outstanding indebtedness, with a weighted average interest rate of 3.5%. These weighted average interest rates include interest expense on loans and cash flow hedges and interest expense on bonds and CCSs.</w:t>
      </w:r>
    </w:p>
    <w:p>
      <w:pPr>
        <w:spacing w:after="0" w:line="17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(Loss)/gain on Swaps: </w:t>
      </w:r>
      <w:r>
        <w:rPr>
          <w:rFonts w:ascii="Arial" w:cs="Arial" w:eastAsia="Arial" w:hAnsi="Arial"/>
          <w:sz w:val="16"/>
          <w:szCs w:val="16"/>
          <w:color w:val="auto"/>
        </w:rPr>
        <w:t>Loss on swaps decreased by 114.9%, or $15.4 million, from a $13.4 million loss for the year ended December 31, 2016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 million gain for the year ended December 31, 2017. The decrease is mainly attributable to a decrease of $19.1 million in loss that was reclassified from equity to the statement of profit or loss ($17.2 million of which related to the cumulative loss from the period during which the hedges of the interest rate swaps terminated in July 2016 were effective and $1.2 million of which related to the decrease from the CCS agreements terminations/ modification in June 2016 and June 2017) and a decrease of $4.3 million in realized loss from derivative financial instruments held for trading, partially offset by a decrease of $8.0 million in the gain from mark-to-market valuation of our derivative financial instruments carried at fair value through profit or loss.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increased by 199.6%, or $56.1 million, from $28.1 million for the year ended December 31, 2016 to $84.2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as a result of the aforementioned factors.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Profit/(Loss) Attributable to Owners of the Group: </w:t>
      </w:r>
      <w:r>
        <w:rPr>
          <w:rFonts w:ascii="Arial" w:cs="Arial" w:eastAsia="Arial" w:hAnsi="Arial"/>
          <w:sz w:val="18"/>
          <w:szCs w:val="18"/>
          <w:color w:val="auto"/>
        </w:rPr>
        <w:t>Profit Attributable to Owners of the Group increased by $37.0 million, from a loss of $21.5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year ended December 31, 2016 to a profit of $15.5 million for the year ended December 31, 2017. The increase in profit attributable to the owners of GasLog resulted from the increase in profit mentioned above, partially offset by the increase in profit attributable to the non-controlling interests (non-controlling unitholders of GasLog Partners) as a result of GasLog Partners' equity offerings in August 2016, January and May 2017, its ATM Programme implemented in May 2017 and the associated dropdowns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on November 1, 2016, May 3, 2017, July 3, 2017 and October 20, 2017, respectively.</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2015 Compared to Year Ended December 31, 2016</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415,078</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466,059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50,981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(112,632)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(14,290)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(15,184)</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(106,641)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(122,957)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(41,282)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(38,642)</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176,644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22,331</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Financial costs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(137,316)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(45,360)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Loss on swaps</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(10,332)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(13,419)</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(100,645)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(148,593)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(47,948)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(25,617)</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42,839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49,537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attributable to owners of the Group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10,829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(21,486)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(32,315)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During the year ended December 31, 2016, we had an average of 20.7 ships operating in our owned and bareboat fleet (including ships owned by the Partnership), having 7,439 operating days and an average of 23.6 ships operating under our technical management (including 19.7 of our owned and bareboat ships). During the year ended December 31, 2015, we had an average of 18.2 ships operating in our owned fleet having 6,097 operating days and an average of 21.7 ships operating under our technical management (including 17.2 of our owned ships).</w:t>
      </w:r>
    </w:p>
    <w:p>
      <w:pPr>
        <w:spacing w:after="0" w:line="16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by 12.3%, or $51.0 million, from $415.1 million during the year ended December 31, 2015 to $466.1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year ended December 31, 2016. The increase is mainly attributable to an increase in revenues of $66.1 million due to the full operation of the </w:t>
      </w:r>
      <w:r>
        <w:rPr>
          <w:rFonts w:ascii="Arial" w:cs="Arial" w:eastAsia="Arial" w:hAnsi="Arial"/>
          <w:sz w:val="18"/>
          <w:szCs w:val="18"/>
          <w:i w:val="1"/>
          <w:iCs w:val="1"/>
          <w:color w:val="auto"/>
        </w:rPr>
        <w:t>Methane Becki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Julia Louise </w:t>
      </w:r>
      <w:r>
        <w:rPr>
          <w:rFonts w:ascii="Arial" w:cs="Arial" w:eastAsia="Arial" w:hAnsi="Arial"/>
          <w:sz w:val="18"/>
          <w:szCs w:val="18"/>
          <w:color w:val="auto"/>
        </w:rPr>
        <w:t>which were both acquired from BG Group on March 31, 2015, and the deliveries of the</w:t>
      </w:r>
      <w:r>
        <w:rPr>
          <w:rFonts w:ascii="Arial" w:cs="Arial" w:eastAsia="Arial" w:hAnsi="Arial"/>
          <w:sz w:val="18"/>
          <w:szCs w:val="18"/>
          <w:i w:val="1"/>
          <w:iCs w:val="1"/>
          <w:color w:val="auto"/>
        </w:rPr>
        <w:t xml:space="preserve"> GasLog Greece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Glasgow</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on March 29, 2016, June 30, 2016, September 30, 2016 and October 31, 2016, respectively.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deliveries resulted in an increase in operating days. There was also an increase in revenues of $9.0 million caused mainly by the fewer off-hire days due to scheduled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dry-dockings of our vessels in 2016 as compared to 2015. These increases in revenues were partially offset by a decrease of $24.7 million due to the expiration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two charter party agreements in 2016 and a decrease of $1.3 million in earnings from our vessels operating in the spot market, mitigated by a net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million in revenues from the remaining vessels. The daily hire rate for the year ended December 31, 2015 was $67,650 as compared to $62,400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2016 mainly due to the decline in spot market rates. There was also a decrease of $0.8 million in revenues from technical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mainly due to the decrease in the average number of the managed vessels owned by third parties following the acquisition of the two vessels from BG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19"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Vessel Operating and Supervision Costs: </w:t>
      </w:r>
      <w:r>
        <w:rPr>
          <w:rFonts w:ascii="Arial" w:cs="Arial" w:eastAsia="Arial" w:hAnsi="Arial"/>
          <w:sz w:val="18"/>
          <w:szCs w:val="18"/>
          <w:color w:val="auto"/>
        </w:rPr>
        <w:t>Vessel operating and supervision costs increased by 14.2%, or $14 million, from $98.6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2015 to $112.6 million during the year ended December 31, 2016. The increase is primarily attributable to the increase in the number of vessels in our fleet in the year ended December 31, 2016 compared to 2015, as described above, combined with an increase in scheduled technical maintenance expenses such as scheduled main engine overhauls and various planned repairs, as well as other periodical regulatory certifications, partially offset by decreased vessels' tax and crew social contributions. As a result, the average daily operating cost per vessel increased from $14,847 per day in 2015 to $15,253 per day in 2016.</w:t>
      </w:r>
    </w:p>
    <w:p>
      <w:pPr>
        <w:spacing w:after="0" w:line="19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Voyage Expenses and Commissions: </w:t>
      </w:r>
      <w:r>
        <w:rPr>
          <w:rFonts w:ascii="Arial" w:cs="Arial" w:eastAsia="Arial" w:hAnsi="Arial"/>
          <w:sz w:val="18"/>
          <w:szCs w:val="18"/>
          <w:color w:val="auto"/>
        </w:rPr>
        <w:t>Voyage and commission expenses increased by 6.3%, or $0.9 million, from $14.3 million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to $15.2 million during the year ended December 31, 2016. The increase was mainly attributable to the increased operating days in the year ended December 31, 2016 affecting the commissions on revenue.</w:t>
      </w:r>
    </w:p>
    <w:p>
      <w:pPr>
        <w:spacing w:after="0" w:line="19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15.4%, or $16.4 million, from $106.6 million during the year ended December 31, 2015 to $123.0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2016. The increase in depreciation resulted mainly from the increase in the average number of vessels in our fleet in the year ended December 31, 2016 compared to 2015.</w:t>
      </w:r>
    </w:p>
    <w:p>
      <w:pPr>
        <w:spacing w:after="0" w:line="19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6.5%, or $2.7 million, from $41.3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to $38.6 million during the year ended December 31, 2016. The decrease is mainly attributable to a decrease of $4.2 million in legal fees and other professional services relating mainly to consultancy fees recorded in 2015, which was partially offset by an increase of $1.0 million in non-cash share-based compensation expense and an increase of $0.6 million in net foreign exchange losses.</w:t>
      </w:r>
    </w:p>
    <w:p>
      <w:pPr>
        <w:spacing w:after="0" w:line="167"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49.2%, or $45.3 million, from $92.0 million during the year ended December 31, 2015 to $137.3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2016. The increase is attributable to (a) an increase of $23.8 million in the amortization of deferred loan fees, mainly driven by (i) a write-off of $18.2 million of unamortized loan fees associated with the six legacy facilities that were refinanced by the Legacy Facility Refinancing, (ii) a $1.8 million write-off of unamortized bond fees and premium as a result of the re-purchase and cancellation of NOK 588 million of NOK denominated bonds,</w:t>
      </w:r>
    </w:p>
    <w:p>
      <w:pPr>
        <w:spacing w:after="0" w:line="3"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of $2.5 million in refinanced loan facilities and NOK denominated bonds and (iv) an increase of $1.2 million in the facilities drawn during 2016,</w:t>
      </w:r>
    </w:p>
    <w:p>
      <w:pPr>
        <w:spacing w:after="0" w:line="32" w:lineRule="exact"/>
        <w:rPr>
          <w:rFonts w:ascii="Arial" w:cs="Arial" w:eastAsia="Arial" w:hAnsi="Arial"/>
          <w:sz w:val="16"/>
          <w:szCs w:val="16"/>
          <w:color w:val="auto"/>
        </w:rPr>
      </w:pPr>
    </w:p>
    <w:p>
      <w:pPr>
        <w:ind w:right="60" w:firstLine="8"/>
        <w:spacing w:after="0" w:line="290"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increase of $8.6 million in interest expense on loans, NOK denominated bonds and cash flow hedges, (c) an increase of $9.4 million due to finance lease charges in 2016, (d) a loss of $2.1 million arising upon the repurchase of the NOK 588 million of NOK denominated bonds at a premium in June 2016 and (e) an increase of $1.5 million in other financial costs. During the year ended December 31, 2016, we had an average of $2,452.9 million of outstanding indebtedness with a weighted average interest rate of 3.5%, while during the year ended December 31, 2015, we had an average of $2,362.6 million of outstanding indebtedness having an aggregate weighted average interest rate of 3.3%. These weighted average interest rates include interest expense on loans and cash flow hedges and interest expense on NOK denominated bonds and CCSs.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Loss on Swaps: </w:t>
      </w:r>
      <w:r>
        <w:rPr>
          <w:rFonts w:ascii="Arial" w:cs="Arial" w:eastAsia="Arial" w:hAnsi="Arial"/>
          <w:sz w:val="16"/>
          <w:szCs w:val="16"/>
          <w:color w:val="auto"/>
        </w:rPr>
        <w:t>Loss on swaps increased by 30.1%, or $3.1 million, from $10.3 million for the year ended December 31, 2015 to $13.4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2016. The increase in loss is mainly attributable to an increase of $22.2 million in loss that was reclassified from equity to the statement of profit or loss related to the interest rate swaps which were terminated in 2016, offset by a decrease of $18.7 million in loss from mark-to-market valuation of our interest rate swaps carried at fair value through profit or loss, which reflected a gain of $18.5 million for the year ended December 31, 2016 as compared to a loss of $0.2 million for the year ended December 31, 2015, and a decrease of $0.5 million in realized loss from interest rate swaps held for trading.</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decreased by 47.7%, or $25.6 million, from $53.7 million for the year ended December 31, 2015 to $28.1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as a result of the aforementioned factors.</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Profit/(Loss) Attributable to Owners of the Group: </w:t>
      </w:r>
      <w:r>
        <w:rPr>
          <w:rFonts w:ascii="Arial" w:cs="Arial" w:eastAsia="Arial" w:hAnsi="Arial"/>
          <w:sz w:val="16"/>
          <w:szCs w:val="16"/>
          <w:color w:val="auto"/>
        </w:rPr>
        <w:t>Profit Attributable to Owners of the Group decreased by $32.3 million, from a profit of $10.8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the year ended December 31, 2015, to a loss of $21.5 million for the year ended December 31, 2016. The decrease in Profit Attributable to Owners of the Group was a result of the aforementioned factors and was also affected by the increase in profit attributable to the non-controlling interests (non-controlling unitholders of GasLog Partners) pursuant to the drop-downs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to GasLog Partners in July 2015 and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in November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 the year ended December 31, 2017, we received 92.6% of our revenues from Shell, 7.2% of our revenues from various charterers in the spot/short-term market and 0.2% of our revenues from Egypt LNG. For the year ended December 31, 2016, we received 94.9% of our revenues from Shell, 5.0% of our revenues from the spot/short-term market and 0.1% of our revenues from Egypt LNG.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Since our owned ships are mainly employed under multi-year, fixed-rate charter arrangements, seasonal trends do not materially impact the revenues earned during the year by our vessels under multi-year charters. Seasonality also does not have a significant impact on revenues earned by our management services, as we provide technical ship management and ship construction supervision services under fixed-rate agreements. However, our vessels trading in the spot market are subject to seasonality in spot rates which has been evident in the LNG shipping market during 2017.</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31, 2017, GasLog has financed its capital requirements with contributions from its pre-IPO shareholders, proceeds from our IPO and the GasLog Partners' IPO, proceeds from the 2014, 2015, 2016 and 2017 follow-on equity offerings, the 2017 debt offering and the private placements, operating cash flows and long-term financings including bank loans and bond offerings. Our primary liquidity needs are to fund our ship-operating and general and administrative expenses, finance the purchase and construction of our newbuildings,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any budget overruns, if any.</w:t>
      </w:r>
    </w:p>
    <w:p>
      <w:pPr>
        <w:spacing w:after="0" w:line="17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loan agreements. We may seek to raise additional common or other forms of equity, subject in each case to market conditions. We believe that these sources of funds will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 sufficient to meet our liquidity needs, although there can be no assurance that we will be able to obtain future debt and equity financing on terms acceptable to us.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funding and treasury activities are intended to balance investment returns in order to maintain appropriate liquidity. Cash and cash equivalents are held primarily in U.S. dollars. We have entered into three CCSs to exchange interest payments and principal on maturity on the same terms as the NOK 2021 Bonds and designated the CCSs as hedges of the variability of the USD functional currency equivalent cash flows on the NOK 2021 Bonds. Refer to Note 25 to our audited consolidated financial statements included elsewhere in this annual report for details on our swap arrangements.</w:t>
      </w:r>
    </w:p>
    <w:p>
      <w:pPr>
        <w:spacing w:after="0" w:line="167"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December 31, 2017, we had $384.1 million of cash and cash equivalents, of which $189.9 million was held in time deposits and $2.4 million was held in ship management client accounts. The funds in the ship management client accounts were held on behalf of customers of GasLog LNG Services in order to cover obligations of third party vessels under management.</w:t>
      </w:r>
    </w:p>
    <w:p>
      <w:pPr>
        <w:spacing w:after="0" w:line="19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 xml:space="preserve">As of December 31, 2017, we had an aggregate of $2.55 billion of indebtedness outstanding under our credit agreements and bonds, of which $179.4 million was repayable within one year, and a $213.4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of which $6.3 million was repayable within one year.</w:t>
      </w:r>
    </w:p>
    <w:p>
      <w:pPr>
        <w:spacing w:after="0" w:line="194"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As of December 31, 2017, we had available amounts not yet drawn of $664.0 million under the October 2015 Facility. Additionally, there was an undrawn amount of $100.0 million under the revolving facility of the Legacy Facility Refinancing, which is available to be drawn, repaid and redrawn at any time until January 2021 and is to be repaid in July 2021.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total contract price for our four newbuildings on order as of December 31, 2017 and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delivered in 2018 (and not including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contract price of the shipbuilding contract for Hull No. 2213 signed in 2018), is approximately $1.03 billion, of which $145.7 million was paid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The balance is payable under each shipbuilding contract in installments upon the attainment of certain specified milestones, with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purchase price for each ship coming due upon its delivery. We are scheduled to take delivery of these newbuildings on various dates in 2018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2019. As of December 31, 2017, the total remaining balance of the contract prices for the four newbuildings and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not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price of the shipbuilding contract for Hull No. 2213 signed in 2018) was $882.6 million of which $553.8 million is due within 12 months which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funded with existing undrawn debt, available cash, cash from operations and other financings we may enter into.</w:t>
      </w:r>
    </w:p>
    <w:p>
      <w:pPr>
        <w:spacing w:after="0" w:line="219"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On January 27, 2017, GasLog Partners completed an equity offering of 3,750,000 common units. In addition, the option to purchase additional units was partially exercised by the underwriter on February 24, 2017, resulting in 120,000 additional units being sold at the same price. The total net proceeds after deducting underwriting discounts and other offering expenses were $78.2 million.</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March 22, 2017, GasLog closed a public offering of $250.0 million aggregate principal amount of the 8.875% Senior Notes at a public offering price of 100% of the principal amount. The total net proceeds after deducting underwriting discounts and other offering expenses were $245.3 million.</w:t>
      </w:r>
    </w:p>
    <w:p>
      <w:pPr>
        <w:spacing w:after="0" w:line="13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April 5, 2017, GasLog prepaid $150.0 million under the junior tranche of the Five Vessel Refinancing, which would have been originally due in April 2018.</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May 15, 2017, the Partnership completed a public offering of 5,750,000 of its 8.625% Series A Cumulative Redeemable Perpetual Fixed to Floating Rate Preference Units (the "Partnership's Series A Preference Units") (including 750,000 units issued upon the exercise in full by the underwriters of their option to purchase additional Partnership's Series A Preference Units), liquidation preference $25.00 per unit, at a price to the public of $25.00 per preference unit. The net proceeds from the offering after deducting underwriting discounts, commissions and other offering expenses were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$138.8 million. The Partnership's Series A Preference Units are listed on the New York Stock Exchange under the symbol "GLOP PR A".</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 million and to include UBS Securities LLC as a sales agent.</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From establishment of the ATM Programme through December 31, 2017, GasLog Partners issued and received payment for 2,737,405 units at a weighted average price of $22.97 per common unit for total gross proceeds of $62.9 million and total net proceeds of $61.2 million, after broker commissions of $0.8 million and other expenses of $0.9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5, 2018, GasLog prepaid the remaining $29.8 million of the Five Vessel Refinancing which would have been originally due in April 2018.</w:t>
      </w:r>
    </w:p>
    <w:p>
      <w:pPr>
        <w:spacing w:after="0" w:line="248"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On January 17, 2018, the Partnership completed a public offering of 4,600,000 of its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liquidation preference $25.00 per unit, at a price to the public of $25.00 per preference unit. The net proceeds from the offering after deducting underwriting discounts, commissions and other offering expenses were $111.0 million. The Partnership's Series B Preference Units are listed on the New York Stock Exchange under the symbol "GLOP PR B".</w:t>
      </w:r>
    </w:p>
    <w:p>
      <w:pPr>
        <w:spacing w:after="0" w:line="170"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Information—A. Consolidated Financial Statements and Other Financial Information—Dividend Policy" for a discussion of risks related to our ability to pay dividends.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loan agreements. We may seek to raise additional common or other forms of equity. We believe that these sources of funds will be sufficient to fund our operations, including our working capital requirements, and to make the required principal and interest payments on our indebtedness during the next 12 months; however, there can be no assurance that we will be able to obtain future debt and equity financing on terms acceptable to us.</w:t>
      </w:r>
    </w:p>
    <w:p>
      <w:pPr>
        <w:spacing w:after="0" w:line="16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December 31, 2017, our current assets totaled $417.1 million while current liabilities totaled $294.9 million, resulting in a positive working capital position of $122.2 million.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60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29"/>
        </w:trPr>
        <w:tc>
          <w:tcPr>
            <w:tcW w:w="6020" w:type="dxa"/>
            <w:vAlign w:val="bottom"/>
          </w:tcPr>
          <w:p>
            <w:pPr>
              <w:spacing w:after="0"/>
              <w:rPr>
                <w:sz w:val="11"/>
                <w:szCs w:val="11"/>
                <w:color w:val="auto"/>
              </w:rPr>
            </w:pPr>
          </w:p>
        </w:tc>
        <w:tc>
          <w:tcPr>
            <w:tcW w:w="196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(in thousands of</w:t>
            </w:r>
          </w:p>
        </w:tc>
      </w:tr>
      <w:tr>
        <w:trPr>
          <w:trHeight w:val="161"/>
        </w:trPr>
        <w:tc>
          <w:tcPr>
            <w:tcW w:w="6020" w:type="dxa"/>
            <w:vAlign w:val="bottom"/>
          </w:tcPr>
          <w:p>
            <w:pPr>
              <w:spacing w:after="0"/>
              <w:rPr>
                <w:sz w:val="14"/>
                <w:szCs w:val="14"/>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U.S. dollars)</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  256,532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223,630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(771,242)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(74,599)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439,766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7,265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provided by operating activities decreased by $32.9 million, from $256.5 million during the year ended December 31, 2016 to $223.6 million during the year ended December 31, 2017. The decrease was mainly attributable to an increase of $47.8 million in cash paid for interest including the interest paid for finance leases, a decrease of $43.4 million caused by movements in working capital accounts and a net increase of $7.9 million from the remaining movements, which were partially offset by an increase in revenues of $59.2 million and a decrease in voyage expenses and commissions of $7.0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Net cash used in investing activities decreased by $696.6 million, from $771.2 million during the year ended December 31, 2016 to $74.6 million during the year ended December 31, 2017. The decrease is mainly attributable to a decrease of $679.2 million in payments for the construction costs of newbuildings and other fixed assets, a net decrease in short-term investments of $30.0 million in 2017 compared to 2016 and an increase of $1.8 million in cash from interest income. The above movements were partially offset by $14.1 million in payments made for the investment in Gastrade.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decreased by $432.5 million, from $439.8 million during the year ended December 31, 2016 to $7.3 million during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2017. The decrease is mainly attributable to a decrease of $1,994.3 million in proceeds from our borrowings,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$217.0 million in proceeds from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a decrease of $62.7 million in restricted cash, an increase of $21.9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 payments and an increase of $3.6 million in payments for finance lease liabilities. The above movements were partially offset by a decrease in bank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bond repayments of $1,586.6 million, an increase of $139.2 million in proceeds from the Partnership's Series A Preference Units issuance,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$88.7 million in proceeds from the Partnership's public common equity offerings, net payments of $4.8 million related to the termination of our interest rate swap</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agreements and entering into new agreements in 2016, a decrease of $35.3 million in payments of loan issuance costs and a decrease of $12.0 million in payments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CCS termination/modification and the NOK denominated bond repurchases.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4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29"/>
        </w:trPr>
        <w:tc>
          <w:tcPr>
            <w:tcW w:w="4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2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(in thousands of</w:t>
            </w:r>
          </w:p>
        </w:tc>
      </w:tr>
      <w:tr>
        <w:trPr>
          <w:trHeight w:val="161"/>
        </w:trPr>
        <w:tc>
          <w:tcPr>
            <w:tcW w:w="4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U.S. dollars)</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161,579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256,532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60" w:type="dxa"/>
            <w:vAlign w:val="bottom"/>
            <w:gridSpan w:val="3"/>
          </w:tcPr>
          <w:p>
            <w:pPr>
              <w:jc w:val="right"/>
              <w:ind w:right="120"/>
              <w:spacing w:after="0"/>
              <w:rPr>
                <w:sz w:val="20"/>
                <w:szCs w:val="20"/>
                <w:color w:val="auto"/>
              </w:rPr>
            </w:pPr>
            <w:r>
              <w:rPr>
                <w:rFonts w:ascii="Arial" w:cs="Arial" w:eastAsia="Arial" w:hAnsi="Arial"/>
                <w:sz w:val="18"/>
                <w:szCs w:val="18"/>
                <w:color w:val="auto"/>
              </w:rPr>
              <w:t>(704,052)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(771,242)</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439,766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provided by operating activities increased by $94.9 million, from $161.6 million during the year ended December 31, 2015 to $256.5 million during the year ended December 31, 2016. The increase was mainly attributable to an increase of $54.3 million caused by movements in working capital accounts, an increase in revenues of $51.0 million and a net increase of $3.7 million from the remaining movements, which were partially offset by an increase in vessel operating and supervision costs of $14.1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Net cash used in investing activities increased by $67.1 million, from $704.1 million during the year ended December 31, 2015 to $771.2 million during the year ended December 31, 2016. The increase is mainly attributable to an increase of $33.1 million in payments for the construction costs of newbuildings, the acquisition of secondhand vessels and other fixed assets, a net decrease of $34.4 million in short-term investments and a decrease of $0.1 million in dividends and return of contributed capital received from Egypt LNG, which were partially offset by an increase of $0.4 million in cash from interest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decreased by $194.6 million, from $634.3 million during the year ended December 31, 2015 to $439.8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2016. The decrease is mainly attributable to an increase in bank loan repayments of $1,879.9 million,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$231.5 million in proceeds from equity offerings (the net proceeds from GasLog Partners' public offerings decreased by $120.1 million, while in 2015 we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$111.4 million net proceeds from GasLog's Preference Shares issuance), payments of $34.1 million for CCS termination/modification and the 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of NOK 588 million of bonds in June 2016, an increase of $18.2 million in payments of loan issuance costs, an increase of $14.7 million in dividend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payments and net payments of $4.8 million related to the termination of our interest rate swap agreements and entering into new agreements in 2016, which were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partially offset by an increase of $1,668.3 million in proceeds from our borrowings, proceeds of $217.0 million from the sale and leaseback of the </w:t>
      </w:r>
      <w:r>
        <w:rPr>
          <w:rFonts w:ascii="Arial" w:cs="Arial" w:eastAsia="Arial" w:hAnsi="Arial"/>
          <w:sz w:val="16"/>
          <w:szCs w:val="16"/>
          <w:i w:val="1"/>
          <w:iCs w:val="1"/>
          <w:color w:val="auto"/>
        </w:rPr>
        <w:t>Methane Julia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Louise, </w:t>
      </w:r>
      <w:r>
        <w:rPr>
          <w:rFonts w:ascii="Arial" w:cs="Arial" w:eastAsia="Arial" w:hAnsi="Arial"/>
          <w:sz w:val="18"/>
          <w:szCs w:val="18"/>
          <w:color w:val="auto"/>
        </w:rPr>
        <w:t>an increase of $102.6 million from the release of restricted cash and a decrease of $1.4 million in payments of equity raising costs.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summarizes certain terms of the five outstanding facilities as of December 31, 2017:</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Facility Name</w:t>
            </w:r>
          </w:p>
        </w:tc>
        <w:tc>
          <w:tcPr>
            <w:tcW w:w="2820" w:type="dxa"/>
            <w:vAlign w:val="bottom"/>
          </w:tcPr>
          <w:p>
            <w:pPr>
              <w:ind w:left="1120"/>
              <w:spacing w:after="0"/>
              <w:rPr>
                <w:sz w:val="20"/>
                <w:szCs w:val="20"/>
                <w:color w:val="auto"/>
              </w:rPr>
            </w:pPr>
            <w:r>
              <w:rPr>
                <w:rFonts w:ascii="Arial" w:cs="Arial" w:eastAsia="Arial" w:hAnsi="Arial"/>
                <w:sz w:val="14"/>
                <w:szCs w:val="14"/>
                <w:b w:val="1"/>
                <w:bCs w:val="1"/>
                <w:color w:val="auto"/>
              </w:rPr>
              <w:t>Lender(s)</w:t>
            </w: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73"/>
              </w:rPr>
              <w:t>GasLog Partners</w:t>
            </w:r>
          </w:p>
        </w:tc>
        <w:tc>
          <w:tcPr>
            <w:tcW w:w="480" w:type="dxa"/>
            <w:vAlign w:val="bottom"/>
          </w:tcPr>
          <w:p>
            <w:pPr>
              <w:spacing w:after="0"/>
              <w:rPr>
                <w:sz w:val="11"/>
                <w:szCs w:val="11"/>
                <w:color w:val="auto"/>
              </w:rPr>
            </w:pPr>
          </w:p>
        </w:tc>
        <w:tc>
          <w:tcPr>
            <w:tcW w:w="28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Citibank, N.A., London Branch, Nordea Bank</w:t>
            </w:r>
          </w:p>
        </w:tc>
      </w:tr>
      <w:tr>
        <w:trPr>
          <w:trHeight w:val="149"/>
        </w:trPr>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rPr>
              <w:t>Credit Facility</w:t>
            </w: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Finland plc, London Branch, DVB Bank</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America N.V., ABN Amro Bank N.V.,</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w w:val="97"/>
              </w:rPr>
              <w:t>Skandinaviska Enskilda Banken AB (publ) and</w:t>
            </w:r>
          </w:p>
        </w:tc>
      </w:tr>
      <w:tr>
        <w:trPr>
          <w:trHeight w:val="17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w w:val="97"/>
              </w:rPr>
              <w:t>BNP Paribas (GasLog Partners Credit Facility)</w:t>
            </w: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Payment of</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Principals</w:t>
            </w:r>
          </w:p>
        </w:tc>
      </w:tr>
      <w:tr>
        <w:trPr>
          <w:trHeight w:val="149"/>
        </w:trPr>
        <w:tc>
          <w:tcPr>
            <w:tcW w:w="20" w:type="dxa"/>
            <w:vAlign w:val="bottom"/>
          </w:tcPr>
          <w:p>
            <w:pPr>
              <w:spacing w:after="0"/>
              <w:rPr>
                <w:sz w:val="12"/>
                <w:szCs w:val="12"/>
                <w:color w:val="auto"/>
              </w:rPr>
            </w:pPr>
          </w:p>
        </w:tc>
        <w:tc>
          <w:tcPr>
            <w:tcW w:w="194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Subsidiary Party</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Undrawn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Installments</w:t>
            </w:r>
          </w:p>
        </w:tc>
      </w:tr>
      <w:tr>
        <w:trPr>
          <w:trHeight w:val="161"/>
        </w:trPr>
        <w:tc>
          <w:tcPr>
            <w:tcW w:w="20" w:type="dxa"/>
            <w:vAlign w:val="bottom"/>
          </w:tcPr>
          <w:p>
            <w:pPr>
              <w:spacing w:after="0"/>
              <w:rPr>
                <w:sz w:val="14"/>
                <w:szCs w:val="14"/>
                <w:color w:val="auto"/>
              </w:rPr>
            </w:pPr>
          </w:p>
        </w:tc>
        <w:tc>
          <w:tcPr>
            <w:tcW w:w="1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(Collateral Ship)</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r>
      <w:tr>
        <w:trPr>
          <w:trHeight w:val="131"/>
        </w:trPr>
        <w:tc>
          <w:tcPr>
            <w:tcW w:w="20" w:type="dxa"/>
            <w:vAlign w:val="bottom"/>
          </w:tcPr>
          <w:p>
            <w:pPr>
              <w:spacing w:after="0"/>
              <w:rPr>
                <w:sz w:val="11"/>
                <w:szCs w:val="11"/>
                <w:color w:val="auto"/>
              </w:rPr>
            </w:pPr>
          </w:p>
        </w:tc>
        <w:tc>
          <w:tcPr>
            <w:tcW w:w="1940" w:type="dxa"/>
            <w:vAlign w:val="bottom"/>
          </w:tcPr>
          <w:p>
            <w:pPr>
              <w:spacing w:after="0" w:line="131" w:lineRule="exact"/>
              <w:rPr>
                <w:sz w:val="20"/>
                <w:szCs w:val="20"/>
                <w:color w:val="auto"/>
              </w:rPr>
            </w:pPr>
            <w:r>
              <w:rPr>
                <w:rFonts w:ascii="Arial" w:cs="Arial" w:eastAsia="Arial" w:hAnsi="Arial"/>
                <w:sz w:val="14"/>
                <w:szCs w:val="14"/>
                <w:color w:val="auto"/>
                <w:w w:val="86"/>
              </w:rPr>
              <w:t xml:space="preserve">GAS-three Ltd. </w:t>
            </w:r>
            <w:r>
              <w:rPr>
                <w:rFonts w:ascii="Arial" w:cs="Arial" w:eastAsia="Arial" w:hAnsi="Arial"/>
                <w:sz w:val="14"/>
                <w:szCs w:val="14"/>
                <w:i w:val="1"/>
                <w:iCs w:val="1"/>
                <w:color w:val="auto"/>
                <w:w w:val="86"/>
              </w:rPr>
              <w:t>(GasLog Shanghai),</w:t>
            </w:r>
          </w:p>
        </w:tc>
        <w:tc>
          <w:tcPr>
            <w:tcW w:w="16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4"/>
                <w:szCs w:val="14"/>
                <w:color w:val="auto"/>
                <w:w w:val="92"/>
              </w:rPr>
              <w:t>$382.5 million</w:t>
            </w:r>
          </w:p>
        </w:tc>
        <w:tc>
          <w:tcPr>
            <w:tcW w:w="160" w:type="dxa"/>
            <w:vAlign w:val="bottom"/>
          </w:tcPr>
          <w:p>
            <w:pPr>
              <w:spacing w:after="0"/>
              <w:rPr>
                <w:sz w:val="11"/>
                <w:szCs w:val="11"/>
                <w:color w:val="auto"/>
              </w:rPr>
            </w:pPr>
          </w:p>
        </w:tc>
        <w:tc>
          <w:tcPr>
            <w:tcW w:w="800" w:type="dxa"/>
            <w:vAlign w:val="bottom"/>
          </w:tcPr>
          <w:p>
            <w:pPr>
              <w:spacing w:after="0" w:line="131"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4"/>
                <w:szCs w:val="14"/>
                <w:color w:val="auto"/>
                <w:w w:val="90"/>
              </w:rPr>
              <w:t>LIBOR + applicable</w:t>
            </w:r>
          </w:p>
        </w:tc>
        <w:tc>
          <w:tcPr>
            <w:tcW w:w="160" w:type="dxa"/>
            <w:vAlign w:val="bottom"/>
          </w:tcPr>
          <w:p>
            <w:pPr>
              <w:spacing w:after="0"/>
              <w:rPr>
                <w:sz w:val="11"/>
                <w:szCs w:val="11"/>
                <w:color w:val="auto"/>
              </w:rPr>
            </w:pPr>
          </w:p>
        </w:tc>
        <w:tc>
          <w:tcPr>
            <w:tcW w:w="520" w:type="dxa"/>
            <w:vAlign w:val="bottom"/>
          </w:tcPr>
          <w:p>
            <w:pPr>
              <w:jc w:val="right"/>
              <w:ind w:right="52"/>
              <w:spacing w:after="0" w:line="131"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1"/>
                <w:szCs w:val="11"/>
                <w:color w:val="auto"/>
              </w:rPr>
            </w:pPr>
          </w:p>
        </w:tc>
        <w:tc>
          <w:tcPr>
            <w:tcW w:w="1140" w:type="dxa"/>
            <w:vAlign w:val="bottom"/>
          </w:tcPr>
          <w:p>
            <w:pPr>
              <w:spacing w:after="0" w:line="131" w:lineRule="exact"/>
              <w:rPr>
                <w:sz w:val="20"/>
                <w:szCs w:val="20"/>
                <w:color w:val="auto"/>
              </w:rPr>
            </w:pPr>
            <w:r>
              <w:rPr>
                <w:rFonts w:ascii="Arial" w:cs="Arial" w:eastAsia="Arial" w:hAnsi="Arial"/>
                <w:sz w:val="14"/>
                <w:szCs w:val="14"/>
                <w:color w:val="auto"/>
              </w:rPr>
              <w:t>8 consecutive</w:t>
            </w: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w w:val="91"/>
              </w:rPr>
              <w:t xml:space="preserve">GAS-four Ltd. </w:t>
            </w:r>
            <w:r>
              <w:rPr>
                <w:rFonts w:ascii="Arial" w:cs="Arial" w:eastAsia="Arial" w:hAnsi="Arial"/>
                <w:sz w:val="14"/>
                <w:szCs w:val="14"/>
                <w:i w:val="1"/>
                <w:iCs w:val="1"/>
                <w:color w:val="auto"/>
                <w:w w:val="91"/>
              </w:rPr>
              <w:t>(GasLog Santiago),</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quarterly</w:t>
            </w: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w w:val="96"/>
              </w:rPr>
              <w:t xml:space="preserve">GAS-five Ltd. </w:t>
            </w:r>
            <w:r>
              <w:rPr>
                <w:rFonts w:ascii="Arial" w:cs="Arial" w:eastAsia="Arial" w:hAnsi="Arial"/>
                <w:sz w:val="14"/>
                <w:szCs w:val="14"/>
                <w:i w:val="1"/>
                <w:iCs w:val="1"/>
                <w:color w:val="auto"/>
                <w:w w:val="96"/>
              </w:rPr>
              <w:t>(GasLog Sydney)</w:t>
            </w:r>
            <w:r>
              <w:rPr>
                <w:rFonts w:ascii="Arial" w:cs="Arial" w:eastAsia="Arial" w:hAnsi="Arial"/>
                <w:sz w:val="14"/>
                <w:szCs w:val="14"/>
                <w:color w:val="auto"/>
                <w:w w:val="96"/>
              </w:rPr>
              <w: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w w:val="98"/>
              </w:rPr>
              <w:t xml:space="preserve">GAS-sixteen Ltd. </w:t>
            </w:r>
            <w:r>
              <w:rPr>
                <w:rFonts w:ascii="Arial" w:cs="Arial" w:eastAsia="Arial" w:hAnsi="Arial"/>
                <w:sz w:val="14"/>
                <w:szCs w:val="14"/>
                <w:i w:val="1"/>
                <w:iCs w:val="1"/>
                <w:color w:val="auto"/>
                <w:w w:val="98"/>
              </w:rPr>
              <w:t>(Methane Rita</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$5.6 million and a</w:t>
            </w: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Andrea)</w:t>
            </w:r>
            <w:r>
              <w:rPr>
                <w:rFonts w:ascii="Arial" w:cs="Arial" w:eastAsia="Arial" w:hAnsi="Arial"/>
                <w:sz w:val="14"/>
                <w:szCs w:val="14"/>
                <w:color w:val="auto"/>
              </w:rPr>
              <w:t>, GAS- seventeen Ltd.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94"/>
              </w:rPr>
              <w:t>balloon payment of</w:t>
            </w: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(Methane Jane Elizabeth)</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$337.5 million</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together with the</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final quarterly</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installment in</w:t>
            </w:r>
          </w:p>
        </w:tc>
      </w:tr>
      <w:tr>
        <w:trPr>
          <w:trHeight w:val="17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November 2019.</w:t>
            </w:r>
          </w:p>
        </w:tc>
      </w:tr>
    </w:tbl>
    <w:p>
      <w:pPr>
        <w:spacing w:after="0" w:line="126" w:lineRule="exact"/>
        <w:rPr>
          <w:sz w:val="20"/>
          <w:szCs w:val="20"/>
          <w:color w:val="auto"/>
        </w:rPr>
      </w:pPr>
    </w:p>
    <w:p>
      <w:pPr>
        <w:sectPr>
          <w:pgSz w:w="11900" w:h="16838" w:orient="portrait"/>
          <w:cols w:equalWidth="0" w:num="2">
            <w:col w:w="4120" w:space="160"/>
            <w:col w:w="7140"/>
          </w:cols>
          <w:pgMar w:left="240" w:top="131" w:right="239" w:bottom="1440" w:gutter="0" w:footer="0" w:header="0"/>
          <w:type w:val="continuous"/>
        </w:sectPr>
      </w:pPr>
    </w:p>
    <w:p>
      <w:pPr>
        <w:spacing w:after="0" w:line="93"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October 2015</w:t>
      </w:r>
      <w:r>
        <w:rPr>
          <w:sz w:val="20"/>
          <w:szCs w:val="20"/>
          <w:color w:val="auto"/>
        </w:rPr>
        <w:tab/>
      </w:r>
      <w:r>
        <w:rPr>
          <w:rFonts w:ascii="Arial" w:cs="Arial" w:eastAsia="Arial" w:hAnsi="Arial"/>
          <w:sz w:val="12"/>
          <w:szCs w:val="12"/>
          <w:color w:val="auto"/>
        </w:rPr>
        <w:t>Citibank, N.A., London Branch, Nordea Bank AB,</w:t>
      </w:r>
    </w:p>
    <w:p>
      <w:pPr>
        <w:spacing w:after="0"/>
        <w:tabs>
          <w:tab w:leader="none" w:pos="1280" w:val="left"/>
        </w:tabs>
        <w:rPr>
          <w:sz w:val="20"/>
          <w:szCs w:val="20"/>
          <w:color w:val="auto"/>
        </w:rPr>
      </w:pPr>
      <w:r>
        <w:rPr>
          <w:rFonts w:ascii="Arial" w:cs="Arial" w:eastAsia="Arial" w:hAnsi="Arial"/>
          <w:sz w:val="12"/>
          <w:szCs w:val="12"/>
          <w:color w:val="auto"/>
        </w:rPr>
        <w:t>Facility</w:t>
      </w:r>
      <w:r>
        <w:rPr>
          <w:sz w:val="20"/>
          <w:szCs w:val="20"/>
          <w:color w:val="auto"/>
        </w:rPr>
        <w:tab/>
      </w:r>
      <w:r>
        <w:rPr>
          <w:rFonts w:ascii="Arial" w:cs="Arial" w:eastAsia="Arial" w:hAnsi="Arial"/>
          <w:sz w:val="12"/>
          <w:szCs w:val="12"/>
          <w:color w:val="auto"/>
        </w:rPr>
        <w:t>London Branch, The Export-Import Bank of Korea,</w:t>
      </w:r>
    </w:p>
    <w:p>
      <w:pPr>
        <w:spacing w:after="0" w:line="11" w:lineRule="exact"/>
        <w:rPr>
          <w:sz w:val="20"/>
          <w:szCs w:val="20"/>
          <w:color w:val="auto"/>
        </w:rPr>
      </w:pPr>
    </w:p>
    <w:p>
      <w:pPr>
        <w:ind w:left="1300" w:right="20"/>
        <w:spacing w:after="0" w:line="263" w:lineRule="auto"/>
        <w:rPr>
          <w:sz w:val="20"/>
          <w:szCs w:val="20"/>
          <w:color w:val="auto"/>
        </w:rPr>
      </w:pPr>
      <w:r>
        <w:rPr>
          <w:rFonts w:ascii="Arial" w:cs="Arial" w:eastAsia="Arial" w:hAnsi="Arial"/>
          <w:sz w:val="12"/>
          <w:szCs w:val="12"/>
          <w:color w:val="auto"/>
        </w:rPr>
        <w:t>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Arial" w:cs="Arial" w:eastAsia="Arial" w:hAnsi="Arial"/>
                <w:sz w:val="14"/>
                <w:szCs w:val="14"/>
                <w:color w:val="auto"/>
                <w:w w:val="92"/>
              </w:rPr>
              <w:t>GAS-eleven Ltd. (</w:t>
            </w:r>
            <w:r>
              <w:rPr>
                <w:rFonts w:ascii="Arial" w:cs="Arial" w:eastAsia="Arial" w:hAnsi="Arial"/>
                <w:sz w:val="14"/>
                <w:szCs w:val="14"/>
                <w:i w:val="1"/>
                <w:iCs w:val="1"/>
                <w:color w:val="auto"/>
                <w:w w:val="92"/>
              </w:rPr>
              <w:t>GasLog Greece</w:t>
            </w:r>
            <w:r>
              <w:rPr>
                <w:rFonts w:ascii="Arial" w:cs="Arial" w:eastAsia="Arial" w:hAnsi="Arial"/>
                <w:sz w:val="14"/>
                <w:szCs w:val="14"/>
                <w:color w:val="auto"/>
                <w:w w:val="92"/>
              </w:rPr>
              <w:t>),</w:t>
            </w:r>
          </w:p>
        </w:tc>
        <w:tc>
          <w:tcPr>
            <w:tcW w:w="3220" w:type="dxa"/>
            <w:vAlign w:val="bottom"/>
          </w:tcPr>
          <w:p>
            <w:pPr>
              <w:ind w:left="80"/>
              <w:spacing w:after="0"/>
              <w:rPr>
                <w:sz w:val="20"/>
                <w:szCs w:val="20"/>
                <w:color w:val="auto"/>
              </w:rPr>
            </w:pPr>
            <w:r>
              <w:rPr>
                <w:rFonts w:ascii="Arial" w:cs="Arial" w:eastAsia="Arial" w:hAnsi="Arial"/>
                <w:sz w:val="14"/>
                <w:szCs w:val="14"/>
                <w:color w:val="auto"/>
                <w:w w:val="98"/>
              </w:rPr>
              <w:t>$589.9 million   $664.0 million   LIBOR + applicable</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2028</w:t>
            </w:r>
            <w:r>
              <w:rPr>
                <w:rFonts w:ascii="Arial" w:cs="Arial" w:eastAsia="Arial" w:hAnsi="Arial"/>
                <w:sz w:val="22"/>
                <w:szCs w:val="22"/>
                <w:color w:val="auto"/>
                <w:vertAlign w:val="superscript"/>
              </w:rPr>
              <w:t>(1)</w:t>
            </w:r>
          </w:p>
        </w:tc>
        <w:tc>
          <w:tcPr>
            <w:tcW w:w="1240" w:type="dxa"/>
            <w:vAlign w:val="bottom"/>
          </w:tcPr>
          <w:p>
            <w:pPr>
              <w:ind w:left="100"/>
              <w:spacing w:after="0"/>
              <w:rPr>
                <w:sz w:val="20"/>
                <w:szCs w:val="20"/>
                <w:color w:val="auto"/>
              </w:rPr>
            </w:pPr>
            <w:r>
              <w:rPr>
                <w:rFonts w:ascii="Arial" w:cs="Arial" w:eastAsia="Arial" w:hAnsi="Arial"/>
                <w:sz w:val="14"/>
                <w:szCs w:val="14"/>
                <w:color w:val="auto"/>
              </w:rPr>
              <w:t>17 consecutive</w:t>
            </w:r>
          </w:p>
        </w:tc>
      </w:tr>
      <w:tr>
        <w:trPr>
          <w:trHeight w:val="138"/>
        </w:trPr>
        <w:tc>
          <w:tcPr>
            <w:tcW w:w="2040" w:type="dxa"/>
            <w:vAlign w:val="bottom"/>
          </w:tcPr>
          <w:p>
            <w:pPr>
              <w:spacing w:after="0" w:line="138" w:lineRule="exact"/>
              <w:rPr>
                <w:sz w:val="20"/>
                <w:szCs w:val="20"/>
                <w:color w:val="auto"/>
              </w:rPr>
            </w:pPr>
            <w:r>
              <w:rPr>
                <w:rFonts w:ascii="Arial" w:cs="Arial" w:eastAsia="Arial" w:hAnsi="Arial"/>
                <w:sz w:val="14"/>
                <w:szCs w:val="14"/>
                <w:color w:val="auto"/>
              </w:rPr>
              <w:t>GAS-twelve Ltd. (</w:t>
            </w:r>
            <w:r>
              <w:rPr>
                <w:rFonts w:ascii="Arial" w:cs="Arial" w:eastAsia="Arial" w:hAnsi="Arial"/>
                <w:sz w:val="14"/>
                <w:szCs w:val="14"/>
                <w:i w:val="1"/>
                <w:iCs w:val="1"/>
                <w:color w:val="auto"/>
              </w:rPr>
              <w:t>GasLog</w:t>
            </w:r>
          </w:p>
        </w:tc>
        <w:tc>
          <w:tcPr>
            <w:tcW w:w="3220" w:type="dxa"/>
            <w:vAlign w:val="bottom"/>
          </w:tcPr>
          <w:p>
            <w:pPr>
              <w:ind w:left="2000"/>
              <w:spacing w:after="0" w:line="138" w:lineRule="exact"/>
              <w:rPr>
                <w:sz w:val="20"/>
                <w:szCs w:val="20"/>
                <w:color w:val="auto"/>
              </w:rPr>
            </w:pPr>
            <w:r>
              <w:rPr>
                <w:rFonts w:ascii="Arial" w:cs="Arial" w:eastAsia="Arial" w:hAnsi="Arial"/>
                <w:sz w:val="14"/>
                <w:szCs w:val="14"/>
                <w:color w:val="auto"/>
              </w:rPr>
              <w:t>margin</w:t>
            </w:r>
          </w:p>
        </w:tc>
        <w:tc>
          <w:tcPr>
            <w:tcW w:w="640" w:type="dxa"/>
            <w:vAlign w:val="bottom"/>
          </w:tcPr>
          <w:p>
            <w:pPr>
              <w:spacing w:after="0"/>
              <w:rPr>
                <w:sz w:val="11"/>
                <w:szCs w:val="11"/>
                <w:color w:val="auto"/>
              </w:rPr>
            </w:pPr>
          </w:p>
        </w:tc>
        <w:tc>
          <w:tcPr>
            <w:tcW w:w="1240" w:type="dxa"/>
            <w:vAlign w:val="bottom"/>
          </w:tcPr>
          <w:p>
            <w:pPr>
              <w:ind w:left="100"/>
              <w:spacing w:after="0" w:line="138" w:lineRule="exact"/>
              <w:rPr>
                <w:sz w:val="20"/>
                <w:szCs w:val="20"/>
                <w:color w:val="auto"/>
              </w:rPr>
            </w:pPr>
            <w:r>
              <w:rPr>
                <w:rFonts w:ascii="Arial" w:cs="Arial" w:eastAsia="Arial" w:hAnsi="Arial"/>
                <w:sz w:val="14"/>
                <w:szCs w:val="14"/>
                <w:color w:val="auto"/>
              </w:rPr>
              <w:t>semi- annual</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i w:val="1"/>
                <w:iCs w:val="1"/>
                <w:color w:val="auto"/>
              </w:rPr>
              <w:t>Glasgow</w:t>
            </w:r>
            <w:r>
              <w:rPr>
                <w:rFonts w:ascii="Arial" w:cs="Arial" w:eastAsia="Arial" w:hAnsi="Arial"/>
                <w:sz w:val="14"/>
                <w:szCs w:val="14"/>
                <w:color w:val="auto"/>
              </w:rPr>
              <w:t>), GAS-thirteen Ltd.</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GasLog Geneva</w:t>
            </w:r>
            <w:r>
              <w:rPr>
                <w:rFonts w:ascii="Arial" w:cs="Arial" w:eastAsia="Arial" w:hAnsi="Arial"/>
                <w:sz w:val="14"/>
                <w:szCs w:val="14"/>
                <w:color w:val="auto"/>
              </w:rPr>
              <w:t>), GAS-</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$11.5 million, 18</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w w:val="99"/>
              </w:rPr>
              <w:t>fourteen Ltd. (</w:t>
            </w:r>
            <w:r>
              <w:rPr>
                <w:rFonts w:ascii="Arial" w:cs="Arial" w:eastAsia="Arial" w:hAnsi="Arial"/>
                <w:sz w:val="14"/>
                <w:szCs w:val="14"/>
                <w:i w:val="1"/>
                <w:iCs w:val="1"/>
                <w:color w:val="auto"/>
                <w:w w:val="99"/>
              </w:rPr>
              <w:t>GasLog Gibraltar</w:t>
            </w:r>
            <w:r>
              <w:rPr>
                <w:rFonts w:ascii="Arial" w:cs="Arial" w:eastAsia="Arial" w:hAnsi="Arial"/>
                <w:sz w:val="14"/>
                <w:szCs w:val="14"/>
                <w:color w:val="auto"/>
                <w:w w:val="99"/>
              </w:rPr>
              <w:t>),</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w w:val="99"/>
              </w:rPr>
              <w:t>consecutive semi-</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w w:val="99"/>
              </w:rPr>
              <w:t>GAS-twenty two Ltd. (</w:t>
            </w:r>
            <w:r>
              <w:rPr>
                <w:rFonts w:ascii="Arial" w:cs="Arial" w:eastAsia="Arial" w:hAnsi="Arial"/>
                <w:sz w:val="14"/>
                <w:szCs w:val="14"/>
                <w:i w:val="1"/>
                <w:iCs w:val="1"/>
                <w:color w:val="auto"/>
                <w:w w:val="99"/>
              </w:rPr>
              <w:t>Hull 2130</w:t>
            </w:r>
            <w:r>
              <w:rPr>
                <w:rFonts w:ascii="Arial" w:cs="Arial" w:eastAsia="Arial" w:hAnsi="Arial"/>
                <w:sz w:val="14"/>
                <w:szCs w:val="14"/>
                <w:color w:val="auto"/>
                <w:w w:val="99"/>
              </w:rPr>
              <w:t>),</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w w:val="93"/>
              </w:rPr>
              <w:t>annual installments</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w w:val="94"/>
              </w:rPr>
              <w:t>GAS-twenty three Ltd. (</w:t>
            </w:r>
            <w:r>
              <w:rPr>
                <w:rFonts w:ascii="Arial" w:cs="Arial" w:eastAsia="Arial" w:hAnsi="Arial"/>
                <w:sz w:val="14"/>
                <w:szCs w:val="14"/>
                <w:i w:val="1"/>
                <w:iCs w:val="1"/>
                <w:color w:val="auto"/>
                <w:w w:val="94"/>
              </w:rPr>
              <w:t>Hull 2131</w:t>
            </w:r>
            <w:r>
              <w:rPr>
                <w:rFonts w:ascii="Arial" w:cs="Arial" w:eastAsia="Arial" w:hAnsi="Arial"/>
                <w:sz w:val="14"/>
                <w:szCs w:val="14"/>
                <w:color w:val="auto"/>
                <w:w w:val="94"/>
              </w:rPr>
              <w:t>),</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of $11.4 million, a</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GAS-twenty four Ltd. (</w:t>
            </w:r>
            <w:r>
              <w:rPr>
                <w:rFonts w:ascii="Arial" w:cs="Arial" w:eastAsia="Arial" w:hAnsi="Arial"/>
                <w:sz w:val="14"/>
                <w:szCs w:val="14"/>
                <w:i w:val="1"/>
                <w:iCs w:val="1"/>
                <w:color w:val="auto"/>
              </w:rPr>
              <w:t>GasLog</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w w:val="86"/>
              </w:rPr>
              <w:t>balloon payment due</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i w:val="1"/>
                <w:iCs w:val="1"/>
                <w:color w:val="auto"/>
                <w:w w:val="93"/>
              </w:rPr>
              <w:t>Houston</w:t>
            </w:r>
            <w:r>
              <w:rPr>
                <w:rFonts w:ascii="Arial" w:cs="Arial" w:eastAsia="Arial" w:hAnsi="Arial"/>
                <w:sz w:val="14"/>
                <w:szCs w:val="14"/>
                <w:color w:val="auto"/>
                <w:w w:val="93"/>
              </w:rPr>
              <w:t>) and GAS-twenty five Ltd.</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rPr>
              <w:t>in 2026 of</w:t>
            </w: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GasLog Hong Kong</w:t>
            </w:r>
            <w:r>
              <w:rPr>
                <w:rFonts w:ascii="Arial" w:cs="Arial" w:eastAsia="Arial" w:hAnsi="Arial"/>
                <w:sz w:val="14"/>
                <w:szCs w:val="14"/>
                <w:color w:val="auto"/>
              </w:rPr>
              <w:t>)</w:t>
            </w: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ind w:left="100"/>
              <w:spacing w:after="0" w:line="149" w:lineRule="exact"/>
              <w:rPr>
                <w:sz w:val="20"/>
                <w:szCs w:val="20"/>
                <w:color w:val="auto"/>
              </w:rPr>
            </w:pPr>
            <w:r>
              <w:rPr>
                <w:rFonts w:ascii="Arial" w:cs="Arial" w:eastAsia="Arial" w:hAnsi="Arial"/>
                <w:sz w:val="14"/>
                <w:szCs w:val="14"/>
                <w:color w:val="auto"/>
                <w:w w:val="98"/>
              </w:rPr>
              <w:t>$121.4 million and</w:t>
            </w:r>
          </w:p>
        </w:tc>
      </w:tr>
      <w:tr>
        <w:trPr>
          <w:trHeight w:val="161"/>
        </w:trPr>
        <w:tc>
          <w:tcPr>
            <w:tcW w:w="20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thereafter 4</w:t>
            </w:r>
          </w:p>
        </w:tc>
      </w:tr>
    </w:tbl>
    <w:p>
      <w:pPr>
        <w:ind w:left="6000"/>
        <w:spacing w:after="0" w:line="221" w:lineRule="auto"/>
        <w:rPr>
          <w:sz w:val="20"/>
          <w:szCs w:val="20"/>
          <w:color w:val="auto"/>
        </w:rPr>
      </w:pPr>
      <w:r>
        <w:rPr>
          <w:rFonts w:ascii="Arial" w:cs="Arial" w:eastAsia="Arial" w:hAnsi="Arial"/>
          <w:sz w:val="14"/>
          <w:szCs w:val="14"/>
          <w:color w:val="auto"/>
        </w:rPr>
        <w:t>consecutive semi-</w:t>
      </w:r>
    </w:p>
    <w:p>
      <w:pPr>
        <w:ind w:left="6000"/>
        <w:spacing w:after="0"/>
        <w:rPr>
          <w:sz w:val="20"/>
          <w:szCs w:val="20"/>
          <w:color w:val="auto"/>
        </w:rPr>
      </w:pPr>
      <w:r>
        <w:rPr>
          <w:rFonts w:ascii="Arial" w:cs="Arial" w:eastAsia="Arial" w:hAnsi="Arial"/>
          <w:sz w:val="12"/>
          <w:szCs w:val="12"/>
          <w:color w:val="auto"/>
        </w:rPr>
        <w:t>annual installments</w:t>
      </w:r>
    </w:p>
    <w:p>
      <w:pPr>
        <w:ind w:left="6000"/>
        <w:spacing w:after="0" w:line="237" w:lineRule="auto"/>
        <w:rPr>
          <w:sz w:val="20"/>
          <w:szCs w:val="20"/>
          <w:color w:val="auto"/>
        </w:rPr>
      </w:pPr>
      <w:r>
        <w:rPr>
          <w:rFonts w:ascii="Arial" w:cs="Arial" w:eastAsia="Arial" w:hAnsi="Arial"/>
          <w:sz w:val="14"/>
          <w:szCs w:val="14"/>
          <w:color w:val="auto"/>
        </w:rPr>
        <w:t>of $16.9 million</w:t>
      </w:r>
    </w:p>
    <w:p>
      <w:pPr>
        <w:ind w:left="6000"/>
        <w:spacing w:after="0"/>
        <w:rPr>
          <w:sz w:val="20"/>
          <w:szCs w:val="20"/>
          <w:color w:val="auto"/>
        </w:rPr>
      </w:pPr>
      <w:r>
        <w:rPr>
          <w:rFonts w:ascii="Arial" w:cs="Arial" w:eastAsia="Arial" w:hAnsi="Arial"/>
          <w:sz w:val="12"/>
          <w:szCs w:val="12"/>
          <w:color w:val="auto"/>
        </w:rPr>
        <w:t>until October 2028.</w:t>
      </w:r>
    </w:p>
    <w:p>
      <w:pPr>
        <w:spacing w:after="0" w:line="200" w:lineRule="exact"/>
        <w:rPr>
          <w:sz w:val="20"/>
          <w:szCs w:val="20"/>
          <w:color w:val="auto"/>
        </w:rPr>
      </w:pPr>
    </w:p>
    <w:p>
      <w:pPr>
        <w:sectPr>
          <w:pgSz w:w="11900" w:h="16838" w:orient="portrait"/>
          <w:cols w:equalWidth="0" w:num="2">
            <w:col w:w="4100" w:space="180"/>
            <w:col w:w="7140"/>
          </w:cols>
          <w:pgMar w:left="240" w:top="131"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color w:val="auto"/>
              </w:rPr>
              <w:t>Five Vessel</w:t>
            </w:r>
          </w:p>
        </w:tc>
        <w:tc>
          <w:tcPr>
            <w:tcW w:w="2940" w:type="dxa"/>
            <w:vAlign w:val="bottom"/>
          </w:tcPr>
          <w:p>
            <w:pPr>
              <w:ind w:left="100"/>
              <w:spacing w:after="0"/>
              <w:rPr>
                <w:sz w:val="20"/>
                <w:szCs w:val="20"/>
                <w:color w:val="auto"/>
              </w:rPr>
            </w:pPr>
            <w:r>
              <w:rPr>
                <w:rFonts w:ascii="Arial" w:cs="Arial" w:eastAsia="Arial" w:hAnsi="Arial"/>
                <w:sz w:val="14"/>
                <w:szCs w:val="14"/>
                <w:color w:val="auto"/>
              </w:rPr>
              <w:t>ABN AMRO Bank N.V., DNB (UK) Ltd., DVB</w:t>
            </w:r>
          </w:p>
        </w:tc>
        <w:tc>
          <w:tcPr>
            <w:tcW w:w="3800" w:type="dxa"/>
            <w:vAlign w:val="bottom"/>
          </w:tcPr>
          <w:p>
            <w:pPr>
              <w:ind w:left="140"/>
              <w:spacing w:after="0"/>
              <w:rPr>
                <w:sz w:val="20"/>
                <w:szCs w:val="20"/>
                <w:color w:val="auto"/>
              </w:rPr>
            </w:pPr>
            <w:r>
              <w:rPr>
                <w:rFonts w:ascii="Arial" w:cs="Arial" w:eastAsia="Arial" w:hAnsi="Arial"/>
                <w:sz w:val="14"/>
                <w:szCs w:val="14"/>
                <w:color w:val="auto"/>
              </w:rPr>
              <w:t xml:space="preserve">GAS-eighteen Ltd. </w:t>
            </w:r>
            <w:r>
              <w:rPr>
                <w:rFonts w:ascii="Arial" w:cs="Arial" w:eastAsia="Arial" w:hAnsi="Arial"/>
                <w:sz w:val="14"/>
                <w:szCs w:val="14"/>
                <w:i w:val="1"/>
                <w:iCs w:val="1"/>
                <w:color w:val="auto"/>
              </w:rPr>
              <w:t>(Methane Lydon</w:t>
            </w:r>
            <w:r>
              <w:rPr>
                <w:rFonts w:ascii="Arial" w:cs="Arial" w:eastAsia="Arial" w:hAnsi="Arial"/>
                <w:sz w:val="14"/>
                <w:szCs w:val="14"/>
                <w:color w:val="auto"/>
              </w:rPr>
              <w:t xml:space="preserve">   $353.2 million   n/a</w:t>
            </w:r>
          </w:p>
        </w:tc>
        <w:tc>
          <w:tcPr>
            <w:tcW w:w="1640" w:type="dxa"/>
            <w:vAlign w:val="bottom"/>
          </w:tcPr>
          <w:p>
            <w:pPr>
              <w:ind w:left="380"/>
              <w:spacing w:after="0"/>
              <w:rPr>
                <w:sz w:val="20"/>
                <w:szCs w:val="20"/>
                <w:color w:val="auto"/>
              </w:rPr>
            </w:pPr>
            <w:r>
              <w:rPr>
                <w:rFonts w:ascii="Arial" w:cs="Arial" w:eastAsia="Arial" w:hAnsi="Arial"/>
                <w:sz w:val="14"/>
                <w:szCs w:val="14"/>
                <w:color w:val="auto"/>
              </w:rPr>
              <w:t>LIBOR + applicable</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2021</w:t>
            </w:r>
          </w:p>
        </w:tc>
        <w:tc>
          <w:tcPr>
            <w:tcW w:w="1200" w:type="dxa"/>
            <w:vAlign w:val="bottom"/>
          </w:tcPr>
          <w:p>
            <w:pPr>
              <w:ind w:left="140"/>
              <w:spacing w:after="0"/>
              <w:rPr>
                <w:sz w:val="20"/>
                <w:szCs w:val="20"/>
                <w:color w:val="auto"/>
              </w:rPr>
            </w:pPr>
            <w:r>
              <w:rPr>
                <w:rFonts w:ascii="Arial" w:cs="Arial" w:eastAsia="Arial" w:hAnsi="Arial"/>
                <w:sz w:val="14"/>
                <w:szCs w:val="14"/>
                <w:color w:val="auto"/>
              </w:rPr>
              <w:t>14 consecutive</w:t>
            </w: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w w:val="95"/>
              </w:rPr>
              <w:t>Refinancing (Senior</w:t>
            </w:r>
          </w:p>
        </w:tc>
        <w:tc>
          <w:tcPr>
            <w:tcW w:w="2940" w:type="dxa"/>
            <w:vAlign w:val="bottom"/>
          </w:tcPr>
          <w:p>
            <w:pPr>
              <w:ind w:left="100"/>
              <w:spacing w:after="0" w:line="149" w:lineRule="exact"/>
              <w:rPr>
                <w:sz w:val="20"/>
                <w:szCs w:val="20"/>
                <w:color w:val="auto"/>
              </w:rPr>
            </w:pPr>
            <w:r>
              <w:rPr>
                <w:rFonts w:ascii="Arial" w:cs="Arial" w:eastAsia="Arial" w:hAnsi="Arial"/>
                <w:sz w:val="14"/>
                <w:szCs w:val="14"/>
                <w:color w:val="auto"/>
              </w:rPr>
              <w:t>Bank America N.V., Commonwealth Bank of</w:t>
            </w:r>
          </w:p>
        </w:tc>
        <w:tc>
          <w:tcPr>
            <w:tcW w:w="38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 xml:space="preserve">Volney), </w:t>
            </w:r>
            <w:r>
              <w:rPr>
                <w:rFonts w:ascii="Arial" w:cs="Arial" w:eastAsia="Arial" w:hAnsi="Arial"/>
                <w:sz w:val="14"/>
                <w:szCs w:val="14"/>
                <w:color w:val="auto"/>
              </w:rPr>
              <w:t>GAS- nineteen Ltd.</w:t>
            </w:r>
          </w:p>
        </w:tc>
        <w:tc>
          <w:tcPr>
            <w:tcW w:w="1640" w:type="dxa"/>
            <w:vAlign w:val="bottom"/>
          </w:tcPr>
          <w:p>
            <w:pPr>
              <w:ind w:left="380"/>
              <w:spacing w:after="0" w:line="149" w:lineRule="exact"/>
              <w:rPr>
                <w:sz w:val="20"/>
                <w:szCs w:val="20"/>
                <w:color w:val="auto"/>
              </w:rPr>
            </w:pPr>
            <w:r>
              <w:rPr>
                <w:rFonts w:ascii="Arial" w:cs="Arial" w:eastAsia="Arial" w:hAnsi="Arial"/>
                <w:sz w:val="14"/>
                <w:szCs w:val="14"/>
                <w:color w:val="auto"/>
              </w:rPr>
              <w:t>margin</w:t>
            </w: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quarterly</w:t>
            </w: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Facility)</w:t>
            </w:r>
          </w:p>
        </w:tc>
        <w:tc>
          <w:tcPr>
            <w:tcW w:w="2940" w:type="dxa"/>
            <w:vAlign w:val="bottom"/>
          </w:tcPr>
          <w:p>
            <w:pPr>
              <w:ind w:left="100"/>
              <w:spacing w:after="0" w:line="149" w:lineRule="exact"/>
              <w:rPr>
                <w:sz w:val="20"/>
                <w:szCs w:val="20"/>
                <w:color w:val="auto"/>
              </w:rPr>
            </w:pPr>
            <w:r>
              <w:rPr>
                <w:rFonts w:ascii="Arial" w:cs="Arial" w:eastAsia="Arial" w:hAnsi="Arial"/>
                <w:sz w:val="14"/>
                <w:szCs w:val="14"/>
                <w:color w:val="auto"/>
                <w:w w:val="93"/>
              </w:rPr>
              <w:t>Australia, ING Bank N.V., London Branch, Credit</w:t>
            </w:r>
          </w:p>
        </w:tc>
        <w:tc>
          <w:tcPr>
            <w:tcW w:w="38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 xml:space="preserve">(Methane Alison Victoria), </w:t>
            </w:r>
            <w:r>
              <w:rPr>
                <w:rFonts w:ascii="Arial" w:cs="Arial" w:eastAsia="Arial" w:hAnsi="Arial"/>
                <w:sz w:val="14"/>
                <w:szCs w:val="14"/>
                <w:color w:val="auto"/>
              </w:rPr>
              <w:t>GAS-</w:t>
            </w: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1200" w:type="dxa"/>
            <w:vAlign w:val="bottom"/>
          </w:tcPr>
          <w:p>
            <w:pPr>
              <w:spacing w:after="0"/>
              <w:rPr>
                <w:sz w:val="12"/>
                <w:szCs w:val="12"/>
                <w:color w:val="auto"/>
              </w:rPr>
            </w:pPr>
          </w:p>
        </w:tc>
        <w:tc>
          <w:tcPr>
            <w:tcW w:w="2940" w:type="dxa"/>
            <w:vAlign w:val="bottom"/>
          </w:tcPr>
          <w:p>
            <w:pPr>
              <w:ind w:left="100"/>
              <w:spacing w:after="0" w:line="149" w:lineRule="exact"/>
              <w:rPr>
                <w:sz w:val="20"/>
                <w:szCs w:val="20"/>
                <w:color w:val="auto"/>
              </w:rPr>
            </w:pPr>
            <w:r>
              <w:rPr>
                <w:rFonts w:ascii="Arial" w:cs="Arial" w:eastAsia="Arial" w:hAnsi="Arial"/>
                <w:sz w:val="14"/>
                <w:szCs w:val="14"/>
                <w:color w:val="auto"/>
              </w:rPr>
              <w:t>Agricole Corporate and Investment Bank and</w:t>
            </w:r>
          </w:p>
        </w:tc>
        <w:tc>
          <w:tcPr>
            <w:tcW w:w="380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twenty Ltd. </w:t>
            </w:r>
            <w:r>
              <w:rPr>
                <w:rFonts w:ascii="Arial" w:cs="Arial" w:eastAsia="Arial" w:hAnsi="Arial"/>
                <w:sz w:val="14"/>
                <w:szCs w:val="14"/>
                <w:i w:val="1"/>
                <w:iCs w:val="1"/>
                <w:color w:val="auto"/>
              </w:rPr>
              <w:t>(Methane Shirley</w:t>
            </w: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$6.2 million,</w:t>
            </w:r>
          </w:p>
        </w:tc>
      </w:tr>
      <w:tr>
        <w:trPr>
          <w:trHeight w:val="149"/>
        </w:trPr>
        <w:tc>
          <w:tcPr>
            <w:tcW w:w="1200" w:type="dxa"/>
            <w:vAlign w:val="bottom"/>
          </w:tcPr>
          <w:p>
            <w:pPr>
              <w:spacing w:after="0"/>
              <w:rPr>
                <w:sz w:val="12"/>
                <w:szCs w:val="12"/>
                <w:color w:val="auto"/>
              </w:rPr>
            </w:pPr>
          </w:p>
        </w:tc>
        <w:tc>
          <w:tcPr>
            <w:tcW w:w="2940" w:type="dxa"/>
            <w:vAlign w:val="bottom"/>
          </w:tcPr>
          <w:p>
            <w:pPr>
              <w:ind w:left="100"/>
              <w:spacing w:after="0" w:line="149" w:lineRule="exact"/>
              <w:rPr>
                <w:sz w:val="20"/>
                <w:szCs w:val="20"/>
                <w:color w:val="auto"/>
              </w:rPr>
            </w:pPr>
            <w:r>
              <w:rPr>
                <w:rFonts w:ascii="Arial" w:cs="Arial" w:eastAsia="Arial" w:hAnsi="Arial"/>
                <w:sz w:val="14"/>
                <w:szCs w:val="14"/>
                <w:color w:val="auto"/>
              </w:rPr>
              <w:t>National Australia Bank Limited</w:t>
            </w:r>
          </w:p>
        </w:tc>
        <w:tc>
          <w:tcPr>
            <w:tcW w:w="38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 xml:space="preserve">Elisabeth), </w:t>
            </w:r>
            <w:r>
              <w:rPr>
                <w:rFonts w:ascii="Arial" w:cs="Arial" w:eastAsia="Arial" w:hAnsi="Arial"/>
                <w:sz w:val="14"/>
                <w:szCs w:val="14"/>
                <w:color w:val="auto"/>
              </w:rPr>
              <w:t>GAS- twenty one Ltd.</w:t>
            </w: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14 consecutive</w:t>
            </w:r>
          </w:p>
        </w:tc>
      </w:tr>
      <w:tr>
        <w:trPr>
          <w:trHeight w:val="149"/>
        </w:trPr>
        <w:tc>
          <w:tcPr>
            <w:tcW w:w="1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 xml:space="preserve">(Methane Heather Sally, </w:t>
            </w:r>
            <w:r>
              <w:rPr>
                <w:rFonts w:ascii="Arial" w:cs="Arial" w:eastAsia="Arial" w:hAnsi="Arial"/>
                <w:sz w:val="14"/>
                <w:szCs w:val="14"/>
                <w:color w:val="auto"/>
              </w:rPr>
              <w:t>GAS-</w:t>
            </w: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quarterly</w:t>
            </w:r>
          </w:p>
        </w:tc>
      </w:tr>
      <w:tr>
        <w:trPr>
          <w:trHeight w:val="149"/>
        </w:trPr>
        <w:tc>
          <w:tcPr>
            <w:tcW w:w="1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twenty seven Ltd. </w:t>
            </w:r>
            <w:r>
              <w:rPr>
                <w:rFonts w:ascii="Arial" w:cs="Arial" w:eastAsia="Arial" w:hAnsi="Arial"/>
                <w:sz w:val="14"/>
                <w:szCs w:val="14"/>
                <w:i w:val="1"/>
                <w:iCs w:val="1"/>
                <w:color w:val="auto"/>
              </w:rPr>
              <w:t>(Methane Becki</w:t>
            </w: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1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Anne)</w:t>
            </w: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w w:val="88"/>
              </w:rPr>
              <w:t>$1.77 million and a</w:t>
            </w:r>
          </w:p>
        </w:tc>
      </w:tr>
      <w:tr>
        <w:trPr>
          <w:trHeight w:val="149"/>
        </w:trPr>
        <w:tc>
          <w:tcPr>
            <w:tcW w:w="1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w w:val="87"/>
              </w:rPr>
              <w:t>balloon payment of</w:t>
            </w:r>
          </w:p>
        </w:tc>
      </w:tr>
      <w:tr>
        <w:trPr>
          <w:trHeight w:val="149"/>
        </w:trPr>
        <w:tc>
          <w:tcPr>
            <w:tcW w:w="1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$242.1 million</w:t>
            </w:r>
          </w:p>
        </w:tc>
      </w:tr>
      <w:tr>
        <w:trPr>
          <w:trHeight w:val="149"/>
        </w:trPr>
        <w:tc>
          <w:tcPr>
            <w:tcW w:w="1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together with the</w:t>
            </w:r>
          </w:p>
        </w:tc>
      </w:tr>
      <w:tr>
        <w:trPr>
          <w:trHeight w:val="161"/>
        </w:trPr>
        <w:tc>
          <w:tcPr>
            <w:tcW w:w="1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Arial" w:cs="Arial" w:eastAsia="Arial" w:hAnsi="Arial"/>
                <w:sz w:val="14"/>
                <w:szCs w:val="14"/>
                <w:color w:val="auto"/>
              </w:rPr>
              <w:t>final quarterly</w:t>
            </w:r>
          </w:p>
        </w:tc>
      </w:tr>
    </w:tbl>
    <w:p>
      <w:pPr>
        <w:ind w:left="10280"/>
        <w:spacing w:after="0"/>
        <w:rPr>
          <w:sz w:val="20"/>
          <w:szCs w:val="20"/>
          <w:color w:val="auto"/>
        </w:rPr>
      </w:pPr>
      <w:r>
        <w:rPr>
          <w:rFonts w:ascii="Arial" w:cs="Arial" w:eastAsia="Arial" w:hAnsi="Arial"/>
          <w:sz w:val="12"/>
          <w:szCs w:val="12"/>
          <w:color w:val="auto"/>
        </w:rPr>
        <w:t>installments in April</w:t>
      </w:r>
    </w:p>
    <w:p>
      <w:pPr>
        <w:spacing w:after="0" w:line="10" w:lineRule="exact"/>
        <w:rPr>
          <w:sz w:val="20"/>
          <w:szCs w:val="20"/>
          <w:color w:val="auto"/>
        </w:rPr>
      </w:pPr>
    </w:p>
    <w:p>
      <w:pPr>
        <w:ind w:left="10280"/>
        <w:spacing w:after="0"/>
        <w:rPr>
          <w:sz w:val="20"/>
          <w:szCs w:val="20"/>
          <w:color w:val="auto"/>
        </w:rPr>
      </w:pPr>
      <w:r>
        <w:rPr>
          <w:rFonts w:ascii="Arial" w:cs="Arial" w:eastAsia="Arial" w:hAnsi="Arial"/>
          <w:sz w:val="14"/>
          <w:szCs w:val="14"/>
          <w:color w:val="auto"/>
        </w:rPr>
        <w:t>2021.</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Facility Name</w:t>
            </w:r>
          </w:p>
        </w:tc>
        <w:tc>
          <w:tcPr>
            <w:tcW w:w="2380" w:type="dxa"/>
            <w:vAlign w:val="bottom"/>
          </w:tcPr>
          <w:p>
            <w:pPr>
              <w:ind w:left="920"/>
              <w:spacing w:after="0"/>
              <w:rPr>
                <w:sz w:val="20"/>
                <w:szCs w:val="20"/>
                <w:color w:val="auto"/>
              </w:rPr>
            </w:pPr>
            <w:r>
              <w:rPr>
                <w:rFonts w:ascii="Arial" w:cs="Arial" w:eastAsia="Arial" w:hAnsi="Arial"/>
                <w:sz w:val="14"/>
                <w:szCs w:val="14"/>
                <w:b w:val="1"/>
                <w:bCs w:val="1"/>
                <w:color w:val="auto"/>
              </w:rPr>
              <w:t>Lender(s)</w:t>
            </w: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Five Vessel</w:t>
            </w:r>
          </w:p>
        </w:tc>
        <w:tc>
          <w:tcPr>
            <w:tcW w:w="480" w:type="dxa"/>
            <w:vAlign w:val="bottom"/>
          </w:tcPr>
          <w:p>
            <w:pPr>
              <w:spacing w:after="0"/>
              <w:rPr>
                <w:sz w:val="11"/>
                <w:szCs w:val="11"/>
                <w:color w:val="auto"/>
              </w:rPr>
            </w:pPr>
          </w:p>
        </w:tc>
        <w:tc>
          <w:tcPr>
            <w:tcW w:w="23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7"/>
              </w:rPr>
              <w:t>ABN AMRO Bank N.V., DNB (UK) Ltd.,</w:t>
            </w:r>
          </w:p>
        </w:tc>
      </w:tr>
      <w:tr>
        <w:trPr>
          <w:trHeight w:val="149"/>
        </w:trPr>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rPr>
              <w:t>Refinancing (Junior</w:t>
            </w:r>
          </w:p>
        </w:tc>
        <w:tc>
          <w:tcPr>
            <w:tcW w:w="2380" w:type="dxa"/>
            <w:vAlign w:val="bottom"/>
          </w:tcPr>
          <w:p>
            <w:pPr>
              <w:spacing w:after="0" w:line="149" w:lineRule="exact"/>
              <w:rPr>
                <w:sz w:val="20"/>
                <w:szCs w:val="20"/>
                <w:color w:val="auto"/>
              </w:rPr>
            </w:pPr>
            <w:r>
              <w:rPr>
                <w:rFonts w:ascii="Arial" w:cs="Arial" w:eastAsia="Arial" w:hAnsi="Arial"/>
                <w:sz w:val="14"/>
                <w:szCs w:val="14"/>
                <w:color w:val="auto"/>
                <w:w w:val="92"/>
              </w:rPr>
              <w:t>DVB Bank America N.V., Commonwealth</w:t>
            </w:r>
          </w:p>
        </w:tc>
      </w:tr>
      <w:tr>
        <w:trPr>
          <w:trHeight w:val="172"/>
        </w:trPr>
        <w:tc>
          <w:tcPr>
            <w:tcW w:w="1300" w:type="dxa"/>
            <w:vAlign w:val="bottom"/>
            <w:gridSpan w:val="3"/>
          </w:tcPr>
          <w:p>
            <w:pPr>
              <w:spacing w:after="0"/>
              <w:rPr>
                <w:sz w:val="20"/>
                <w:szCs w:val="20"/>
                <w:color w:val="auto"/>
              </w:rPr>
            </w:pPr>
            <w:r>
              <w:rPr>
                <w:rFonts w:ascii="Arial" w:cs="Arial" w:eastAsia="Arial" w:hAnsi="Arial"/>
                <w:sz w:val="14"/>
                <w:szCs w:val="14"/>
                <w:color w:val="auto"/>
              </w:rPr>
              <w:t>Facility)</w:t>
            </w:r>
          </w:p>
        </w:tc>
        <w:tc>
          <w:tcPr>
            <w:tcW w:w="2380" w:type="dxa"/>
            <w:vAlign w:val="bottom"/>
          </w:tcPr>
          <w:p>
            <w:pPr>
              <w:spacing w:after="0"/>
              <w:rPr>
                <w:sz w:val="20"/>
                <w:szCs w:val="20"/>
                <w:color w:val="auto"/>
              </w:rPr>
            </w:pPr>
            <w:r>
              <w:rPr>
                <w:rFonts w:ascii="Arial" w:cs="Arial" w:eastAsia="Arial" w:hAnsi="Arial"/>
                <w:sz w:val="14"/>
                <w:szCs w:val="14"/>
                <w:color w:val="auto"/>
              </w:rPr>
              <w:t>Bank of Australia and ING Bank N.V.</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Legacy Facility</w:t>
      </w:r>
      <w:r>
        <w:rPr>
          <w:sz w:val="20"/>
          <w:szCs w:val="20"/>
          <w:color w:val="auto"/>
        </w:rPr>
        <w:tab/>
      </w:r>
      <w:r>
        <w:rPr>
          <w:rFonts w:ascii="Arial" w:cs="Arial" w:eastAsia="Arial" w:hAnsi="Arial"/>
          <w:sz w:val="12"/>
          <w:szCs w:val="12"/>
          <w:color w:val="auto"/>
        </w:rPr>
        <w:t>Citigroup Global Market Limited, Credit</w:t>
      </w:r>
    </w:p>
    <w:p>
      <w:pPr>
        <w:spacing w:after="0" w:line="221" w:lineRule="auto"/>
        <w:tabs>
          <w:tab w:leader="none" w:pos="1280" w:val="left"/>
        </w:tabs>
        <w:rPr>
          <w:sz w:val="20"/>
          <w:szCs w:val="20"/>
          <w:color w:val="auto"/>
        </w:rPr>
      </w:pPr>
      <w:r>
        <w:rPr>
          <w:rFonts w:ascii="Arial" w:cs="Arial" w:eastAsia="Arial" w:hAnsi="Arial"/>
          <w:sz w:val="14"/>
          <w:szCs w:val="14"/>
          <w:color w:val="auto"/>
        </w:rPr>
        <w:t>Refinancing</w:t>
      </w:r>
      <w:r>
        <w:rPr>
          <w:sz w:val="20"/>
          <w:szCs w:val="20"/>
          <w:color w:val="auto"/>
        </w:rPr>
        <w:tab/>
      </w:r>
      <w:r>
        <w:rPr>
          <w:rFonts w:ascii="Arial" w:cs="Arial" w:eastAsia="Arial" w:hAnsi="Arial"/>
          <w:sz w:val="14"/>
          <w:szCs w:val="14"/>
          <w:color w:val="auto"/>
        </w:rPr>
        <w:t>Suisse AG, Nordea Bank AB, London</w:t>
      </w:r>
    </w:p>
    <w:p>
      <w:pPr>
        <w:ind w:left="1300" w:right="120"/>
        <w:spacing w:after="0" w:line="268" w:lineRule="auto"/>
        <w:rPr>
          <w:sz w:val="20"/>
          <w:szCs w:val="20"/>
          <w:color w:val="auto"/>
        </w:rPr>
      </w:pPr>
      <w:r>
        <w:rPr>
          <w:rFonts w:ascii="Arial" w:cs="Arial" w:eastAsia="Arial" w:hAnsi="Arial"/>
          <w:sz w:val="12"/>
          <w:szCs w:val="12"/>
          <w:color w:val="auto"/>
        </w:rPr>
        <w:t>Branch, Skandinaviska Enskilda Banken AB (publ), HSBC Bank plc, ING Bank N.V., London Branch, Danmarks Skibskredit A/S, The Korea Development Bank and DVB Bank America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19037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1"/>
          <w:szCs w:val="11"/>
          <w:color w:val="auto"/>
        </w:rPr>
      </w:pPr>
      <w:r>
        <w:rPr>
          <w:rFonts w:ascii="Arial" w:cs="Arial" w:eastAsia="Arial" w:hAnsi="Arial"/>
          <w:sz w:val="14"/>
          <w:szCs w:val="14"/>
          <w:color w:val="auto"/>
        </w:rPr>
        <w:t>Maturity regarding drawn amounts only.</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Payment of</w:t>
            </w:r>
          </w:p>
        </w:tc>
      </w:tr>
      <w:tr>
        <w:trPr>
          <w:trHeight w:val="149"/>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Principals</w:t>
            </w:r>
          </w:p>
        </w:tc>
      </w:tr>
      <w:tr>
        <w:trPr>
          <w:trHeight w:val="149"/>
        </w:trPr>
        <w:tc>
          <w:tcPr>
            <w:tcW w:w="2360" w:type="dxa"/>
            <w:vAlign w:val="bottom"/>
          </w:tcPr>
          <w:p>
            <w:pPr>
              <w:ind w:left="700"/>
              <w:spacing w:after="0" w:line="149" w:lineRule="exact"/>
              <w:rPr>
                <w:sz w:val="20"/>
                <w:szCs w:val="20"/>
                <w:color w:val="auto"/>
              </w:rPr>
            </w:pPr>
            <w:r>
              <w:rPr>
                <w:rFonts w:ascii="Arial" w:cs="Arial" w:eastAsia="Arial" w:hAnsi="Arial"/>
                <w:sz w:val="14"/>
                <w:szCs w:val="14"/>
                <w:b w:val="1"/>
                <w:bCs w:val="1"/>
                <w:color w:val="auto"/>
              </w:rPr>
              <w:t>Subsidiary Party</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Undrawn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Installments</w:t>
            </w:r>
          </w:p>
        </w:tc>
      </w:tr>
      <w:tr>
        <w:trPr>
          <w:trHeight w:val="161"/>
        </w:trPr>
        <w:tc>
          <w:tcPr>
            <w:tcW w:w="23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(Collateral Ship)</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r>
      <w:tr>
        <w:trPr>
          <w:trHeight w:val="131"/>
        </w:trPr>
        <w:tc>
          <w:tcPr>
            <w:tcW w:w="2360" w:type="dxa"/>
            <w:vAlign w:val="bottom"/>
          </w:tcPr>
          <w:p>
            <w:pPr>
              <w:spacing w:after="0" w:line="131" w:lineRule="exact"/>
              <w:rPr>
                <w:sz w:val="20"/>
                <w:szCs w:val="20"/>
                <w:color w:val="auto"/>
              </w:rPr>
            </w:pPr>
            <w:r>
              <w:rPr>
                <w:rFonts w:ascii="Arial" w:cs="Arial" w:eastAsia="Arial" w:hAnsi="Arial"/>
                <w:sz w:val="14"/>
                <w:szCs w:val="14"/>
                <w:color w:val="auto"/>
              </w:rPr>
              <w:t xml:space="preserve">GAS-eighteen Ltd. </w:t>
            </w:r>
            <w:r>
              <w:rPr>
                <w:rFonts w:ascii="Arial" w:cs="Arial" w:eastAsia="Arial" w:hAnsi="Arial"/>
                <w:sz w:val="14"/>
                <w:szCs w:val="14"/>
                <w:i w:val="1"/>
                <w:iCs w:val="1"/>
                <w:color w:val="auto"/>
              </w:rPr>
              <w:t>(Methane Lydon</w:t>
            </w:r>
          </w:p>
        </w:tc>
        <w:tc>
          <w:tcPr>
            <w:tcW w:w="160" w:type="dxa"/>
            <w:vAlign w:val="bottom"/>
          </w:tcPr>
          <w:p>
            <w:pPr>
              <w:spacing w:after="0"/>
              <w:rPr>
                <w:sz w:val="11"/>
                <w:szCs w:val="11"/>
                <w:color w:val="auto"/>
              </w:rPr>
            </w:pPr>
          </w:p>
        </w:tc>
        <w:tc>
          <w:tcPr>
            <w:tcW w:w="840" w:type="dxa"/>
            <w:vAlign w:val="bottom"/>
          </w:tcPr>
          <w:p>
            <w:pPr>
              <w:spacing w:after="0" w:line="131" w:lineRule="exact"/>
              <w:rPr>
                <w:sz w:val="20"/>
                <w:szCs w:val="20"/>
                <w:color w:val="auto"/>
              </w:rPr>
            </w:pPr>
            <w:r>
              <w:rPr>
                <w:rFonts w:ascii="Arial" w:cs="Arial" w:eastAsia="Arial" w:hAnsi="Arial"/>
                <w:sz w:val="14"/>
                <w:szCs w:val="14"/>
                <w:color w:val="auto"/>
              </w:rPr>
              <w:t>$29.7 million</w:t>
            </w:r>
          </w:p>
        </w:tc>
        <w:tc>
          <w:tcPr>
            <w:tcW w:w="160" w:type="dxa"/>
            <w:vAlign w:val="bottom"/>
          </w:tcPr>
          <w:p>
            <w:pPr>
              <w:spacing w:after="0"/>
              <w:rPr>
                <w:sz w:val="11"/>
                <w:szCs w:val="11"/>
                <w:color w:val="auto"/>
              </w:rPr>
            </w:pPr>
          </w:p>
        </w:tc>
        <w:tc>
          <w:tcPr>
            <w:tcW w:w="800" w:type="dxa"/>
            <w:vAlign w:val="bottom"/>
          </w:tcPr>
          <w:p>
            <w:pPr>
              <w:spacing w:after="0" w:line="131"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4"/>
                <w:szCs w:val="14"/>
                <w:color w:val="auto"/>
                <w:w w:val="90"/>
              </w:rPr>
              <w:t>LIBOR + applicable</w:t>
            </w:r>
          </w:p>
        </w:tc>
        <w:tc>
          <w:tcPr>
            <w:tcW w:w="16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Arial" w:cs="Arial" w:eastAsia="Arial" w:hAnsi="Arial"/>
                <w:sz w:val="14"/>
                <w:szCs w:val="14"/>
                <w:color w:val="auto"/>
                <w:w w:val="89"/>
              </w:rPr>
              <w:t>2018</w:t>
            </w:r>
          </w:p>
        </w:tc>
        <w:tc>
          <w:tcPr>
            <w:tcW w:w="160" w:type="dxa"/>
            <w:vAlign w:val="bottom"/>
          </w:tcPr>
          <w:p>
            <w:pPr>
              <w:spacing w:after="0"/>
              <w:rPr>
                <w:sz w:val="11"/>
                <w:szCs w:val="11"/>
                <w:color w:val="auto"/>
              </w:rPr>
            </w:pPr>
          </w:p>
        </w:tc>
        <w:tc>
          <w:tcPr>
            <w:tcW w:w="1140" w:type="dxa"/>
            <w:vAlign w:val="bottom"/>
          </w:tcPr>
          <w:p>
            <w:pPr>
              <w:spacing w:after="0" w:line="131" w:lineRule="exact"/>
              <w:rPr>
                <w:sz w:val="20"/>
                <w:szCs w:val="20"/>
                <w:color w:val="auto"/>
              </w:rPr>
            </w:pPr>
            <w:r>
              <w:rPr>
                <w:rFonts w:ascii="Arial" w:cs="Arial" w:eastAsia="Arial" w:hAnsi="Arial"/>
                <w:sz w:val="14"/>
                <w:szCs w:val="14"/>
                <w:color w:val="auto"/>
                <w:w w:val="92"/>
              </w:rPr>
              <w:t>Bullet repayment of</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i w:val="1"/>
                <w:iCs w:val="1"/>
                <w:color w:val="auto"/>
                <w:w w:val="98"/>
              </w:rPr>
              <w:t xml:space="preserve">Volney), </w:t>
            </w:r>
            <w:r>
              <w:rPr>
                <w:rFonts w:ascii="Arial" w:cs="Arial" w:eastAsia="Arial" w:hAnsi="Arial"/>
                <w:sz w:val="14"/>
                <w:szCs w:val="14"/>
                <w:color w:val="auto"/>
                <w:w w:val="98"/>
              </w:rPr>
              <w:t>GAS- nineteen Ltd.</w:t>
            </w:r>
            <w:r>
              <w:rPr>
                <w:rFonts w:ascii="Arial" w:cs="Arial" w:eastAsia="Arial" w:hAnsi="Arial"/>
                <w:sz w:val="14"/>
                <w:szCs w:val="14"/>
                <w:i w:val="1"/>
                <w:iCs w:val="1"/>
                <w:color w:val="auto"/>
                <w:w w:val="98"/>
              </w:rPr>
              <w:t xml:space="preserve"> (Methane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 (variable)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99"/>
              </w:rPr>
              <w:t>29.7 million due in</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i w:val="1"/>
                <w:iCs w:val="1"/>
                <w:color w:val="auto"/>
              </w:rPr>
              <w:t xml:space="preserve">Alison Victoria), </w:t>
            </w:r>
            <w:r>
              <w:rPr>
                <w:rFonts w:ascii="Arial" w:cs="Arial" w:eastAsia="Arial" w:hAnsi="Arial"/>
                <w:sz w:val="14"/>
                <w:szCs w:val="14"/>
                <w:color w:val="auto"/>
              </w:rPr>
              <w:t>GAS- twenty Ltd.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April 2018 without</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i w:val="1"/>
                <w:iCs w:val="1"/>
                <w:color w:val="auto"/>
                <w:w w:val="91"/>
              </w:rPr>
              <w:t xml:space="preserve">(Methane Shirley Elisabeth), </w:t>
            </w:r>
            <w:r>
              <w:rPr>
                <w:rFonts w:ascii="Arial" w:cs="Arial" w:eastAsia="Arial" w:hAnsi="Arial"/>
                <w:sz w:val="14"/>
                <w:szCs w:val="14"/>
                <w:color w:val="auto"/>
                <w:w w:val="91"/>
              </w:rPr>
              <w:t>GAS-twenty</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intermediate</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w w:val="96"/>
              </w:rPr>
              <w:t xml:space="preserve">one Ltd. </w:t>
            </w:r>
            <w:r>
              <w:rPr>
                <w:rFonts w:ascii="Arial" w:cs="Arial" w:eastAsia="Arial" w:hAnsi="Arial"/>
                <w:sz w:val="14"/>
                <w:szCs w:val="14"/>
                <w:i w:val="1"/>
                <w:iCs w:val="1"/>
                <w:color w:val="auto"/>
                <w:w w:val="96"/>
              </w:rPr>
              <w:t>(Methane Heather Sally,</w:t>
            </w:r>
            <w:r>
              <w:rPr>
                <w:rFonts w:ascii="Arial" w:cs="Arial" w:eastAsia="Arial" w:hAnsi="Arial"/>
                <w:sz w:val="14"/>
                <w:szCs w:val="14"/>
                <w:color w:val="auto"/>
                <w:w w:val="96"/>
              </w:rPr>
              <w:t xml:space="preserve"> GAS-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91"/>
              </w:rPr>
              <w:t>payments. The total</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w w:val="93"/>
              </w:rPr>
              <w:t xml:space="preserve">twenty seven Ltd. </w:t>
            </w:r>
            <w:r>
              <w:rPr>
                <w:rFonts w:ascii="Arial" w:cs="Arial" w:eastAsia="Arial" w:hAnsi="Arial"/>
                <w:sz w:val="14"/>
                <w:szCs w:val="14"/>
                <w:i w:val="1"/>
                <w:iCs w:val="1"/>
                <w:color w:val="auto"/>
                <w:w w:val="93"/>
              </w:rPr>
              <w:t>(Methane Becki Anne)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88"/>
              </w:rPr>
              <w:t>amount was prepaid</w:t>
            </w:r>
          </w:p>
        </w:tc>
      </w:tr>
      <w:tr>
        <w:trPr>
          <w:trHeight w:val="172"/>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in January 2018.</w:t>
            </w:r>
          </w:p>
        </w:tc>
      </w:tr>
      <w:tr>
        <w:trPr>
          <w:trHeight w:val="368"/>
        </w:trPr>
        <w:tc>
          <w:tcPr>
            <w:tcW w:w="2360" w:type="dxa"/>
            <w:vAlign w:val="bottom"/>
          </w:tcPr>
          <w:p>
            <w:pPr>
              <w:spacing w:after="0"/>
              <w:rPr>
                <w:sz w:val="20"/>
                <w:szCs w:val="20"/>
                <w:color w:val="auto"/>
              </w:rPr>
            </w:pPr>
            <w:r>
              <w:rPr>
                <w:rFonts w:ascii="Arial" w:cs="Arial" w:eastAsia="Arial" w:hAnsi="Arial"/>
                <w:sz w:val="14"/>
                <w:szCs w:val="14"/>
                <w:color w:val="auto"/>
                <w:w w:val="91"/>
              </w:rPr>
              <w:t>GAS-one Ltd. (</w:t>
            </w:r>
            <w:r>
              <w:rPr>
                <w:rFonts w:ascii="Arial" w:cs="Arial" w:eastAsia="Arial" w:hAnsi="Arial"/>
                <w:sz w:val="14"/>
                <w:szCs w:val="14"/>
                <w:i w:val="1"/>
                <w:iCs w:val="1"/>
                <w:color w:val="auto"/>
                <w:w w:val="91"/>
              </w:rPr>
              <w:t>GasLog Savannah</w:t>
            </w:r>
            <w:r>
              <w:rPr>
                <w:rFonts w:ascii="Arial" w:cs="Arial" w:eastAsia="Arial" w:hAnsi="Arial"/>
                <w:sz w:val="14"/>
                <w:szCs w:val="14"/>
                <w:color w:val="auto"/>
                <w:w w:val="91"/>
              </w:rPr>
              <w:t>), GAS-</w:t>
            </w: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$100.0 million</w:t>
            </w:r>
          </w:p>
        </w:tc>
        <w:tc>
          <w:tcPr>
            <w:tcW w:w="1280" w:type="dxa"/>
            <w:vAlign w:val="bottom"/>
            <w:gridSpan w:val="2"/>
          </w:tcPr>
          <w:p>
            <w:pPr>
              <w:ind w:left="160"/>
              <w:spacing w:after="0"/>
              <w:rPr>
                <w:sz w:val="20"/>
                <w:szCs w:val="20"/>
                <w:color w:val="auto"/>
              </w:rPr>
            </w:pPr>
            <w:r>
              <w:rPr>
                <w:rFonts w:ascii="Arial" w:cs="Arial" w:eastAsia="Arial" w:hAnsi="Arial"/>
                <w:sz w:val="14"/>
                <w:szCs w:val="14"/>
                <w:color w:val="auto"/>
                <w:w w:val="90"/>
              </w:rPr>
              <w:t>LIBOR + applicable</w:t>
            </w:r>
          </w:p>
        </w:tc>
        <w:tc>
          <w:tcPr>
            <w:tcW w:w="680" w:type="dxa"/>
            <w:vAlign w:val="bottom"/>
            <w:gridSpan w:val="2"/>
          </w:tcPr>
          <w:p>
            <w:pPr>
              <w:jc w:val="center"/>
              <w:ind w:left="92"/>
              <w:spacing w:after="0"/>
              <w:rPr>
                <w:sz w:val="20"/>
                <w:szCs w:val="20"/>
                <w:color w:val="auto"/>
              </w:rPr>
            </w:pPr>
            <w:r>
              <w:rPr>
                <w:rFonts w:ascii="Arial" w:cs="Arial" w:eastAsia="Arial" w:hAnsi="Arial"/>
                <w:sz w:val="14"/>
                <w:szCs w:val="14"/>
                <w:color w:val="auto"/>
                <w:w w:val="89"/>
              </w:rPr>
              <w:t>2021</w:t>
            </w:r>
          </w:p>
        </w:tc>
        <w:tc>
          <w:tcPr>
            <w:tcW w:w="1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92"/>
              </w:rPr>
              <w:t>Term loan facility: 7</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two Ltd. (</w:t>
            </w:r>
            <w:r>
              <w:rPr>
                <w:rFonts w:ascii="Arial" w:cs="Arial" w:eastAsia="Arial" w:hAnsi="Arial"/>
                <w:sz w:val="14"/>
                <w:szCs w:val="14"/>
                <w:i w:val="1"/>
                <w:iCs w:val="1"/>
                <w:color w:val="auto"/>
              </w:rPr>
              <w:t>GasLog Singapore</w:t>
            </w:r>
            <w:r>
              <w:rPr>
                <w:rFonts w:ascii="Arial" w:cs="Arial" w:eastAsia="Arial" w:hAnsi="Arial"/>
                <w:sz w:val="14"/>
                <w:szCs w:val="14"/>
                <w:color w:val="auto"/>
              </w:rPr>
              <w:t>), GAS-</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facility:</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semi-annual</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w w:val="88"/>
              </w:rPr>
              <w:t>six Ltd. (</w:t>
            </w:r>
            <w:r>
              <w:rPr>
                <w:rFonts w:ascii="Arial" w:cs="Arial" w:eastAsia="Arial" w:hAnsi="Arial"/>
                <w:sz w:val="14"/>
                <w:szCs w:val="14"/>
                <w:i w:val="1"/>
                <w:iCs w:val="1"/>
                <w:color w:val="auto"/>
                <w:w w:val="88"/>
              </w:rPr>
              <w:t>GasLog Skagen</w:t>
            </w:r>
            <w:r>
              <w:rPr>
                <w:rFonts w:ascii="Arial" w:cs="Arial" w:eastAsia="Arial" w:hAnsi="Arial"/>
                <w:sz w:val="14"/>
                <w:szCs w:val="14"/>
                <w:color w:val="auto"/>
                <w:w w:val="88"/>
              </w:rPr>
              <w:t>), GAS-seven Ltd.</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0"/>
              </w:rPr>
              <w:t>$891.7 million,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w w:val="89"/>
              </w:rPr>
              <w:t>(</w:t>
            </w:r>
            <w:r>
              <w:rPr>
                <w:rFonts w:ascii="Arial" w:cs="Arial" w:eastAsia="Arial" w:hAnsi="Arial"/>
                <w:sz w:val="14"/>
                <w:szCs w:val="14"/>
                <w:i w:val="1"/>
                <w:iCs w:val="1"/>
                <w:color w:val="auto"/>
                <w:w w:val="89"/>
              </w:rPr>
              <w:t>GasLog Seattle</w:t>
            </w:r>
            <w:r>
              <w:rPr>
                <w:rFonts w:ascii="Arial" w:cs="Arial" w:eastAsia="Arial" w:hAnsi="Arial"/>
                <w:sz w:val="14"/>
                <w:szCs w:val="14"/>
                <w:color w:val="auto"/>
                <w:w w:val="89"/>
              </w:rPr>
              <w:t xml:space="preserve">), GAS-eight Ltd. </w:t>
            </w:r>
            <w:r>
              <w:rPr>
                <w:rFonts w:ascii="Arial" w:cs="Arial" w:eastAsia="Arial" w:hAnsi="Arial"/>
                <w:sz w:val="14"/>
                <w:szCs w:val="14"/>
                <w:i w:val="1"/>
                <w:iCs w:val="1"/>
                <w:color w:val="auto"/>
                <w:w w:val="89"/>
              </w:rPr>
              <w:t>(Solaris)</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Revolving</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w w:val="99"/>
              </w:rPr>
              <w:t>$29.2 million each</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w w:val="96"/>
              </w:rPr>
              <w:t>and GAS-nine Ltd. (</w:t>
            </w:r>
            <w:r>
              <w:rPr>
                <w:rFonts w:ascii="Arial" w:cs="Arial" w:eastAsia="Arial" w:hAnsi="Arial"/>
                <w:sz w:val="14"/>
                <w:szCs w:val="14"/>
                <w:i w:val="1"/>
                <w:iCs w:val="1"/>
                <w:color w:val="auto"/>
                <w:w w:val="96"/>
              </w:rPr>
              <w:t>GasLog Saratoga</w:t>
            </w:r>
            <w:r>
              <w:rPr>
                <w:rFonts w:ascii="Arial" w:cs="Arial" w:eastAsia="Arial" w:hAnsi="Arial"/>
                <w:sz w:val="14"/>
                <w:szCs w:val="14"/>
                <w:color w:val="auto"/>
                <w:w w:val="96"/>
              </w:rPr>
              <w:t>),</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facility:</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and a balloon</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GAS-ten Ltd. (</w:t>
            </w:r>
            <w:r>
              <w:rPr>
                <w:rFonts w:ascii="Arial" w:cs="Arial" w:eastAsia="Arial" w:hAnsi="Arial"/>
                <w:sz w:val="14"/>
                <w:szCs w:val="14"/>
                <w:i w:val="1"/>
                <w:iCs w:val="1"/>
                <w:color w:val="auto"/>
              </w:rPr>
              <w:t>GasLog Salem</w:t>
            </w:r>
            <w:r>
              <w:rPr>
                <w:rFonts w:ascii="Arial" w:cs="Arial" w:eastAsia="Arial" w:hAnsi="Arial"/>
                <w:sz w:val="14"/>
                <w:szCs w:val="14"/>
                <w:color w:val="auto"/>
              </w:rPr>
              <w:t>), GAS-</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 million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repayment of</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fifteen Ltd. (</w:t>
            </w:r>
            <w:r>
              <w:rPr>
                <w:rFonts w:ascii="Arial" w:cs="Arial" w:eastAsia="Arial" w:hAnsi="Arial"/>
                <w:sz w:val="14"/>
                <w:szCs w:val="14"/>
                <w:i w:val="1"/>
                <w:iCs w:val="1"/>
                <w:color w:val="auto"/>
              </w:rPr>
              <w:t>GasLog Chelsea</w:t>
            </w: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$687.5 million in</w:t>
            </w:r>
          </w:p>
        </w:tc>
      </w:tr>
      <w:tr>
        <w:trPr>
          <w:trHeight w:val="161"/>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July 2021.</w:t>
            </w:r>
          </w:p>
        </w:tc>
      </w:tr>
    </w:tbl>
    <w:p>
      <w:pPr>
        <w:ind w:left="6440"/>
        <w:spacing w:after="0" w:line="221" w:lineRule="auto"/>
        <w:rPr>
          <w:sz w:val="20"/>
          <w:szCs w:val="20"/>
          <w:color w:val="auto"/>
        </w:rPr>
      </w:pPr>
      <w:r>
        <w:rPr>
          <w:rFonts w:ascii="Arial" w:cs="Arial" w:eastAsia="Arial" w:hAnsi="Arial"/>
          <w:sz w:val="14"/>
          <w:szCs w:val="14"/>
          <w:color w:val="auto"/>
        </w:rPr>
        <w:t>Revolving facility:</w:t>
      </w:r>
    </w:p>
    <w:p>
      <w:pPr>
        <w:ind w:left="6440"/>
        <w:spacing w:after="0" w:line="221" w:lineRule="auto"/>
        <w:rPr>
          <w:sz w:val="20"/>
          <w:szCs w:val="20"/>
          <w:color w:val="auto"/>
        </w:rPr>
      </w:pPr>
      <w:r>
        <w:rPr>
          <w:rFonts w:ascii="Arial" w:cs="Arial" w:eastAsia="Arial" w:hAnsi="Arial"/>
          <w:sz w:val="14"/>
          <w:szCs w:val="14"/>
          <w:color w:val="auto"/>
        </w:rPr>
        <w:t>Available for</w:t>
      </w:r>
    </w:p>
    <w:p>
      <w:pPr>
        <w:ind w:left="6440"/>
        <w:spacing w:after="0" w:line="222" w:lineRule="auto"/>
        <w:rPr>
          <w:sz w:val="20"/>
          <w:szCs w:val="20"/>
          <w:color w:val="auto"/>
        </w:rPr>
      </w:pPr>
      <w:r>
        <w:rPr>
          <w:rFonts w:ascii="Arial" w:cs="Arial" w:eastAsia="Arial" w:hAnsi="Arial"/>
          <w:sz w:val="14"/>
          <w:szCs w:val="14"/>
          <w:color w:val="auto"/>
        </w:rPr>
        <w:t>drawing and</w:t>
      </w:r>
    </w:p>
    <w:p>
      <w:pPr>
        <w:ind w:left="6440"/>
        <w:spacing w:after="0" w:line="221" w:lineRule="auto"/>
        <w:rPr>
          <w:sz w:val="20"/>
          <w:szCs w:val="20"/>
          <w:color w:val="auto"/>
        </w:rPr>
      </w:pPr>
      <w:r>
        <w:rPr>
          <w:rFonts w:ascii="Arial" w:cs="Arial" w:eastAsia="Arial" w:hAnsi="Arial"/>
          <w:sz w:val="14"/>
          <w:szCs w:val="14"/>
          <w:color w:val="auto"/>
        </w:rPr>
        <w:t>repayment at any</w:t>
      </w:r>
    </w:p>
    <w:p>
      <w:pPr>
        <w:ind w:left="6440"/>
        <w:spacing w:after="0" w:line="222" w:lineRule="auto"/>
        <w:rPr>
          <w:sz w:val="20"/>
          <w:szCs w:val="20"/>
          <w:color w:val="auto"/>
        </w:rPr>
      </w:pPr>
      <w:r>
        <w:rPr>
          <w:rFonts w:ascii="Arial" w:cs="Arial" w:eastAsia="Arial" w:hAnsi="Arial"/>
          <w:sz w:val="14"/>
          <w:szCs w:val="14"/>
          <w:color w:val="auto"/>
        </w:rPr>
        <w:t>time until January</w:t>
      </w:r>
    </w:p>
    <w:p>
      <w:pPr>
        <w:ind w:left="6440"/>
        <w:spacing w:after="0"/>
        <w:rPr>
          <w:sz w:val="20"/>
          <w:szCs w:val="20"/>
          <w:color w:val="auto"/>
        </w:rPr>
      </w:pPr>
      <w:r>
        <w:rPr>
          <w:rFonts w:ascii="Arial" w:cs="Arial" w:eastAsia="Arial" w:hAnsi="Arial"/>
          <w:sz w:val="12"/>
          <w:szCs w:val="12"/>
          <w:color w:val="auto"/>
        </w:rPr>
        <w:t>2021 and July 2021,</w:t>
      </w:r>
    </w:p>
    <w:p>
      <w:pPr>
        <w:ind w:left="6440"/>
        <w:spacing w:after="0" w:line="237" w:lineRule="auto"/>
        <w:rPr>
          <w:sz w:val="20"/>
          <w:szCs w:val="20"/>
          <w:color w:val="auto"/>
        </w:rPr>
      </w:pPr>
      <w:r>
        <w:rPr>
          <w:rFonts w:ascii="Arial" w:cs="Arial" w:eastAsia="Arial" w:hAnsi="Arial"/>
          <w:sz w:val="14"/>
          <w:szCs w:val="14"/>
          <w:color w:val="auto"/>
        </w:rPr>
        <w:t>respectively. Total</w:t>
      </w:r>
    </w:p>
    <w:p>
      <w:pPr>
        <w:ind w:left="6440"/>
        <w:spacing w:after="0" w:line="221" w:lineRule="auto"/>
        <w:rPr>
          <w:sz w:val="20"/>
          <w:szCs w:val="20"/>
          <w:color w:val="auto"/>
        </w:rPr>
      </w:pPr>
      <w:r>
        <w:rPr>
          <w:rFonts w:ascii="Arial" w:cs="Arial" w:eastAsia="Arial" w:hAnsi="Arial"/>
          <w:sz w:val="14"/>
          <w:szCs w:val="14"/>
          <w:color w:val="auto"/>
        </w:rPr>
        <w:t>revolving facility</w:t>
      </w:r>
    </w:p>
    <w:p>
      <w:pPr>
        <w:ind w:left="6440"/>
        <w:spacing w:after="0" w:line="222" w:lineRule="auto"/>
        <w:rPr>
          <w:sz w:val="20"/>
          <w:szCs w:val="20"/>
          <w:color w:val="auto"/>
        </w:rPr>
      </w:pPr>
      <w:r>
        <w:rPr>
          <w:rFonts w:ascii="Arial" w:cs="Arial" w:eastAsia="Arial" w:hAnsi="Arial"/>
          <w:sz w:val="14"/>
          <w:szCs w:val="14"/>
          <w:color w:val="auto"/>
        </w:rPr>
        <w:t>amount of</w:t>
      </w:r>
    </w:p>
    <w:p>
      <w:pPr>
        <w:ind w:left="6440"/>
        <w:spacing w:after="0"/>
        <w:rPr>
          <w:sz w:val="20"/>
          <w:szCs w:val="20"/>
          <w:color w:val="auto"/>
        </w:rPr>
      </w:pPr>
      <w:r>
        <w:rPr>
          <w:rFonts w:ascii="Arial" w:cs="Arial" w:eastAsia="Arial" w:hAnsi="Arial"/>
          <w:sz w:val="14"/>
          <w:szCs w:val="14"/>
          <w:color w:val="auto"/>
        </w:rPr>
        <w:t>$100.0 million.</w:t>
      </w:r>
    </w:p>
    <w:p>
      <w:pPr>
        <w:spacing w:after="0" w:line="660" w:lineRule="exact"/>
        <w:rPr>
          <w:sz w:val="20"/>
          <w:szCs w:val="20"/>
          <w:color w:val="auto"/>
        </w:rPr>
      </w:pPr>
    </w:p>
    <w:p>
      <w:pPr>
        <w:sectPr>
          <w:pgSz w:w="11900" w:h="16838" w:orient="portrait"/>
          <w:cols w:equalWidth="0" w:num="2">
            <w:col w:w="3680" w:space="160"/>
            <w:col w:w="7580"/>
          </w:cols>
          <w:pgMar w:left="240" w:top="131" w:right="239" w:bottom="1440" w:gutter="0" w:footer="0" w:header="0"/>
        </w:sectPr>
      </w:pP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credit facilities are secured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 (and in addition second priority mortgages in the case of the Five Vessel Refinancing);</w:t>
      </w:r>
    </w:p>
    <w:p>
      <w:pPr>
        <w:spacing w:after="0" w:line="212" w:lineRule="exact"/>
        <w:rPr>
          <w:rFonts w:ascii="Arial" w:cs="Arial" w:eastAsia="Arial" w:hAnsi="Arial"/>
          <w:sz w:val="18"/>
          <w:szCs w:val="18"/>
          <w:color w:val="auto"/>
        </w:rPr>
      </w:pPr>
    </w:p>
    <w:p>
      <w:pPr>
        <w:ind w:left="1080" w:right="40" w:hanging="532"/>
        <w:spacing w:after="0" w:line="288"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guarantees from us and our subsidiary GasLog Carriers Ltd.; in the case of the GasLog Partners Credit Facility, guarantees from GasLog Partners and GasLog Partners Holdings LLC; in the case of the Five Vessel Refinancing, a guarantee from us, guarantees up to the value of the commitments relating to the </w:t>
      </w:r>
      <w:r>
        <w:rPr>
          <w:rFonts w:ascii="Arial" w:cs="Arial" w:eastAsia="Arial" w:hAnsi="Arial"/>
          <w:sz w:val="16"/>
          <w:szCs w:val="16"/>
          <w:i w:val="1"/>
          <w:iCs w:val="1"/>
          <w:color w:val="auto"/>
        </w:rPr>
        <w:t>Methane Alison Victoria, Methane Shirley Elisabeth</w:t>
      </w:r>
      <w:r>
        <w:rPr>
          <w:rFonts w:ascii="Arial" w:cs="Arial" w:eastAsia="Arial" w:hAnsi="Arial"/>
          <w:sz w:val="16"/>
          <w:szCs w:val="16"/>
          <w:color w:val="auto"/>
        </w:rPr>
        <w:t xml:space="preserve"> and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from the Partnership and GasLog Partners Holdings LLC and a guarantee from GasLog Carriers Ltd. for up to the value of the commitments on the remaining vessels; in the case of the Legacy Facility Refinancing, a guarantee from us guarantees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from the Partnership and GasLog Partners Holdings LLC and a guarantee from GasLog Carriers Ltd. for up to the value of the commitments on the remaining vessels; in the case of the October 2015 Facility, a guarantee from us, guarantees up to the value of the commitments relating to the </w:t>
      </w:r>
      <w:r>
        <w:rPr>
          <w:rFonts w:ascii="Arial" w:cs="Arial" w:eastAsia="Arial" w:hAnsi="Arial"/>
          <w:sz w:val="16"/>
          <w:szCs w:val="16"/>
          <w:i w:val="1"/>
          <w:iCs w:val="1"/>
          <w:color w:val="auto"/>
        </w:rPr>
        <w:t xml:space="preserve">GasLog Greece </w:t>
      </w:r>
      <w:r>
        <w:rPr>
          <w:rFonts w:ascii="Arial" w:cs="Arial" w:eastAsia="Arial" w:hAnsi="Arial"/>
          <w:sz w:val="16"/>
          <w:szCs w:val="16"/>
          <w:color w:val="auto"/>
        </w:rPr>
        <w:t>and</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from the Partnership and GasLog Partners Holdings LLC and a guarantee from GasLog Carriers Ltd. for up</w:t>
      </w:r>
      <w:r>
        <w:rPr>
          <w:rFonts w:ascii="Arial" w:cs="Arial" w:eastAsia="Arial" w:hAnsi="Arial"/>
          <w:sz w:val="16"/>
          <w:szCs w:val="16"/>
          <w:i w:val="1"/>
          <w:iCs w:val="1"/>
          <w:color w:val="auto"/>
        </w:rPr>
        <w:t xml:space="preserve"> </w:t>
      </w:r>
      <w:r>
        <w:rPr>
          <w:rFonts w:ascii="Arial" w:cs="Arial" w:eastAsia="Arial" w:hAnsi="Arial"/>
          <w:sz w:val="16"/>
          <w:szCs w:val="16"/>
          <w:color w:val="auto"/>
        </w:rPr>
        <w:t>to the value of the commitments on the remaining vessels;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certain of our facilities, a pledge or a negative pledge of the share capital of the respective borrower;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certain of our facilities, a first assignment of all earnings and insurances related to the ship owned by the respective borrower.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is not subject to seasonal borrowing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Our credit facilities impose certain operating and financial restrictions on us. These restrictions generally limit our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terminate or amend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Our credit facilities (with the exception of the GasLog Partners Credit Facility) also impose specified financial covenants that apply to us and our subsidiaries on a consolidated basis. These financial covenants include the following:</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total indebtedness divided by our total assets must not exceed 75.0%;</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our total indebtedness and $50.0 million after the first drawdown;</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are permitted to pay dividends, provided that we hold unencumbered cash and cash equivalents equal to at least 4.0% of our total indebtedness, subject to no event of default having occurred or occurring as a consequence of the payment of such dividends;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market value adjusted net worth must at all times be not less than $350.0 million.</w:t>
      </w:r>
    </w:p>
    <w:p>
      <w:pPr>
        <w:spacing w:after="0" w:line="225"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94"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Our credit facilities contain customary events of default, including non-payment of principal or interest, breach of covenants or material inaccuracy of representations, default under other material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applicable facility (in the case of each individual vessel in the October 2015 Facility, 115.0% for the first two years after each drawdown and 120.0% at any time thereafter).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74"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and we were in compliance with the respective financial covenants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Partners Credit Facility and the Five Vessel Refinancing</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GasLog Partners Credit Facility and the Five Vessel Refinancing are subject to specified financial covenants that apply to us and GasLog Partners on a consolidated basis. These financial covenants include the following:</w:t>
      </w:r>
    </w:p>
    <w:p>
      <w:pPr>
        <w:spacing w:after="0" w:line="199" w:lineRule="exact"/>
        <w:rPr>
          <w:sz w:val="20"/>
          <w:szCs w:val="20"/>
          <w:color w:val="auto"/>
        </w:rPr>
      </w:pPr>
    </w:p>
    <w:p>
      <w:pPr>
        <w:ind w:left="1080" w:right="9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$15.0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 and</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GasLog Partners Credit Facility and the Five Vessel Refinancing contain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In addition, the GasLog Partners Credit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applicable facility (in the case of the Five Vessel Refinancing, 115.0% until the maturity of the junior tranche and 120.0% at any time thereafter).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74"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GasLog Partners Credit Facility and the Five Vessel Refinancing also impose certain restrictions relating to the Partnership, including restrictions that limit its ability to make any substantial change in the nature of its business or to the corporate structure without approval from the lenders.</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GasLog Partners was in compliance with the respective financial covenants as of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June 27, 2013, we issued NOK 500 million (or $83.2 million based on the exchange rate on June 27, 2013) of bonds under the bond agreement signed on June 25, 2013 between GasLog and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Bond trustee, as amended, that were due to mature on June 27, 2018 (the "NOK 2018 Bonds"). On May 2, 2014, we closed a follow-on issue of NOK</w:t>
      </w:r>
    </w:p>
    <w:p>
      <w:pPr>
        <w:spacing w:after="0" w:line="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500.0 million (or $83.6 million based on the exchange rate on closing date) of the NOK 2018 Bonds at a premium of $4.2 million (based on the exchange rate on closing date). On June 27, 2016, we repurchased and cancelled NOK 588.0 million (or $70.7 million) of the outstanding NOK 2018 Bonds at a price of 103% of par value. On June 27, 2017, we repurchased and cancelled the outstanding NOK 2018 Bonds, at a price of 103.0% of par value for total consideration of NOK 424.4 million ($70.8 million at the swapped rate under the associated CCS).</w:t>
      </w:r>
    </w:p>
    <w:p>
      <w:pPr>
        <w:spacing w:after="0" w:line="198"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On June 27, 2016, GasLog completed the issuance of NOK 750 million (equivalent to $90.2 million) of NOK 2021 Bonds in the Norwegian bond market. The NOK 2021 Bonds will mature in May 2021 and bear interest at NIBOR plus margin. Interest payments shall be made in arrears on a quarterly basis. The carrying amount of the NOK 2021 Bonds, net of unamortized financing costs, as of December 31, 2017 was $89.7 million. We may redeem the aforementioned bonds in whole or in part as follows: (a) with settlement date at any time from June 27, 2019 to but not including June 27, 2020 at 104.0% of par plus accrued interests on redeemed amount, (b) with settlement date at any time from June 27, 2020 to but not including December 27, 2020 at 102.5% of par plus accrued interests on redeemed amount, and (c) with settlement date at any time from December 27, 2020 to but not including the maturity date at 101.0% of par plus accrued interests on redeemed amount.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NOK 2021 Bonds we are required to comply with the financial covenants listed below:</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not be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terms of the NOK 2021 Bonds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not be less than the higher of 3.0% of total indebtedness and $50.0 million after the first drawdown;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 million.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we are not permitted to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50% of the Group's consolidated net profit after taxes based on the audited annual accounts for the previous financial year (any unutilized portion of the permitted Distributions pursuant to the above may not be carried forward). For the purposes of the above, the consolidated net profit after taxes of the Group shall not include any profits related to the sale of assets (and consequently any such profits shall not form the basis for Distributions). Under the terms of the NOK 2021 Bonds, GasLog is permitted to make Distributions up to a maximum amount per share per annum for the years 2017, 2018, 2019, 2020 and 2021 of $1.10/share, $1.10/share, $1.20/share, $1.20/share and $1.20/share, respectively, provided that GasLog can demonstrate, by delivering a compliance certificate to the bond trustee, that no event of default is continuing or would result from such Distributions.</w:t>
      </w:r>
    </w:p>
    <w:p>
      <w:pPr>
        <w:spacing w:after="0" w:line="17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March 22, 2017, GasLog closed a public offering of $250.0 million aggregate principal amount of the 8.875% Senior Notes at a public offering price of 100% of the principal amount. The net proceeds from the offering after deducting the underwriting discount and offering expenses were $245.3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Interest payment shall be made in arrears on a quarterly basis. GasLog may redeem the 8.875% Senior Notes, in whole or in part, at any time and from time to time at a redemption price equal to the greater of (a) 100% of the principal amount of such notes plus accrued and unpaid interest to the date of redemption and</w:t>
      </w:r>
    </w:p>
    <w:p>
      <w:pPr>
        <w:ind w:right="320" w:firstLine="8"/>
        <w:spacing w:after="0" w:line="255"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at the adjusted treasury rate, plus 50 basis points, plus accrued and unpaid interest thereon to the date of redemption.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as issuer of the 8.875% Senior Notes is required to comply with financial covenants which include the following:</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Compliance with covenants under the NOK 2021 Bonds and the 8.875% Senior Notes is required at all times and we were in compliance with the respective financial covenants as of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about our exposure to market risks, see "Item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make capital expenditures from time to time in connection with the expansion and operation of our owned fleet. In 2010 we took delivery of two LNG carriers, in 2013 we took delivery of six LNG carriers and acquired a secondhand vessel, in 2014 we took delivery of two LNG carriers and acquired six secondhand vessels, in 2015 we acquired two secondhand vessels and took delivery of one LNG carrier and in 2016 we took delivery of four LNG carriers. During the years ended December 31, 2017, 2016, 2015 and 2014, we funded $0.1 billion, $0.8 billion, $0.7 billion and $1.4 billion, respectively, of acquisition, construction and delivery costs, including installment payments on newbuildings, with funds borrowed under credit facilities and the bonds, capital contributions from our pre-IPO shareholders, proceeds from our IPO and the GasLog Partners' IPO and proceeds from follow-on equity offerings and private placements.</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 xml:space="preserve">As of December 31, 2017, our commitments for capital expenditures related primarily to four contracted LNG carriers on order and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delivered in January 2018 (and not including the contract price of the shipbuilding contract for Hull No. 2213 signed in 2018) were approximately $882.6 million. Amounts are payable under each shipbuilding contract in installments upon the attainment of certain specified milestones in each ship's construction, with the largest portion of the purchase price for each ship coming due upon its delivery.</w:t>
      </w:r>
    </w:p>
    <w:p>
      <w:pPr>
        <w:spacing w:after="0" w:line="197"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intend to fund the majority of these commitments from borrowings under the October 2015 Facility which has an aggregate undrawn amount of $664.0 million, available cash and cash from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To the extent that we are unable to draw down the amounts committed under our credit facilities,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to our shareholders, and materially adversely affect our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all our principal accounting policies, see Note 2 to our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Non-Controlling Interests</w:t>
      </w:r>
    </w:p>
    <w:p>
      <w:pPr>
        <w:spacing w:after="0" w:line="225"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The non-controlling interests in the Partnership comprise the portion of the Partnership's common units that are not directly or indirectly held by GasLog (31,017,405 units as of December 31, 2017). Under the terms of the Partnership Agreement, the Partnership is required to distribute 100.0%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59"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In reaching a judgment as to whether the non-controlling interests in the Partnership should be classified as liabilities or equity interests, management has considered the wide discretion of the Partnership's board of directors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Lives and Residual Value</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Vessels are stated at cost, less accumulated depreciation. The estimates and assumptions that have the most significant effect on the vessel carrying amount relate to the estimation of the useful life of an LNG vessel of 35 years and the residual value. An increase in the estimated useful life of a vessel or in its residual value would have the effect of decreasing the annual depreciation charge and an increase in the estimated useful life of a vessel would also extend the annual depreciation charge into later periods. A decrease in the useful life of a vessel or its residual value would have the effect of increasing the annual depreciation charge.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Management estimated residual value of its vessels to be equal to the product of its LWT and an estimated scrap rate per LWT. Effective December 31, 2017, following management's annual reassessment, the estimated scrap rate per LWT was decreased. This change in estimate is expected to increase the future annual depreciation expense by $0.9 million. The estimated residual value of our ships may not represent the fair market value at any one time partly because market prices of scrap values tend to fluctuate. We might revise our estimate of the residual values of our ships in the future in response to changing market conditions.</w:t>
      </w:r>
    </w:p>
    <w:p>
      <w:pPr>
        <w:spacing w:after="0" w:line="15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regulations place significant limitations on the ability of a vessel to trade on a worldwide basis, the vessel's useful life will be adjusted to end at the date such regulations become effective.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 All of these items have been historically volatile. In assessing the fair value less cost to sell of the vessel, we obtain vessel valuations from independent and internationally recognized ship brokers on a bi-annual basis or when there is an indication that an asset or assets may be impaired. If an indication of impairment is identified, the need for recognizing an impairment loss is assessed by comparing the carrying amount of the vessels to the higher of the fair value less cost to sell and the value in use.</w:t>
      </w:r>
    </w:p>
    <w:p>
      <w:pPr>
        <w:spacing w:after="0" w:line="172"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Our estimates of basic market value assume that the vessels are all in seaworthy condition without a need for repair and, if inspected, would be certified in class without notations of any kind. Our estimates are based on approximate market values for the vessels that have been received from shipbrokers, which are also commonly used and accepted by our lenders for determining compliance with the relevant covenants in our credit facilities. Vessel values can be highly volatile, so that the estimates may not be indicative of the current or future basic market value of our vessels or prices that could be achieved if we were to sell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sets forth in U.S. dollars (i) the historical acquisition cost of our vessels and (ii) the carrying value of each of our vessels as of December 31, 2016 and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 and Vessel Held under Finance Lease</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4"/>
              </w:rPr>
              <w:t>Carrying values</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3"/>
              </w:rPr>
              <w:t>Cargo capacity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6"/>
              </w:rPr>
              <w:t>Acquisition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6"/>
              </w:rPr>
              <w:t>(in thousands of U.S. dollars)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40" w:type="dxa"/>
            <w:vAlign w:val="bottom"/>
            <w:gridSpan w:val="4"/>
          </w:tcPr>
          <w:p>
            <w:pPr>
              <w:spacing w:after="0"/>
              <w:rPr>
                <w:sz w:val="20"/>
                <w:szCs w:val="20"/>
                <w:color w:val="auto"/>
              </w:rPr>
            </w:pPr>
            <w:r>
              <w:rPr>
                <w:rFonts w:ascii="Arial" w:cs="Arial" w:eastAsia="Arial" w:hAnsi="Arial"/>
                <w:sz w:val="14"/>
                <w:szCs w:val="14"/>
                <w:b w:val="1"/>
                <w:bCs w:val="1"/>
                <w:color w:val="auto"/>
              </w:rPr>
              <w:t>Vessel</w:t>
            </w:r>
          </w:p>
        </w:tc>
        <w:tc>
          <w:tcPr>
            <w:tcW w:w="24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Arial" w:cs="Arial" w:eastAsia="Arial" w:hAnsi="Arial"/>
                <w:sz w:val="14"/>
                <w:szCs w:val="14"/>
                <w:b w:val="1"/>
                <w:bCs w:val="1"/>
                <w:color w:val="auto"/>
                <w:w w:val="99"/>
              </w:rPr>
              <w:t>Acquisition Date</w:t>
            </w:r>
          </w:p>
        </w:tc>
        <w:tc>
          <w:tcPr>
            <w:tcW w:w="16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(cbm)</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4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i w:val="1"/>
                <w:iCs w:val="1"/>
                <w:color w:val="auto"/>
              </w:rPr>
              <w:t>GasLog Savannah</w:t>
            </w:r>
            <w:r>
              <w:rPr>
                <w:rFonts w:ascii="Arial" w:cs="Arial" w:eastAsia="Arial" w:hAnsi="Arial"/>
                <w:sz w:val="28"/>
                <w:szCs w:val="28"/>
                <w:color w:val="auto"/>
                <w:vertAlign w:val="superscript"/>
              </w:rPr>
              <w:t>(5)</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2010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229,795</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190,247</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Singapore</w:t>
            </w:r>
            <w:r>
              <w:rPr>
                <w:rFonts w:ascii="Arial" w:cs="Arial" w:eastAsia="Arial" w:hAnsi="Arial"/>
                <w:sz w:val="29"/>
                <w:szCs w:val="29"/>
                <w:color w:val="auto"/>
                <w:vertAlign w:val="superscript"/>
              </w:rPr>
              <w:t>(5)</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July 2010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227,252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189,090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182,524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January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i w:val="1"/>
                <w:iCs w:val="1"/>
                <w:color w:val="auto"/>
              </w:rPr>
              <w:t>GasLog Santiago</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March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189,111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165,362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i w:val="1"/>
                <w:iCs w:val="1"/>
                <w:color w:val="auto"/>
              </w:rPr>
              <w:t>GasLog Skagen</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July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195,338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176,404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Chelsea</w:t>
            </w:r>
            <w:r>
              <w:rPr>
                <w:rFonts w:ascii="Arial" w:cs="Arial" w:eastAsia="Arial" w:hAnsi="Arial"/>
                <w:sz w:val="29"/>
                <w:szCs w:val="29"/>
                <w:color w:val="auto"/>
                <w:vertAlign w:val="superscript"/>
              </w:rPr>
              <w:t>(2)</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October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148,999</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i w:val="1"/>
                <w:iCs w:val="1"/>
                <w:color w:val="auto"/>
              </w:rPr>
              <w:t>GasLog Seattle</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w w:val="96"/>
              </w:rPr>
              <w:t>December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183,807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178,064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color w:val="auto"/>
                <w:vertAlign w:val="superscript"/>
              </w:rPr>
              <w:t>(3)(5)</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w w:val="99"/>
              </w:rPr>
              <w:t>Methane Jane Elizabeth</w:t>
            </w:r>
            <w:r>
              <w:rPr>
                <w:rFonts w:ascii="Arial" w:cs="Arial" w:eastAsia="Arial" w:hAnsi="Arial"/>
                <w:sz w:val="29"/>
                <w:szCs w:val="29"/>
                <w:color w:val="auto"/>
                <w:w w:val="99"/>
                <w:vertAlign w:val="superscript"/>
              </w:rPr>
              <w:t>(3)(5)</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April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143,356</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137,733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29"/>
                <w:szCs w:val="29"/>
                <w:color w:val="auto"/>
                <w:vertAlign w:val="superscript"/>
              </w:rPr>
              <w:t>(3)(5)</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143,566</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137,958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color w:val="auto"/>
                <w:vertAlign w:val="superscript"/>
              </w:rPr>
              <w:t>(4)(5)</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144,557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139,128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w w:val="93"/>
              </w:rPr>
              <w:t>Methane Shirley Elisabeth</w:t>
            </w:r>
            <w:r>
              <w:rPr>
                <w:rFonts w:ascii="Arial" w:cs="Arial" w:eastAsia="Arial" w:hAnsi="Arial"/>
                <w:sz w:val="29"/>
                <w:szCs w:val="29"/>
                <w:color w:val="auto"/>
                <w:w w:val="93"/>
                <w:vertAlign w:val="superscript"/>
              </w:rPr>
              <w:t>(4)(5)</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color w:val="auto"/>
                <w:vertAlign w:val="superscript"/>
              </w:rPr>
              <w:t>(4)(5)</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144,981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139,499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i w:val="1"/>
                <w:iCs w:val="1"/>
                <w:color w:val="auto"/>
              </w:rPr>
              <w:t>GasLog Saratoga</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w w:val="96"/>
              </w:rPr>
              <w:t>December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204,146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192,671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(2)(5)</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222,004</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Becki Anne</w:t>
            </w:r>
            <w:r>
              <w:rPr>
                <w:rFonts w:ascii="Arial" w:cs="Arial" w:eastAsia="Arial" w:hAnsi="Arial"/>
                <w:sz w:val="29"/>
                <w:szCs w:val="29"/>
                <w:color w:val="auto"/>
                <w:vertAlign w:val="superscript"/>
              </w:rPr>
              <w:t>(2)(5)</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March 2015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232,334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221,457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213,915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Salem</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i w:val="1"/>
                <w:iCs w:val="1"/>
                <w:color w:val="auto"/>
              </w:rPr>
              <w:t>GasLog Greece</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March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208,971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i w:val="1"/>
                <w:iCs w:val="1"/>
                <w:color w:val="auto"/>
              </w:rPr>
              <w:t>GasLog Geneva</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w w:val="93"/>
              </w:rPr>
              <w:t>September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203,867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202,394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196,204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GasLog Gibraltar</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October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202,762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4,429,624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4,099,893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3,971,380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88" w:lineRule="auto"/>
        <w:tabs>
          <w:tab w:leader="none" w:pos="1680" w:val="left"/>
        </w:tabs>
        <w:numPr>
          <w:ilvl w:val="0"/>
          <w:numId w:val="55"/>
        </w:numPr>
        <w:rPr>
          <w:rFonts w:ascii="Arial" w:cs="Arial" w:eastAsia="Arial" w:hAnsi="Arial"/>
          <w:sz w:val="10"/>
          <w:szCs w:val="10"/>
          <w:color w:val="auto"/>
        </w:rPr>
      </w:pPr>
      <w:r>
        <w:rPr>
          <w:rFonts w:ascii="Arial" w:cs="Arial" w:eastAsia="Arial" w:hAnsi="Arial"/>
          <w:sz w:val="12"/>
          <w:szCs w:val="12"/>
          <w:color w:val="auto"/>
        </w:rPr>
        <w:t xml:space="preserve">Our vessels and the vessel held under finance lease are stated at carrying values (see Note 6 to our consolidated financial statements included elsewhere in this annual report). For the years ended December 31, 2016 and December 31, 2017 the value in use of the ten vessels described below (including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which is held under finance lease) was higher than the carrying amount of these vessels and, consequently, no impairment loss was recognized.</w:t>
      </w:r>
    </w:p>
    <w:p>
      <w:pPr>
        <w:spacing w:after="0" w:line="83" w:lineRule="exact"/>
        <w:rPr>
          <w:rFonts w:ascii="Arial" w:cs="Arial" w:eastAsia="Arial" w:hAnsi="Arial"/>
          <w:sz w:val="10"/>
          <w:szCs w:val="10"/>
          <w:color w:val="auto"/>
        </w:rPr>
      </w:pPr>
    </w:p>
    <w:p>
      <w:pPr>
        <w:ind w:left="1680" w:hanging="531"/>
        <w:spacing w:after="0"/>
        <w:tabs>
          <w:tab w:leader="none" w:pos="1680" w:val="left"/>
        </w:tabs>
        <w:numPr>
          <w:ilvl w:val="0"/>
          <w:numId w:val="55"/>
        </w:numPr>
        <w:rPr>
          <w:rFonts w:ascii="Arial" w:cs="Arial" w:eastAsia="Arial" w:hAnsi="Arial"/>
          <w:sz w:val="11"/>
          <w:szCs w:val="11"/>
          <w:color w:val="auto"/>
        </w:rPr>
      </w:pPr>
      <w:r>
        <w:rPr>
          <w:rFonts w:ascii="Arial" w:cs="Arial" w:eastAsia="Arial" w:hAnsi="Arial"/>
          <w:sz w:val="14"/>
          <w:szCs w:val="14"/>
          <w:color w:val="auto"/>
        </w:rPr>
        <w:t>The vessel was built in 2010.</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5"/>
        </w:numPr>
        <w:rPr>
          <w:rFonts w:ascii="Arial" w:cs="Arial" w:eastAsia="Arial" w:hAnsi="Arial"/>
          <w:sz w:val="11"/>
          <w:szCs w:val="11"/>
          <w:color w:val="auto"/>
        </w:rPr>
      </w:pPr>
      <w:r>
        <w:rPr>
          <w:rFonts w:ascii="Arial" w:cs="Arial" w:eastAsia="Arial" w:hAnsi="Arial"/>
          <w:sz w:val="14"/>
          <w:szCs w:val="14"/>
          <w:color w:val="auto"/>
        </w:rPr>
        <w:t>The vessels were built in 2006.</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5"/>
        </w:numPr>
        <w:rPr>
          <w:rFonts w:ascii="Arial" w:cs="Arial" w:eastAsia="Arial" w:hAnsi="Arial"/>
          <w:sz w:val="11"/>
          <w:szCs w:val="11"/>
          <w:color w:val="auto"/>
        </w:rPr>
      </w:pPr>
      <w:r>
        <w:rPr>
          <w:rFonts w:ascii="Arial" w:cs="Arial" w:eastAsia="Arial" w:hAnsi="Arial"/>
          <w:sz w:val="14"/>
          <w:szCs w:val="14"/>
          <w:color w:val="auto"/>
        </w:rPr>
        <w:t>The vessels were built in 2007.</w:t>
      </w:r>
    </w:p>
    <w:p>
      <w:pPr>
        <w:spacing w:after="0" w:line="122" w:lineRule="exact"/>
        <w:rPr>
          <w:rFonts w:ascii="Arial" w:cs="Arial" w:eastAsia="Arial" w:hAnsi="Arial"/>
          <w:sz w:val="11"/>
          <w:szCs w:val="11"/>
          <w:color w:val="auto"/>
        </w:rPr>
      </w:pPr>
    </w:p>
    <w:p>
      <w:pPr>
        <w:ind w:left="1680" w:right="120" w:hanging="531"/>
        <w:spacing w:after="0" w:line="288" w:lineRule="auto"/>
        <w:tabs>
          <w:tab w:leader="none" w:pos="1680" w:val="left"/>
        </w:tabs>
        <w:numPr>
          <w:ilvl w:val="0"/>
          <w:numId w:val="55"/>
        </w:numPr>
        <w:rPr>
          <w:rFonts w:ascii="Arial" w:cs="Arial" w:eastAsia="Arial" w:hAnsi="Arial"/>
          <w:sz w:val="10"/>
          <w:szCs w:val="10"/>
          <w:color w:val="auto"/>
        </w:rPr>
      </w:pPr>
      <w:r>
        <w:rPr>
          <w:rFonts w:ascii="Arial" w:cs="Arial" w:eastAsia="Arial" w:hAnsi="Arial"/>
          <w:sz w:val="12"/>
          <w:szCs w:val="12"/>
          <w:color w:val="auto"/>
        </w:rPr>
        <w:t>Indicates vessels for which we believe, as of December 31, 2017, the charter-free market value is lower than the vessel's carrying value. We believe that the aggregate carrying value of these vessels exceeds their aggregate basic charter-free market value by $356.4 million as of December 31, 2017. However, as described below, the value in use for each of the ten vessels was higher than the carrying amount of these vessels and, consequently, no impairment loss was recognized.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Except where indicated, the market value of each vessel individually, and all vessels in the aggregate, exceeds the carrying value of that vessel, and all vessels in the aggregate, as of December 31, 2016 and December 31, 2017.</w:t>
      </w:r>
    </w:p>
    <w:p>
      <w:pPr>
        <w:spacing w:after="0" w:line="186" w:lineRule="exact"/>
        <w:rPr>
          <w:sz w:val="20"/>
          <w:szCs w:val="20"/>
          <w:color w:val="auto"/>
        </w:rPr>
      </w:pPr>
    </w:p>
    <w:p>
      <w:pPr>
        <w:ind w:right="20" w:firstLine="341"/>
        <w:spacing w:after="0" w:line="285" w:lineRule="auto"/>
        <w:rPr>
          <w:sz w:val="20"/>
          <w:szCs w:val="20"/>
          <w:color w:val="auto"/>
        </w:rPr>
      </w:pPr>
      <w:r>
        <w:rPr>
          <w:rFonts w:ascii="Arial" w:cs="Arial" w:eastAsia="Arial" w:hAnsi="Arial"/>
          <w:sz w:val="16"/>
          <w:szCs w:val="16"/>
          <w:color w:val="auto"/>
        </w:rPr>
        <w:t>As of December 31, 2017, for the ten vessels with carrying amounts higher than the estimated charter-free market value, we concluded that events and circumstances triggered the existence of potential impairment of these vessels. As a result, the Group performed the impairment assessment of the Group's vessels by comparing the discounted projected net operating cash flows for these vessels to their carrying value. The significant factors and assumptions the Group used in its discounted projected net operating cash flow analysis included, among others, operating revenues, off-hire revenues, dry-docking costs, operating expenses, management fees and the discount rate. Revenue assumptions were based on contracted time charter rates up to the end of life of the current contract of each vessel as well as the estimated average time charter rates for the remaining life of the vessel after the completion of its current contract. The estimated daily time charter rates used for non-contracted revenue days are based on a combination of (i) recent charter market rates, (ii) conditions existing in the LNG market as of December 31, 2017, (iii) historical average time charter rates based on publications by independent third party maritime research services and (iv) estimated future time charter rates based on publications by independent third party maritime research services that provide such forecasts. Recognizing that the LNG industry is cyclical and subject to significant volatility based on factors beyond our control, management believes the use of revenue estimates, based on the combination of factors (i) to (iv) above, to be reasonable as of the reporting date. In addition, the Group used an annual operating expenses escalation factor and estimates of scheduled and unscheduled off-hire revenues based on historical experience. All estimates used and assumptions made were in accordance with the Group's internal budgets and historical experience of the shipping industry. The value in use for the ten vessels calculated as per above was higher than the carrying amount of these vessels and, consequently, no impairment loss was recognized.</w:t>
      </w:r>
    </w:p>
    <w:p>
      <w:pPr>
        <w:spacing w:after="0" w:line="18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impairment testing of our vessels as of December 31, 2017, for the ten vessels with carrying amounts higher than the estimated charter-free market value, we performed a sensitivity analysis on the projected charter hire rate used to forecast future cash flows for non-contracted days which is the most sensitive and/or subjective assumption that has the potential to affect the outcome of the impairment exercise. The following table summarizes the average results of the sensitivity analysis that we performed.</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jc w:val="center"/>
              <w:ind w:right="9"/>
              <w:spacing w:after="0"/>
              <w:rPr>
                <w:sz w:val="20"/>
                <w:szCs w:val="20"/>
                <w:color w:val="auto"/>
              </w:rPr>
            </w:pPr>
            <w:r>
              <w:rPr>
                <w:rFonts w:ascii="Arial" w:cs="Arial" w:eastAsia="Arial" w:hAnsi="Arial"/>
                <w:sz w:val="14"/>
                <w:szCs w:val="14"/>
                <w:b w:val="1"/>
                <w:bCs w:val="1"/>
                <w:color w:val="auto"/>
                <w:w w:val="82"/>
              </w:rPr>
              <w:t>Average break-</w:t>
            </w: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1400" w:type="dxa"/>
            <w:vAlign w:val="bottom"/>
            <w:gridSpan w:val="3"/>
          </w:tcPr>
          <w:p>
            <w:pPr>
              <w:ind w:left="400"/>
              <w:spacing w:after="0"/>
              <w:rPr>
                <w:sz w:val="20"/>
                <w:szCs w:val="20"/>
                <w:color w:val="auto"/>
              </w:rPr>
            </w:pPr>
            <w:r>
              <w:rPr>
                <w:rFonts w:ascii="Arial" w:cs="Arial" w:eastAsia="Arial" w:hAnsi="Arial"/>
                <w:sz w:val="14"/>
                <w:szCs w:val="14"/>
                <w:b w:val="1"/>
                <w:bCs w:val="1"/>
                <w:color w:val="auto"/>
                <w:w w:val="91"/>
              </w:rPr>
              <w:t>Average charter</w:t>
            </w:r>
          </w:p>
        </w:tc>
        <w:tc>
          <w:tcPr>
            <w:tcW w:w="1740" w:type="dxa"/>
            <w:vAlign w:val="bottom"/>
          </w:tcPr>
          <w:p>
            <w:pPr>
              <w:spacing w:after="0"/>
              <w:rPr>
                <w:sz w:val="14"/>
                <w:szCs w:val="14"/>
                <w:color w:val="auto"/>
              </w:rPr>
            </w:pPr>
          </w:p>
        </w:tc>
        <w:tc>
          <w:tcPr>
            <w:tcW w:w="920" w:type="dxa"/>
            <w:vAlign w:val="bottom"/>
          </w:tcPr>
          <w:p>
            <w:pPr>
              <w:jc w:val="center"/>
              <w:ind w:right="49"/>
              <w:spacing w:after="0"/>
              <w:rPr>
                <w:sz w:val="20"/>
                <w:szCs w:val="20"/>
                <w:color w:val="auto"/>
              </w:rPr>
            </w:pPr>
            <w:r>
              <w:rPr>
                <w:rFonts w:ascii="Arial" w:cs="Arial" w:eastAsia="Arial" w:hAnsi="Arial"/>
                <w:sz w:val="14"/>
                <w:szCs w:val="14"/>
                <w:b w:val="1"/>
                <w:bCs w:val="1"/>
                <w:color w:val="auto"/>
                <w:w w:val="86"/>
              </w:rPr>
              <w:t>even charter</w:t>
            </w:r>
          </w:p>
        </w:tc>
        <w:tc>
          <w:tcPr>
            <w:tcW w:w="1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Variance</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1400" w:type="dxa"/>
            <w:vAlign w:val="bottom"/>
            <w:gridSpan w:val="3"/>
          </w:tcPr>
          <w:p>
            <w:pPr>
              <w:ind w:left="400"/>
              <w:spacing w:after="0" w:line="176" w:lineRule="exact"/>
              <w:rPr>
                <w:sz w:val="20"/>
                <w:szCs w:val="20"/>
                <w:color w:val="auto"/>
              </w:rPr>
            </w:pPr>
            <w:r>
              <w:rPr>
                <w:rFonts w:ascii="Arial" w:cs="Arial" w:eastAsia="Arial" w:hAnsi="Arial"/>
                <w:sz w:val="13"/>
                <w:szCs w:val="13"/>
                <w:b w:val="1"/>
                <w:bCs w:val="1"/>
                <w:color w:val="auto"/>
                <w:w w:val="96"/>
              </w:rPr>
              <w:t>hire rate used</w:t>
            </w:r>
            <w:r>
              <w:rPr>
                <w:rFonts w:ascii="Arial" w:cs="Arial" w:eastAsia="Arial" w:hAnsi="Arial"/>
                <w:sz w:val="20"/>
                <w:szCs w:val="20"/>
                <w:b w:val="1"/>
                <w:bCs w:val="1"/>
                <w:color w:val="auto"/>
                <w:w w:val="96"/>
                <w:vertAlign w:val="superscript"/>
              </w:rPr>
              <w:t>(1)</w:t>
            </w:r>
          </w:p>
        </w:tc>
        <w:tc>
          <w:tcPr>
            <w:tcW w:w="1740" w:type="dxa"/>
            <w:vAlign w:val="bottom"/>
          </w:tcPr>
          <w:p>
            <w:pPr>
              <w:spacing w:after="0"/>
              <w:rPr>
                <w:sz w:val="15"/>
                <w:szCs w:val="15"/>
                <w:color w:val="auto"/>
              </w:rPr>
            </w:pPr>
          </w:p>
        </w:tc>
        <w:tc>
          <w:tcPr>
            <w:tcW w:w="920" w:type="dxa"/>
            <w:vAlign w:val="bottom"/>
          </w:tcPr>
          <w:p>
            <w:pPr>
              <w:jc w:val="center"/>
              <w:ind w:right="49"/>
              <w:spacing w:after="0" w:line="176" w:lineRule="exact"/>
              <w:rPr>
                <w:sz w:val="20"/>
                <w:szCs w:val="20"/>
                <w:color w:val="auto"/>
              </w:rPr>
            </w:pPr>
            <w:r>
              <w:rPr>
                <w:rFonts w:ascii="Arial" w:cs="Arial" w:eastAsia="Arial" w:hAnsi="Arial"/>
                <w:sz w:val="13"/>
                <w:szCs w:val="13"/>
                <w:b w:val="1"/>
                <w:bCs w:val="1"/>
                <w:color w:val="auto"/>
                <w:w w:val="94"/>
              </w:rPr>
              <w:t>hire rate</w:t>
            </w:r>
            <w:r>
              <w:rPr>
                <w:rFonts w:ascii="Arial" w:cs="Arial" w:eastAsia="Arial" w:hAnsi="Arial"/>
                <w:sz w:val="20"/>
                <w:szCs w:val="20"/>
                <w:b w:val="1"/>
                <w:bCs w:val="1"/>
                <w:color w:val="auto"/>
                <w:w w:val="94"/>
                <w:vertAlign w:val="superscript"/>
              </w:rPr>
              <w:t>(2)</w:t>
            </w:r>
          </w:p>
        </w:tc>
        <w:tc>
          <w:tcPr>
            <w:tcW w:w="16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(Amount)</w:t>
            </w:r>
          </w:p>
        </w:tc>
        <w:tc>
          <w:tcPr>
            <w:tcW w:w="16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Variance (%)</w:t>
            </w: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64,984</w:t>
            </w:r>
          </w:p>
        </w:tc>
        <w:tc>
          <w:tcPr>
            <w:tcW w:w="1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58,369</w:t>
            </w:r>
          </w:p>
        </w:tc>
        <w:tc>
          <w:tcPr>
            <w:tcW w:w="236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rPr>
              <w:t>$   6,615</w:t>
            </w:r>
          </w:p>
        </w:tc>
        <w:tc>
          <w:tcPr>
            <w:tcW w:w="2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92" w:lineRule="exact"/>
        <w:rPr>
          <w:sz w:val="20"/>
          <w:szCs w:val="20"/>
          <w:color w:val="auto"/>
        </w:rPr>
      </w:pPr>
    </w:p>
    <w:p>
      <w:pPr>
        <w:ind w:left="2220" w:right="560" w:hanging="531"/>
        <w:spacing w:after="0" w:line="239" w:lineRule="auto"/>
        <w:tabs>
          <w:tab w:leader="none" w:pos="2220" w:val="left"/>
        </w:tabs>
        <w:numPr>
          <w:ilvl w:val="0"/>
          <w:numId w:val="56"/>
        </w:numPr>
        <w:rPr>
          <w:rFonts w:ascii="Arial" w:cs="Arial" w:eastAsia="Arial" w:hAnsi="Arial"/>
          <w:sz w:val="11"/>
          <w:szCs w:val="11"/>
          <w:color w:val="auto"/>
        </w:rPr>
      </w:pPr>
      <w:r>
        <w:rPr>
          <w:rFonts w:ascii="Arial" w:cs="Arial" w:eastAsia="Arial" w:hAnsi="Arial"/>
          <w:sz w:val="14"/>
          <w:szCs w:val="14"/>
          <w:color w:val="auto"/>
        </w:rPr>
        <w:t>The average charter rate used in our impairment testing is the average charter rate based on which we estimated the revenues for the remaining useful life of the respective vessels.</w:t>
      </w:r>
    </w:p>
    <w:p>
      <w:pPr>
        <w:spacing w:after="0" w:line="111" w:lineRule="exact"/>
        <w:rPr>
          <w:rFonts w:ascii="Arial" w:cs="Arial" w:eastAsia="Arial" w:hAnsi="Arial"/>
          <w:sz w:val="11"/>
          <w:szCs w:val="11"/>
          <w:color w:val="auto"/>
        </w:rPr>
      </w:pPr>
    </w:p>
    <w:p>
      <w:pPr>
        <w:ind w:left="2220" w:right="60" w:hanging="531"/>
        <w:spacing w:after="0" w:line="239" w:lineRule="auto"/>
        <w:tabs>
          <w:tab w:leader="none" w:pos="2220" w:val="left"/>
        </w:tabs>
        <w:numPr>
          <w:ilvl w:val="0"/>
          <w:numId w:val="56"/>
        </w:numPr>
        <w:rPr>
          <w:rFonts w:ascii="Arial" w:cs="Arial" w:eastAsia="Arial" w:hAnsi="Arial"/>
          <w:sz w:val="11"/>
          <w:szCs w:val="11"/>
          <w:color w:val="auto"/>
        </w:rPr>
      </w:pPr>
      <w:r>
        <w:rPr>
          <w:rFonts w:ascii="Arial" w:cs="Arial" w:eastAsia="Arial" w:hAnsi="Arial"/>
          <w:sz w:val="14"/>
          <w:szCs w:val="14"/>
          <w:color w:val="auto"/>
        </w:rPr>
        <w:t>The average break-even charter hire rate is the average charter rate that, if used in the discounted projected net operating cash flows of the impairment testing, will result in discounted total cash flows being equal to the carrying value of the vessels.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Share-based compensation to executives and others providing similar services are measured at the fair value of the equity instruments on the grant date. Details regarding the determination of the fair value of share-based transactions are set out in Note 21 of the consolidated financial statements included elsewhere in this annual report.</w:t>
      </w:r>
    </w:p>
    <w:p>
      <w:pPr>
        <w:spacing w:after="0" w:line="19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over the vesting period, based on our estimate of equity instruments that will eventually vest,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with a corresponding increase in equity. At the end of each reporting period, we revise our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review goodwill for impairment at least annually. For the purpose of impairment testing, goodwill has been allocated to the cash-generating unit representing our management company, GasLog LNG Services, which was acquired by us in 2005.</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Determining whether goodwill has been impaired requires an estimation of the recoverable amount, which is the higher of fair value less costs to sell and value in use, of the cash-generating unit(s) to which goodwill has been allocated. The value in use calculation requires management to estimate the future cash flows expected to arise from the cash-generating unit(s) and a suitable discount rate in order to calculate present value. Details of the assumptions used in the impairment analysis are set out in Note 3 of the consolidated financial statements included elsewhere in this annual report. No impairment loss was recognized for any of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Financial Instruments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risk management policies permit the use of derivative financial instruments to manage interest rate risk and foreign exchange risk. Changes in fair value of derivative financial instruments that are not designated as cash flow hedges for accounting purposes are recognized in the consolidated statements of profit or loss.</w:t>
      </w:r>
    </w:p>
    <w:p>
      <w:pPr>
        <w:spacing w:after="0" w:line="194"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substantial majority of our derivative instruments activity relates to the use of interest rate swaps. The fair value of our interest rate swap agreements is the estimated amount that we would receive or pay to terminate the agreements at the reporting date, taking into account current interest rates and the current creditworthiness of both us and the swap counterparties. The estimated amount is the present value of estimated future cash flows, being equal to the difference between the benchmark interest rate and the fixed rate in the interest rate swap agreement, multiplied by the notional principal amount of the interest rate swap agreement at each interest reset date.</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fair value of our interest rate and currency swap agreements at the end of each period are most significantly affected by the interest rate implied by market-observable data such as LIBOR yield curve, and forward foreign exchange rates. While the fair value of our interest and currency swap agreements are typically more sensitive to changes in short-term rates, significant changes in the long-term benchmark interest and foreign exchange rates also materially impact our interest and currency swap agreements.</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fair value of our interest and currency swap agreements are also affected by changes in our specific credit risk and counterparties' risk included in the discount factor. The estimate of the Group's credit risk is based on the credit rating of other companies in the LNG industry where publicly available, the rating of the global transportation industry where the shipping industry is included and the feedback that the Group receives from its lenders as part of the margin setting for the new loan agreements. The counterparties' credit risk is estimated either by using the credit default swap rates obtained from public information or, if not available, by using the credit rating of the counterparties.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LIBOR yield curve and our specific credit risk are expected to vary over the life of the interest rate swap agreements. The larger the notional amount of the interest rate swap agreements outstanding and the longer the remaining duration of the interest rate swap agreements, the larger the impact of any variability in these factors will be on the fair value of our interest rate swaps. We economically hedge the interest rate exposure on a significant amount of our long-term debt and for long durations. As such, we have historically experienced, and we expect to continue to experience, material variations in the period-to-period fair value of our derivative instruments.</w:t>
      </w:r>
    </w:p>
    <w:p>
      <w:pPr>
        <w:spacing w:after="0" w:line="197"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Although we measure the fair value of our derivative instruments utilizing the inputs and assumptions described above, if we were to terminate the agreements at the reporting date, the amount we would pay or receive to terminate the derivative instruments may differ from our estimate of fair value. If the estimated fair value differs from the actual termination amount, an adjustment to the carrying amount of the applicable derivative asset or liability would be recognized in profit or loss for the current period. Such adjustments could be material. See Note 25 to our consolidated financial statements included elsewhere in this annual report for the effects on the change in fair value of our derivative instruments on our consolidated statements of profit or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incur from time to time expenditures relating to inspections for acquiring new vessels. Such expenditures are insignificant and are expensed as they are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5. Operating and Financial Review and Prospects—Overview—Known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As of December 31, 2017, we do not have any transactions, obligations or relationships that should be considered off-balance sheet arrangements.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2017 were: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center"/>
              <w:ind w:left="564"/>
              <w:spacing w:after="0"/>
              <w:rPr>
                <w:sz w:val="20"/>
                <w:szCs w:val="20"/>
                <w:color w:val="auto"/>
              </w:rPr>
            </w:pPr>
            <w:r>
              <w:rPr>
                <w:rFonts w:ascii="Arial" w:cs="Arial" w:eastAsia="Arial" w:hAnsi="Arial"/>
                <w:sz w:val="14"/>
                <w:szCs w:val="14"/>
                <w:b w:val="1"/>
                <w:bCs w:val="1"/>
                <w:color w:val="auto"/>
                <w:w w:val="86"/>
              </w:rPr>
              <w:t>Payments Due by Period</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44"/>
              <w:spacing w:after="0" w:line="129" w:lineRule="exact"/>
              <w:rPr>
                <w:sz w:val="20"/>
                <w:szCs w:val="20"/>
                <w:color w:val="auto"/>
              </w:rPr>
            </w:pPr>
            <w:r>
              <w:rPr>
                <w:rFonts w:ascii="Arial" w:cs="Arial" w:eastAsia="Arial" w:hAnsi="Arial"/>
                <w:sz w:val="14"/>
                <w:szCs w:val="14"/>
                <w:b w:val="1"/>
                <w:bCs w:val="1"/>
                <w:color w:val="auto"/>
                <w:w w:val="97"/>
              </w:rPr>
              <w:t>Less than</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80" w:type="dxa"/>
            <w:vAlign w:val="bottom"/>
          </w:tcPr>
          <w:p>
            <w:pPr>
              <w:jc w:val="right"/>
              <w:ind w:right="144"/>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w w:val="84"/>
              </w:rPr>
              <w:t>1 - 3 years</w:t>
            </w: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w w:val="87"/>
              </w:rPr>
              <w:t>3 - 5 years</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5 years</w:t>
            </w: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(Expressed</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in thousands of</w:t>
            </w:r>
          </w:p>
        </w:tc>
        <w:tc>
          <w:tcPr>
            <w:tcW w:w="160" w:type="dxa"/>
            <w:vAlign w:val="bottom"/>
          </w:tcPr>
          <w:p>
            <w:pPr>
              <w:spacing w:after="0"/>
              <w:rPr>
                <w:sz w:val="20"/>
                <w:szCs w:val="20"/>
                <w:color w:val="auto"/>
              </w:rPr>
            </w:pPr>
            <w:r>
              <w:rPr>
                <w:rFonts w:ascii="Arial" w:cs="Arial" w:eastAsia="Arial" w:hAnsi="Arial"/>
                <w:sz w:val="10"/>
                <w:szCs w:val="10"/>
                <w:b w:val="1"/>
                <w:bCs w:val="1"/>
                <w:color w:val="auto"/>
                <w:w w:val="71"/>
              </w:rPr>
              <w:t>U.S.</w:t>
            </w:r>
          </w:p>
        </w:tc>
        <w:tc>
          <w:tcPr>
            <w:tcW w:w="920" w:type="dxa"/>
            <w:vAlign w:val="bottom"/>
            <w:tcBorders>
              <w:top w:val="single" w:sz="8" w:color="auto"/>
            </w:tcBorders>
            <w:gridSpan w:val="2"/>
          </w:tcPr>
          <w:p>
            <w:pPr>
              <w:jc w:val="right"/>
              <w:ind w:right="314"/>
              <w:spacing w:after="0" w:line="142" w:lineRule="exact"/>
              <w:rPr>
                <w:sz w:val="20"/>
                <w:szCs w:val="20"/>
                <w:color w:val="auto"/>
              </w:rPr>
            </w:pPr>
            <w:r>
              <w:rPr>
                <w:rFonts w:ascii="Arial" w:cs="Arial" w:eastAsia="Arial" w:hAnsi="Arial"/>
                <w:sz w:val="14"/>
                <w:szCs w:val="14"/>
                <w:b w:val="1"/>
                <w:bCs w:val="1"/>
                <w:color w:val="auto"/>
                <w:w w:val="98"/>
              </w:rPr>
              <w:t>dollars)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obligations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2,588,016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631,834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1,157,353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610,662</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tcPr>
          <w:p>
            <w:pPr>
              <w:spacing w:after="0" w:line="256" w:lineRule="exact"/>
              <w:rPr>
                <w:sz w:val="20"/>
                <w:szCs w:val="20"/>
                <w:color w:val="auto"/>
              </w:rPr>
            </w:pPr>
            <w:r>
              <w:rPr>
                <w:rFonts w:ascii="Arial" w:cs="Arial" w:eastAsia="Arial" w:hAnsi="Arial"/>
                <w:sz w:val="18"/>
                <w:szCs w:val="18"/>
                <w:color w:val="auto"/>
              </w:rPr>
              <w:t>Interest on borrowing obligations and swaps</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458,948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89,799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201,933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121,890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45,326</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arrangement fees and commitments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Finance lease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324,685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17,849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235,393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Shipbuilding contracts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553,812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Vessels' enhancement and conversion 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28,976</w:t>
            </w:r>
          </w:p>
        </w:tc>
        <w:tc>
          <w:tcPr>
            <w:tcW w:w="160" w:type="dxa"/>
            <w:vAlign w:val="bottom"/>
          </w:tcPr>
          <w:p>
            <w:pPr>
              <w:spacing w:after="0"/>
              <w:rPr>
                <w:sz w:val="18"/>
                <w:szCs w:val="18"/>
                <w:color w:val="auto"/>
              </w:rPr>
            </w:pPr>
          </w:p>
        </w:tc>
        <w:tc>
          <w:tcPr>
            <w:tcW w:w="1200" w:type="dxa"/>
            <w:vAlign w:val="bottom"/>
            <w:gridSpan w:val="3"/>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tcPr>
          <w:p>
            <w:pPr>
              <w:spacing w:after="0" w:line="256" w:lineRule="exact"/>
              <w:rPr>
                <w:sz w:val="20"/>
                <w:szCs w:val="20"/>
                <w:color w:val="auto"/>
              </w:rPr>
            </w:pPr>
            <w:r>
              <w:rPr>
                <w:rFonts w:ascii="Arial" w:cs="Arial" w:eastAsia="Arial" w:hAnsi="Arial"/>
                <w:sz w:val="18"/>
                <w:szCs w:val="18"/>
                <w:color w:val="auto"/>
              </w:rPr>
              <w:t>Purchase of depot spares</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7,340</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5,340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Reimbursement expenses</w:t>
            </w:r>
            <w:r>
              <w:rPr>
                <w:rFonts w:ascii="Arial" w:cs="Arial" w:eastAsia="Arial" w:hAnsi="Arial"/>
                <w:sz w:val="29"/>
                <w:szCs w:val="29"/>
                <w:color w:val="auto"/>
                <w:vertAlign w:val="superscript"/>
              </w:rPr>
              <w:t>(3)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4,301,338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883,828</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1,208,483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1,315,549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893,478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260" w:hanging="531"/>
        <w:spacing w:after="0" w:line="239" w:lineRule="auto"/>
        <w:tabs>
          <w:tab w:leader="none" w:pos="1680" w:val="left"/>
        </w:tabs>
        <w:numPr>
          <w:ilvl w:val="0"/>
          <w:numId w:val="57"/>
        </w:numPr>
        <w:rPr>
          <w:rFonts w:ascii="Arial" w:cs="Arial" w:eastAsia="Arial" w:hAnsi="Arial"/>
          <w:sz w:val="11"/>
          <w:szCs w:val="11"/>
          <w:color w:val="auto"/>
        </w:rPr>
      </w:pPr>
      <w:r>
        <w:rPr>
          <w:rFonts w:ascii="Arial" w:cs="Arial" w:eastAsia="Arial" w:hAnsi="Arial"/>
          <w:sz w:val="14"/>
          <w:szCs w:val="14"/>
          <w:color w:val="auto"/>
        </w:rPr>
        <w:t>Our interest commitment on long-term debt is calculated based on an assumed average applicable interest rate ranging from 2.88% to 7.34%, which takes into account average LIBOR of 1.46%, and the applicable margin spreads in our various debt agreements.</w:t>
      </w:r>
    </w:p>
    <w:p>
      <w:pPr>
        <w:spacing w:after="0" w:line="111" w:lineRule="exact"/>
        <w:rPr>
          <w:rFonts w:ascii="Arial" w:cs="Arial" w:eastAsia="Arial" w:hAnsi="Arial"/>
          <w:sz w:val="11"/>
          <w:szCs w:val="11"/>
          <w:color w:val="auto"/>
        </w:rPr>
      </w:pPr>
    </w:p>
    <w:p>
      <w:pPr>
        <w:jc w:val="both"/>
        <w:ind w:left="1680" w:right="220" w:hanging="531"/>
        <w:spacing w:after="0" w:line="233" w:lineRule="auto"/>
        <w:tabs>
          <w:tab w:leader="none" w:pos="1680" w:val="left"/>
        </w:tabs>
        <w:numPr>
          <w:ilvl w:val="0"/>
          <w:numId w:val="57"/>
        </w:numPr>
        <w:rPr>
          <w:rFonts w:ascii="Arial" w:cs="Arial" w:eastAsia="Arial" w:hAnsi="Arial"/>
          <w:sz w:val="11"/>
          <w:szCs w:val="11"/>
          <w:color w:val="auto"/>
        </w:rPr>
      </w:pPr>
      <w:r>
        <w:rPr>
          <w:rFonts w:ascii="Arial" w:cs="Arial" w:eastAsia="Arial" w:hAnsi="Arial"/>
          <w:sz w:val="14"/>
          <w:szCs w:val="14"/>
          <w:color w:val="auto"/>
        </w:rPr>
        <w:t>Following the acquisition of the eight vessels from MSL, GasLog through its subsidiaries is guarantor for the acquisition from MSL of depot spares with an aggregate value of $8.0 million of which depot spares with value $0.66 million have been acquired as of December 31, 2017. The remaining spares should be acquired before the end of the initial term of the charter party agreements.</w:t>
      </w:r>
    </w:p>
    <w:p>
      <w:pPr>
        <w:spacing w:after="0" w:line="111" w:lineRule="exact"/>
        <w:rPr>
          <w:rFonts w:ascii="Arial" w:cs="Arial" w:eastAsia="Arial" w:hAnsi="Arial"/>
          <w:sz w:val="11"/>
          <w:szCs w:val="11"/>
          <w:color w:val="auto"/>
        </w:rPr>
      </w:pPr>
    </w:p>
    <w:p>
      <w:pPr>
        <w:ind w:left="1680" w:right="60" w:hanging="531"/>
        <w:spacing w:after="0" w:line="230" w:lineRule="auto"/>
        <w:tabs>
          <w:tab w:leader="none" w:pos="1680" w:val="left"/>
        </w:tabs>
        <w:numPr>
          <w:ilvl w:val="0"/>
          <w:numId w:val="57"/>
        </w:numPr>
        <w:rPr>
          <w:rFonts w:ascii="Arial" w:cs="Arial" w:eastAsia="Arial" w:hAnsi="Arial"/>
          <w:sz w:val="11"/>
          <w:szCs w:val="11"/>
          <w:color w:val="auto"/>
        </w:rPr>
      </w:pPr>
      <w:r>
        <w:rPr>
          <w:rFonts w:ascii="Arial" w:cs="Arial" w:eastAsia="Arial" w:hAnsi="Arial"/>
          <w:sz w:val="14"/>
          <w:szCs w:val="14"/>
          <w:color w:val="auto"/>
        </w:rPr>
        <w:t>Following execution of a letter agreement between GasLog and MSL, GasLog will reimburse MSL the sum of $2.65 million for value as of November 1, 2015, adjusted for future value through January 2020 up to $3.80 million, allowing for the future use of the reimbursement amount against the funding of specific MSL projects, such as costs associated with change orders on LNG newbuildings and/or modifications of existing vessels as agreed between the parties. As of December 31, 2017, the outstanding commitment, after deducting costs already reimbursed by GasLog, was $1.29 million.</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 sets forth information regarding our directors and executive officers. The business address of each of our executive officers and directors listed below is Gildo Pastor Center, 7 Rue du Gabian, MC 98000, Monaco. Our telephone number at that address is +377 97 97 51 15. Members of our board of directors are elected annually, and each director elected holds office for a one-year term. The following directors have been determined by our board of directors to be independent: David P. Conner, William M. Friedrich, Dennis M. Houston, Donald J. Kintzer and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Anthony S. Papadimitriou. Officers are elected from time to time by vote of our board of directors and hold office until a successor is elected.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9"/>
              </w:rPr>
              <w:t>Name</w:t>
            </w:r>
          </w:p>
        </w:tc>
        <w:tc>
          <w:tcPr>
            <w:tcW w:w="2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2840" w:type="dxa"/>
            <w:vAlign w:val="bottom"/>
          </w:tcPr>
          <w:p>
            <w:pPr>
              <w:ind w:left="11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G. Livanos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Paul A. Wogan</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w w:val="98"/>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Bruce L. Blythe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David P. Conner</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M. Friedrich</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Dennis M. Houston</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Vice Chairman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Donald J. Kintzer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Julian R. Metherell</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S. Papadimitriou</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Graham Westgarth</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Alastair Maxwell</w:t>
            </w:r>
            <w:r>
              <w:rPr>
                <w:rFonts w:ascii="Arial" w:cs="Arial" w:eastAsia="Arial" w:hAnsi="Arial"/>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Richard Sadler</w:t>
            </w:r>
            <w:r>
              <w:rPr>
                <w:rFonts w:ascii="Arial" w:cs="Arial" w:eastAsia="Arial" w:hAnsi="Arial"/>
                <w:sz w:val="29"/>
                <w:szCs w:val="29"/>
                <w:color w:val="auto"/>
                <w:vertAlign w:val="superscript"/>
              </w:rPr>
              <w:t>(2)</w:t>
            </w:r>
          </w:p>
        </w:tc>
        <w:tc>
          <w:tcPr>
            <w:tcW w:w="33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358"/>
        </w:trPr>
        <w:tc>
          <w:tcPr>
            <w:tcW w:w="360" w:type="dxa"/>
            <w:vAlign w:val="bottom"/>
            <w:gridSpan w:val="2"/>
          </w:tcPr>
          <w:p>
            <w:pPr>
              <w:spacing w:after="0"/>
              <w:rPr>
                <w:sz w:val="20"/>
                <w:szCs w:val="20"/>
                <w:color w:val="auto"/>
              </w:rPr>
            </w:pPr>
            <w:r>
              <w:rPr>
                <w:rFonts w:ascii="Arial" w:cs="Arial" w:eastAsia="Arial" w:hAnsi="Arial"/>
                <w:sz w:val="11"/>
                <w:szCs w:val="11"/>
                <w:color w:val="auto"/>
              </w:rPr>
              <w:t>(1)</w:t>
            </w:r>
          </w:p>
        </w:tc>
        <w:tc>
          <w:tcPr>
            <w:tcW w:w="5420" w:type="dxa"/>
            <w:vAlign w:val="bottom"/>
            <w:gridSpan w:val="2"/>
          </w:tcPr>
          <w:p>
            <w:pPr>
              <w:ind w:left="180"/>
              <w:spacing w:after="0"/>
              <w:rPr>
                <w:sz w:val="20"/>
                <w:szCs w:val="20"/>
                <w:color w:val="auto"/>
              </w:rPr>
            </w:pPr>
            <w:r>
              <w:rPr>
                <w:rFonts w:ascii="Arial" w:cs="Arial" w:eastAsia="Arial" w:hAnsi="Arial"/>
                <w:sz w:val="14"/>
                <w:szCs w:val="14"/>
                <w:color w:val="auto"/>
              </w:rPr>
              <w:t>Mr. Maxwell was appointed Chief Financial Officer on March 9, 2017.</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0" w:type="dxa"/>
            <w:vAlign w:val="bottom"/>
            <w:gridSpan w:val="2"/>
          </w:tcPr>
          <w:p>
            <w:pPr>
              <w:spacing w:after="0"/>
              <w:rPr>
                <w:sz w:val="20"/>
                <w:szCs w:val="20"/>
                <w:color w:val="auto"/>
              </w:rPr>
            </w:pPr>
            <w:r>
              <w:rPr>
                <w:rFonts w:ascii="Arial" w:cs="Arial" w:eastAsia="Arial" w:hAnsi="Arial"/>
                <w:sz w:val="11"/>
                <w:szCs w:val="11"/>
                <w:color w:val="auto"/>
              </w:rPr>
              <w:t>(2)</w:t>
            </w:r>
          </w:p>
        </w:tc>
        <w:tc>
          <w:tcPr>
            <w:tcW w:w="5420" w:type="dxa"/>
            <w:vAlign w:val="bottom"/>
            <w:gridSpan w:val="2"/>
          </w:tcPr>
          <w:p>
            <w:pPr>
              <w:ind w:left="180"/>
              <w:spacing w:after="0"/>
              <w:rPr>
                <w:sz w:val="20"/>
                <w:szCs w:val="20"/>
                <w:color w:val="auto"/>
              </w:rPr>
            </w:pPr>
            <w:r>
              <w:rPr>
                <w:rFonts w:ascii="Arial" w:cs="Arial" w:eastAsia="Arial" w:hAnsi="Arial"/>
                <w:sz w:val="14"/>
                <w:szCs w:val="14"/>
                <w:color w:val="auto"/>
              </w:rPr>
              <w:t>Mr. Sadler was appointed Chief Operating Officer on September 20, 2017.</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Peter G. Livanos </w:t>
      </w:r>
      <w:r>
        <w:rPr>
          <w:rFonts w:ascii="Arial" w:cs="Arial" w:eastAsia="Arial" w:hAnsi="Arial"/>
          <w:sz w:val="16"/>
          <w:szCs w:val="16"/>
          <w:color w:val="auto"/>
        </w:rPr>
        <w:t>is our Chairman and a member of our board of directors. Mr. Livanos founded our subsidiary GasLog LNG Services in 2001 and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a director of our subsidiary GasLog 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and from July 2014 to December 2015 he served as Chairman. Mr. Livanos is a graduate of Columbia University.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 xml:space="preserve">Paul A. Wogan </w:t>
      </w:r>
      <w:r>
        <w:rPr>
          <w:rFonts w:ascii="Arial" w:cs="Arial" w:eastAsia="Arial" w:hAnsi="Arial"/>
          <w:sz w:val="15"/>
          <w:szCs w:val="15"/>
          <w:color w:val="auto"/>
        </w:rPr>
        <w:t>has served as our CEO since January 2013 and has been a member of our board of directors since our annual general meeting in May 2015.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From 2008 until February 2012, Mr. Wogan served as senior independent director of Clarksons PLC. From 2000 to 2008, Mr. Wogan worked for Teekay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where from November 2003 to March 2008 he served as president of Teekay Tanker Services, with responsibility for the company's fleet of crude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product tankers. Prior to joining Teekay Corporation, Mr. Wogan served as chief executive officer of Seachem Tankers Ltd. Mr. Wogan is also a director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Kingdom Mutual Steam Ship Assurance Association (Bermuda) Limited and from 2009 to 2014 was a non-executive director of Sure Wind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Marine Ltd., a company that owns and operates vessels that provide services to the offshore wind industry. Mr. Wogan is a graduate of Exeter University and has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 MBA from Cranfield School of Management.</w:t>
      </w:r>
    </w:p>
    <w:p>
      <w:pPr>
        <w:spacing w:after="0" w:line="213"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Bruce L. Blythe </w:t>
      </w:r>
      <w:r>
        <w:rPr>
          <w:rFonts w:ascii="Arial" w:cs="Arial" w:eastAsia="Arial" w:hAnsi="Arial"/>
          <w:sz w:val="16"/>
          <w:szCs w:val="16"/>
          <w:color w:val="auto"/>
        </w:rPr>
        <w:t>has been a member of our board of directors since October 2011. Mr. Blythe has been involved in the shipping industry for over 20 years,</w:t>
      </w:r>
      <w:r>
        <w:rPr>
          <w:rFonts w:ascii="Arial" w:cs="Arial" w:eastAsia="Arial" w:hAnsi="Arial"/>
          <w:sz w:val="16"/>
          <w:szCs w:val="16"/>
          <w:b w:val="1"/>
          <w:bCs w:val="1"/>
          <w:color w:val="auto"/>
        </w:rPr>
        <w:t xml:space="preserve"> </w:t>
      </w:r>
      <w:r>
        <w:rPr>
          <w:rFonts w:ascii="Arial" w:cs="Arial" w:eastAsia="Arial" w:hAnsi="Arial"/>
          <w:sz w:val="16"/>
          <w:szCs w:val="16"/>
          <w:color w:val="auto"/>
        </w:rPr>
        <w:t>having served as an advisor to the Livanos family since 1994. For over 30 years, Mr. Blythe has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and is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Vice-Chairman of the Ceres Group. Mr. Blythe holds an M.B.A. in finance and transportation and a B.A. in business administration from Pennsylvania State University.</w:t>
      </w:r>
    </w:p>
    <w:p>
      <w:pPr>
        <w:spacing w:after="0" w:line="18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color w:val="auto"/>
        </w:rPr>
        <w:t xml:space="preserve">David P. Conner </w:t>
      </w:r>
      <w:r>
        <w:rPr>
          <w:rFonts w:ascii="Arial" w:cs="Arial" w:eastAsia="Arial" w:hAnsi="Arial"/>
          <w:sz w:val="16"/>
          <w:szCs w:val="16"/>
          <w:color w:val="auto"/>
        </w:rPr>
        <w:t>has been a member of our board of directors since the 2016 AGM. Mr. Conner has a long history in the banking industry, most recently 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OCBC Bank Ltd. in Singapore from 2002 to 2012. Prior to OCBC, Mr. Conner worked for Citibank for 26 years. Until August 2014, Mr. Conner served as a director on the board of OCBC Bank Ltd., where he also sat on the executive committee and risk management committee. He was also a member of the board of directors of GasLog Partners and its audit committee until May 2016. Mr. Conner also serves on the board of trustees of Washington University in St. Louis where he chairs the medical finance committee and serves on the executive, audit and global engagement committees. On January 1, 2016 Mr. Conner was appointed a director of Standard Chartered Bank plc. where he chairs the risk committee and sits on the audit committee, financial crime risk committee and governance and nominating committee. Mr. Conner received a Bachelor of Arts degree from Washington University in St. Louis in 1974 and an M.B.A. from Columbia University Business School in 1976.</w:t>
      </w:r>
    </w:p>
    <w:p>
      <w:pPr>
        <w:spacing w:after="0" w:line="16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William M. Friedrich </w:t>
      </w:r>
      <w:r>
        <w:rPr>
          <w:rFonts w:ascii="Arial" w:cs="Arial" w:eastAsia="Arial" w:hAnsi="Arial"/>
          <w:sz w:val="18"/>
          <w:szCs w:val="18"/>
          <w:color w:val="auto"/>
        </w:rPr>
        <w:t>has been a member of our board of directors since October 2011. From 1995 until his retirement in 2008, Mr. Friedrich was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at BG Group. Mr. Friedrich held several senior executive positions during his 14 year tenure at BG Group, including serving as executive director and deputy chief executive from 2000 until 2008, with primary responsibility for BG Group's overall strategy function as well as oversight of the company's business development activities and various company-wide organizational and human resource matters. Between 2000 and 2005, his position at BG Group also included the role of General Counsel. Prior to joining BG Group, Mr. Friedrich was a partner at Shearman &amp; Sterling LLP. He holds a J.D. from Columbia Law School and a B.A. from Union College.</w:t>
      </w:r>
    </w:p>
    <w:p>
      <w:pPr>
        <w:spacing w:after="0" w:line="193"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color w:val="auto"/>
        </w:rPr>
        <w:t xml:space="preserve">Dennis M. Houston </w:t>
      </w:r>
      <w:r>
        <w:rPr>
          <w:rFonts w:ascii="Arial" w:cs="Arial" w:eastAsia="Arial" w:hAnsi="Arial"/>
          <w:sz w:val="18"/>
          <w:szCs w:val="18"/>
          <w:color w:val="auto"/>
        </w:rPr>
        <w:t>has been a member of our board of directors since June 2013 and has served as our Vice-Chairman and senior independent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since May 2016. At the time he joined our board, Mr. Houston had approximately 40 years of experience in the downstream sector of the oil and gas industry. Mr. Houston retired from Exxon Mobil on May 31, 2010, after over 35 years with Exxon and then Exxon Mobil. His positions at retirement were Executive Vice President Refining &amp; Supply Company, Chairman and President of ExxonMobil Sales &amp; Supply LLC, and Chairman of Standard Tankers Bahamas Limited. Mr. Houston serves as a director of Suncor Energy Inc., Argus Media Limited L.L.C. and ABS Group and is an active member of several other energy related organizations. Mr. Houston also sits on the board of the Onassis Foundation and is Honorary Counsel for Liechtenstein to the U.S. (Texas Region). He holds a B.S. in Chemical Engineering from the University of Illinois and an Honorary Doctorate of Public Administration Degree from Massachusetts Maritime Academy.</w:t>
      </w:r>
    </w:p>
    <w:p>
      <w:pPr>
        <w:spacing w:after="0" w:line="192" w:lineRule="exact"/>
        <w:rPr>
          <w:sz w:val="20"/>
          <w:szCs w:val="20"/>
          <w:color w:val="auto"/>
        </w:rPr>
      </w:pPr>
    </w:p>
    <w:p>
      <w:pPr>
        <w:ind w:firstLine="351"/>
        <w:spacing w:after="0" w:line="304" w:lineRule="auto"/>
        <w:rPr>
          <w:sz w:val="20"/>
          <w:szCs w:val="20"/>
          <w:color w:val="auto"/>
        </w:rPr>
      </w:pPr>
      <w:r>
        <w:rPr>
          <w:rFonts w:ascii="Arial" w:cs="Arial" w:eastAsia="Arial" w:hAnsi="Arial"/>
          <w:sz w:val="15"/>
          <w:szCs w:val="15"/>
          <w:b w:val="1"/>
          <w:bCs w:val="1"/>
          <w:color w:val="auto"/>
        </w:rPr>
        <w:t xml:space="preserve">Donald J. Kintzer </w:t>
      </w:r>
      <w:r>
        <w:rPr>
          <w:rFonts w:ascii="Arial" w:cs="Arial" w:eastAsia="Arial" w:hAnsi="Arial"/>
          <w:sz w:val="15"/>
          <w:szCs w:val="15"/>
          <w:color w:val="auto"/>
        </w:rPr>
        <w:t>has been a member of our board of directors since November 2014. He is a retired partner of PricewaterhouseCoopers LLP, or "PwC",</w:t>
      </w:r>
      <w:r>
        <w:rPr>
          <w:rFonts w:ascii="Arial" w:cs="Arial" w:eastAsia="Arial" w:hAnsi="Arial"/>
          <w:sz w:val="15"/>
          <w:szCs w:val="15"/>
          <w:b w:val="1"/>
          <w:bCs w:val="1"/>
          <w:color w:val="auto"/>
        </w:rPr>
        <w:t xml:space="preserve"> </w:t>
      </w:r>
      <w:r>
        <w:rPr>
          <w:rFonts w:ascii="Arial" w:cs="Arial" w:eastAsia="Arial" w:hAnsi="Arial"/>
          <w:sz w:val="15"/>
          <w:szCs w:val="15"/>
          <w:color w:val="auto"/>
        </w:rPr>
        <w:t>having retired in 2008 after an association of over 31 years. He was admitted to the partnership in 1988 and served in various roles and locations during his career. Mr. Kintzer is a member of the board of directors of California Bank of Commerce and a member of the board of governors of Lawrence Livermore National Security, LLC and Los Alamos National Security, LLC. He was also a member of the board of directors of GasLog Partners and its audit committee until March 2015, and served as a member of its conflicts committee until his appointment to our board in November 2014 and as audit committee chairman until March</w:t>
      </w:r>
    </w:p>
    <w:p>
      <w:pPr>
        <w:ind w:right="180"/>
        <w:spacing w:after="0" w:line="302" w:lineRule="auto"/>
        <w:rPr>
          <w:sz w:val="20"/>
          <w:szCs w:val="20"/>
          <w:color w:val="auto"/>
        </w:rPr>
      </w:pPr>
      <w:r>
        <w:rPr>
          <w:rFonts w:ascii="Arial" w:cs="Arial" w:eastAsia="Arial" w:hAnsi="Arial"/>
          <w:sz w:val="16"/>
          <w:szCs w:val="16"/>
          <w:color w:val="auto"/>
        </w:rPr>
        <w:t>2015. He is a certified public accountant (inactive) and a member of the American Institute of Certified Public Accountants and the California Society of CPAs. Mr. Kintzer received an A.B. from Lafayette College and an M.B.A. from Pennsylvania State University. Prior to graduate school, Mr. Kintzer served as an officer in the United States Air Force. Mr. Kintzer was appointed chairman of our Audit &amp; Risk Committee in March 2015.</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Julian R. Metherell </w:t>
      </w:r>
      <w:r>
        <w:rPr>
          <w:rFonts w:ascii="Arial" w:cs="Arial" w:eastAsia="Arial" w:hAnsi="Arial"/>
          <w:sz w:val="16"/>
          <w:szCs w:val="16"/>
          <w:color w:val="auto"/>
        </w:rPr>
        <w:t>has been a member of our board of directors since October 2011. Mr. Metherell was the chief financial officer and a director of Genel</w:t>
      </w:r>
      <w:r>
        <w:rPr>
          <w:rFonts w:ascii="Arial" w:cs="Arial" w:eastAsia="Arial" w:hAnsi="Arial"/>
          <w:sz w:val="16"/>
          <w:szCs w:val="16"/>
          <w:b w:val="1"/>
          <w:bCs w:val="1"/>
          <w:color w:val="auto"/>
        </w:rPr>
        <w:t xml:space="preserve"> </w:t>
      </w:r>
      <w:r>
        <w:rPr>
          <w:rFonts w:ascii="Arial" w:cs="Arial" w:eastAsia="Arial" w:hAnsi="Arial"/>
          <w:sz w:val="16"/>
          <w:szCs w:val="16"/>
          <w:color w:val="auto"/>
        </w:rPr>
        <w:t>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65" w:lineRule="exact"/>
        <w:rPr>
          <w:sz w:val="20"/>
          <w:szCs w:val="20"/>
          <w:color w:val="auto"/>
        </w:rPr>
      </w:pPr>
    </w:p>
    <w:p>
      <w:pPr>
        <w:ind w:right="60" w:firstLine="351"/>
        <w:spacing w:after="0" w:line="304" w:lineRule="auto"/>
        <w:rPr>
          <w:sz w:val="20"/>
          <w:szCs w:val="20"/>
          <w:color w:val="auto"/>
        </w:rPr>
      </w:pPr>
      <w:r>
        <w:rPr>
          <w:rFonts w:ascii="Arial" w:cs="Arial" w:eastAsia="Arial" w:hAnsi="Arial"/>
          <w:sz w:val="15"/>
          <w:szCs w:val="15"/>
          <w:b w:val="1"/>
          <w:bCs w:val="1"/>
          <w:color w:val="auto"/>
        </w:rPr>
        <w:t xml:space="preserve">Anthony S. Papadimitriou </w:t>
      </w:r>
      <w:r>
        <w:rPr>
          <w:rFonts w:ascii="Arial" w:cs="Arial" w:eastAsia="Arial" w:hAnsi="Arial"/>
          <w:sz w:val="15"/>
          <w:szCs w:val="15"/>
          <w:color w:val="auto"/>
        </w:rPr>
        <w:t>has been a member of our board of directors since November 2011, when he was designated by the Onassis Foundation to serve</w:t>
      </w:r>
      <w:r>
        <w:rPr>
          <w:rFonts w:ascii="Arial" w:cs="Arial" w:eastAsia="Arial" w:hAnsi="Arial"/>
          <w:sz w:val="15"/>
          <w:szCs w:val="15"/>
          <w:b w:val="1"/>
          <w:bCs w:val="1"/>
          <w:color w:val="auto"/>
        </w:rPr>
        <w:t xml:space="preserve"> </w:t>
      </w:r>
      <w:r>
        <w:rPr>
          <w:rFonts w:ascii="Arial" w:cs="Arial" w:eastAsia="Arial" w:hAnsi="Arial"/>
          <w:sz w:val="15"/>
          <w:szCs w:val="15"/>
          <w:color w:val="auto"/>
        </w:rPr>
        <w:t>as one of our directors. Mr. Papadimitriou is the managing partner of the law firm A.S. Papadimitriou and Partners, a position he has held since 1990.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w:t>
      </w:r>
    </w:p>
    <w:p>
      <w:pPr>
        <w:jc w:val="both"/>
        <w:ind w:right="40"/>
        <w:spacing w:after="0" w:line="255" w:lineRule="auto"/>
        <w:rPr>
          <w:sz w:val="20"/>
          <w:szCs w:val="20"/>
          <w:color w:val="auto"/>
        </w:rPr>
      </w:pPr>
      <w:r>
        <w:rPr>
          <w:rFonts w:ascii="Arial" w:cs="Arial" w:eastAsia="Arial" w:hAnsi="Arial"/>
          <w:sz w:val="18"/>
          <w:szCs w:val="18"/>
          <w:color w:val="auto"/>
        </w:rPr>
        <w:t>Mr. Papadimitriou is a graduate of the Athens University Law School and holds a postgraduate degree in maritime and transport law from the University Aix-en-Provence, a B.Sc. from the London School of Economics and a Ph.D. from the National and Kapodistrian University of Athens. Mr. Papadimitriou was appointed to the Board of GasLog Partners in May 2015.</w:t>
      </w:r>
    </w:p>
    <w:p>
      <w:pPr>
        <w:spacing w:after="0" w:line="19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Graham Westgarth </w:t>
      </w:r>
      <w:r>
        <w:rPr>
          <w:rFonts w:ascii="Arial" w:cs="Arial" w:eastAsia="Arial" w:hAnsi="Arial"/>
          <w:sz w:val="16"/>
          <w:szCs w:val="16"/>
          <w:color w:val="auto"/>
        </w:rPr>
        <w:t>served as our chief operating officer ("COO") from June 2013 to May 2017 and COO of our subsidiary, GasLog Partners,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inception to May 2017. In May 2017, Mr. Westgarth was appointed to our Board of Directors. He previously served as our Executive Vice President, Operations and Strategy, from January 2013 until June 2013. From 1999 through 2012, Mr. Westgarth was a member of the Senior Leadership team of Teekay Shipping, most recently serving as executive vice president of innovation, technology and projects of Teekay Shipping, which included commercial and operational responsibility for a number of floating storage and offloading vessels. From 2001 to 2010, Mr. Westgarth served as president of Teekay Marine Services with responsibility for 5,000 sea and shore staff and the technical management of 200 vessels. During this period he also served as chief executive officer of Teekay Petrojarl following its acquisition by Teekay Corporation. Mr. Westgarth was the chairman of INTERTANKO, an industry organization, which represents 80.0% of the world's independent tanker owners and operators between 2009 and 2014. He is an ex-Master Mariner and graduate of the Columbia University Senior Executive Development Program.</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color w:val="auto"/>
        </w:rPr>
        <w:t xml:space="preserve">Alastair Maxwell </w:t>
      </w:r>
      <w:r>
        <w:rPr>
          <w:rFonts w:ascii="Arial" w:cs="Arial" w:eastAsia="Arial" w:hAnsi="Arial"/>
          <w:sz w:val="16"/>
          <w:szCs w:val="16"/>
          <w:color w:val="auto"/>
        </w:rPr>
        <w:t>joined GasLog on February 1, 2017 and was appointed Chief Financial Officer ("CFO") on March 9, 2017. He was appointed CFO of</w:t>
      </w:r>
      <w:r>
        <w:rPr>
          <w:rFonts w:ascii="Arial" w:cs="Arial" w:eastAsia="Arial" w:hAnsi="Arial"/>
          <w:sz w:val="16"/>
          <w:szCs w:val="16"/>
          <w:b w:val="1"/>
          <w:bCs w:val="1"/>
          <w:color w:val="auto"/>
        </w:rPr>
        <w:t xml:space="preserve"> </w:t>
      </w:r>
      <w:r>
        <w:rPr>
          <w:rFonts w:ascii="Arial" w:cs="Arial" w:eastAsia="Arial" w:hAnsi="Arial"/>
          <w:sz w:val="16"/>
          <w:szCs w:val="16"/>
          <w:color w:val="auto"/>
        </w:rPr>
        <w:t>GasLog Partners on the same date. Prior to joining GasLog, Mr. Maxwell worked in the investment banking industry for 29 years, most recently with Goldman Sachs from 2010 to 2016 where he was a Partner and Co-Head of the Global Energy Group with responsibility for relationships with a wide range of corporate and other clients in the energy sector. Previously, from 1998 to 2010, he was with Morgan Stanley, most recently as Managing Director and Head of Energy in the EMEA region based in London and prior to that as Executive Director and Head of Latin America Utilities based in New York. From 1987 to 1998, he was at Dresdner Kleinwort Benson in a series of roles in the Utilities and M&amp;A Groups based in London, Spain and Brazil. Mr. Maxwell studied Modern Languages (Spanish and Portuguese) at Worcester College, Oxford.</w:t>
      </w:r>
    </w:p>
    <w:p>
      <w:pPr>
        <w:spacing w:after="0" w:line="167" w:lineRule="exact"/>
        <w:rPr>
          <w:sz w:val="20"/>
          <w:szCs w:val="20"/>
          <w:color w:val="auto"/>
        </w:rPr>
      </w:pPr>
    </w:p>
    <w:p>
      <w:pPr>
        <w:ind w:right="360" w:firstLine="351"/>
        <w:spacing w:after="0" w:line="262" w:lineRule="auto"/>
        <w:rPr>
          <w:sz w:val="20"/>
          <w:szCs w:val="20"/>
          <w:color w:val="auto"/>
        </w:rPr>
      </w:pPr>
      <w:r>
        <w:rPr>
          <w:rFonts w:ascii="Arial" w:cs="Arial" w:eastAsia="Arial" w:hAnsi="Arial"/>
          <w:sz w:val="18"/>
          <w:szCs w:val="18"/>
          <w:b w:val="1"/>
          <w:bCs w:val="1"/>
          <w:color w:val="auto"/>
        </w:rPr>
        <w:t xml:space="preserve">Richard Sadler </w:t>
      </w:r>
      <w:r>
        <w:rPr>
          <w:rFonts w:ascii="Arial" w:cs="Arial" w:eastAsia="Arial" w:hAnsi="Arial"/>
          <w:sz w:val="18"/>
          <w:szCs w:val="18"/>
          <w:color w:val="auto"/>
        </w:rPr>
        <w:t>has served as our Chief Operating Officer ("COO") since September 20, 2017. He was appointed COO of GasLog Partners on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date. Mr. Sadler joined GasLog from the Foresight Group, a family company with a strong global presence including Shipping, Offshore Oil Drilling &amp; Engineering, where he served as advisor to the Chairman, family Board members and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senior management. Previously, from 2007 to 2015, Mr. Sadler served as CEO of Lloyd's Register Group, providing compliance and consultancy services to 60,000 global clients in 78 countries. Prior to that Mr. Sadler worked as a Director of Asset Management for the Royal Bank of Scotland in the Shipping and Offshore Energy Division and held a number of positions at Lloyd's Register including in Kuwait, Bahrain, Oman and Japan. Mr. Sadler was an Engineering Officer in the Royal Navy prior to studying Naval Architecture at the University of Newcastle-upon-Tyne. Mr. Sadler is a Fellow, Trustee and member of the Audit &amp; Risk Committee of the Royal Academy of Engineering and holds Honorary Doctorates from the University of Southampton and the University of Newcastle-upon-Tyne. He is a visiting Professor at Dalian Maritime University and an elder Brethren and Trustee of Trinity House.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board leadership structure consists of our Chairman, the vice chairman/ senior independent director and the chairmen of our board committees. Our operational management is headed by our CEO. Mr. Wogan, as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the separation of such roles at this time is appropriate and beneficial to shareholders.</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Dennis M. Houston, who serves as our senior independent director, acts as a liaison to facilitate communication between independent directors and our Chairman to ensure that the board functions in an effective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 of Directors and Senior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non-executive directors receive:</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annual fee of $132,000 effective from January 1, 2018 (for the 2017 financial year the annual fee was $120,000);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additional annual fee of $20,000 to the senior independent director;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additional annual fees of $100,000 to the chairman of the board, $30,000 to the vice-chairman of the board (effective from January 1, 2018),</w:t>
      </w:r>
    </w:p>
    <w:p>
      <w:pPr>
        <w:spacing w:after="0" w:line="38" w:lineRule="exact"/>
        <w:rPr>
          <w:rFonts w:ascii="Arial" w:cs="Arial" w:eastAsia="Arial" w:hAnsi="Arial"/>
          <w:sz w:val="16"/>
          <w:szCs w:val="16"/>
          <w:color w:val="auto"/>
        </w:rPr>
      </w:pPr>
    </w:p>
    <w:p>
      <w:pPr>
        <w:ind w:left="1080" w:right="80"/>
        <w:spacing w:after="0" w:line="261" w:lineRule="auto"/>
        <w:rPr>
          <w:rFonts w:ascii="Arial" w:cs="Arial" w:eastAsia="Arial" w:hAnsi="Arial"/>
          <w:sz w:val="16"/>
          <w:szCs w:val="16"/>
          <w:color w:val="auto"/>
        </w:rPr>
      </w:pPr>
      <w:r>
        <w:rPr>
          <w:rFonts w:ascii="Arial" w:cs="Arial" w:eastAsia="Arial" w:hAnsi="Arial"/>
          <w:sz w:val="18"/>
          <w:szCs w:val="18"/>
          <w:color w:val="auto"/>
        </w:rPr>
        <w:t>$50,000 to the chairman of the audit and risk committee and $20,000 to the chairmen of the compensation committee, corporate governance and nominating committee and HSSE committee;</w:t>
      </w:r>
    </w:p>
    <w:p>
      <w:pPr>
        <w:spacing w:after="0" w:line="205" w:lineRule="exact"/>
        <w:rPr>
          <w:rFonts w:ascii="Arial" w:cs="Arial" w:eastAsia="Arial" w:hAnsi="Arial"/>
          <w:sz w:val="16"/>
          <w:szCs w:val="16"/>
          <w:color w:val="auto"/>
        </w:rPr>
      </w:pPr>
    </w:p>
    <w:p>
      <w:pPr>
        <w:ind w:left="1080" w:right="120" w:hanging="532"/>
        <w:spacing w:after="0" w:line="370" w:lineRule="auto"/>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additional annual fees of $25,000 to each member of the audit and risk committee and $10,000 to each member of the compensation committee, corporate governance and nominating committee and HSSE committee (in each case other than the chairmen of such committees); and</w:t>
      </w:r>
    </w:p>
    <w:p>
      <w:pPr>
        <w:spacing w:after="0" w:line="143"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additional annual fees of $20,000 to each board member who also serves as a board member of GasLog Partners (in lieu of direct compensation from GasLog Partners for such service).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additional annual special advisor fee of $55,000 to Graham Westgarth effective August 1,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annual fees paid to non-executive directors in 2017 was $1.48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may determine that a portion of the above fees will be paid in shares rather than cash.</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86"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For 2017, our executive officers were Paul Wogan, Simon Crowe (CFO to March 9, 2017), Alastair Maxwell (CFO from March 9, 2017 onwards), Graham Westgarth (COO to May 2017) and Richard Sadler (COO from September 20, 2017 onwards). Compensation for our executive officers in 2017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 Company performance objectives, as well as a factor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2017, the Company performance objectives were measured against three equally-weighted key business indicators ("KBI"): The Financial KBI is measured against a Free Cash Flow per Share target and an Absolute Return on Invested Capital target; the Operational KBI is defined by a basket of operational KBIs including Fleet Uptime, Vetting Performance and Terminal Feedback targets; and three-year rolling average Relative Total Shareholder Return performance compared to a peer group. In addition, Company performance is evaluated against a safety factor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if met, can result in a payout of up to 120.0% of the individual's target payout. The Company discretionary component may not increase an individual's payment to more than 200.0% of his or her target payout. The amounts paid to our executive officers in 2017 pursuant to the MIP were determined based on the following weightings: individual performance (30.0%), Company performance (50.0%) and Company discretion (20.0%).</w:t>
      </w:r>
    </w:p>
    <w:p>
      <w:pPr>
        <w:spacing w:after="0" w:line="38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aggregate amount of cash compensation, including cash incentive compensation, paid to our executive officers for the year ended December 31, 2017 was $3.97 million.</w:t>
      </w:r>
    </w:p>
    <w:p>
      <w:pPr>
        <w:spacing w:after="0" w:line="186"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addition, our executive officers received equity-based compensation awards in accordance with the 2013 Omnibus Incentive Compensation Plan, or the "Plan", and also received awards via the GasLog Partners LP 2015 Long-Term Incentive Plan or the "the GasLog Partners LTIP Plan". On April 3, 2017, we granted our executive officers an aggregate of 139,823 stock options and 44,978 restricted stock units under the Plan. Furthermore, on April 3, 2017, we granted our executive officers an aggregate of 8,359 restricted stock units and 8,359 phantom performance common units under the GasLog Partners Plan. The aggregate fair value for all equity compensation granted as of the grant date is $1.4 million. The stock options have an exercise price per share of $15.55 and will vest in three equal annual installments, beginning on the first anniversary of the grant date, subject to the recipient's continued service. The restricted stock units vest on the third anniversary of the grant date, subject to the recipient's continued service. Vesting of the phantom performance common units is also subject to the achievement of certain performance targets. The stock options, the restricted stock units and the phantom performance common units may be settled in cash or common shares, or a combination thereof, at our discretion.</w:t>
      </w:r>
    </w:p>
    <w:p>
      <w:pPr>
        <w:spacing w:after="0" w:line="174"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generally determine during the March meeting of the board of the directors each year which individuals, if any, will be eligible to receive equity-based compensation awards under the Plan for such year and the amount of awards each participant will be eligible to receive. In addition, we intend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grant such awards on April 1 of such year (or, should April 1 of such year fall on a weekend or bank holiday, on the first business day thereafter).</w:t>
      </w:r>
    </w:p>
    <w:p>
      <w:pPr>
        <w:spacing w:after="0" w:line="248"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did not set aside or accrue any amounts in the year ended December 31, 2017 to provide pension, retirement or similar benefits to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board of directors consists of ten members. The board of directors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 of directors.</w:t>
      </w:r>
    </w:p>
    <w:p>
      <w:pPr>
        <w:spacing w:after="0" w:line="16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the nominating committee be composed entirely of independent directors and have a written charter addressing the committee's purpose and responsibilities, (iii) the requirement that the compensation committee be composed entirely of independent directors and have a written charter addressing the committee's purpose and responsibilities and (iv) the requirement of an annual performance evaluation of the nominating and corporate governance and compensation committees. Five of our ten directors qualify as independent. We have one or more non-independent directors serving as committee members on our compensation committee and our corporate governance and nominating committee. As a result, non-independent directors may, among other things, participate in fixing the compensation of our management, making share and option awards and resolving governance issues regarding our Company. Accordingly, in the future you may not have the same protections afforded to shareholders of companies that are subject to all of the NYSE corporate governance requirements.</w:t>
      </w:r>
    </w:p>
    <w:p>
      <w:pPr>
        <w:spacing w:after="0" w:line="178"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board of directors meets regularly throughout the year. In 2017, the board met 13 times. As part of our board meetings, our independent directors meet without the non-independent directors in attendance. In addition, the board regularly holds sessions without the CEO and executive officers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audit and risk committee consists of Messrs. Conner, Friedrich, Houston and Kintzer with Mr. Kintzer serving as the committee chairman. Our board of directors has affirmatively determined that each of these individuals meets the definition of "independent director" for purposes of serving on an audit committee under applicable SEC and NYSE rules. Mr. Conner and Mr. Kintzer each qualifies as an "audit committee financial expert". The audit and risk committee is responsible for:</w:t>
      </w:r>
    </w:p>
    <w:p>
      <w:pPr>
        <w:spacing w:after="0" w:line="211" w:lineRule="exact"/>
        <w:rPr>
          <w:sz w:val="20"/>
          <w:szCs w:val="20"/>
          <w:color w:val="auto"/>
        </w:rPr>
      </w:pPr>
    </w:p>
    <w:p>
      <w:pPr>
        <w:ind w:left="1080" w:right="3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221"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earnings press releases, as well as financial information and earnings guidance provided to analysts and rating agencies, with management and the independent auditors;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discussing policies with respect to financial risk assessment and risk management and monitoring our financial risk and risk management systems;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periodically and separately with management, our internal audit group and the independent auditors;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annually reviewing the adequacy of the audit and risk committee's written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periodically reviewing the budget, responsibilities and organizational structure of the internal audit department;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establishing procedures for the consideration of all related-party transactions, including matters involving potential conflicts of interest;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audit and risk committee by the board of directors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compensation committee consists of Messrs. Blythe, Conner, Friedrich and Metherell, with Mr. Metherell serving as the committee chairman. The compensation committee is responsible for:</w:t>
      </w:r>
    </w:p>
    <w:p>
      <w:pPr>
        <w:spacing w:after="0" w:line="213" w:lineRule="exact"/>
        <w:rPr>
          <w:sz w:val="20"/>
          <w:szCs w:val="20"/>
          <w:color w:val="auto"/>
        </w:rPr>
      </w:pPr>
    </w:p>
    <w:p>
      <w:pPr>
        <w:ind w:left="1080" w:right="34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with respect to the compensation of directors, senior management, the head of internal audit and other managerial employees reporting to the CEO;</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and making recommendations to the full board of directors with respect to any of the Company's long-term incentive plans, including any equity-based compensation plans to be adopted;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compensation committee by the board of directors from time to time.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corporate governance and nominating committee consists of Messrs. Blythe, Houston, Livanos and Papadimitriou, with Mr. Houston serving as the committee chairman. The corporate governance and nominating committee is responsible for:</w:t>
      </w:r>
    </w:p>
    <w:p>
      <w:pPr>
        <w:spacing w:after="0" w:line="199" w:lineRule="exact"/>
        <w:rPr>
          <w:sz w:val="20"/>
          <w:szCs w:val="20"/>
          <w:color w:val="auto"/>
        </w:rPr>
      </w:pPr>
    </w:p>
    <w:p>
      <w:pPr>
        <w:ind w:left="1080" w:hanging="532"/>
        <w:spacing w:after="0" w:line="30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identifying and recommending candidates, consistent with criteria approved by the full board of directors, for nomination to be elected by shareholders at annual meetings and for approval of the board of directors to fill board vacancies as and when they arise between annual meetings, as well as putting in place short- and long-term succession plans for senior management and the CEO direct reports;</w:t>
      </w:r>
    </w:p>
    <w:p>
      <w:pPr>
        <w:spacing w:after="0" w:line="187"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and recommending to the full board of directors corporate governance guidelines applicable to the Company and keeping such guidelines under review;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overseeing self-evaluations conducted by the board of directors and its committees and overseeing evaluations of senior management; and</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corporate governance and nominating committee by the board of directors from time to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HSSE Committee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HSSE, committee consists of Messrs. Friedrich, Livanos and Westgarth, with Mr. Friedrich serving as the committee chairman. The HSSE committee is responsible for:</w:t>
      </w:r>
    </w:p>
    <w:p>
      <w:pPr>
        <w:spacing w:after="0" w:line="213"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the Company's top-level HSSE policies (including those relating to operational risks);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the Company's HSSE policies (including those relating to operational risks) on an annual basis and recommending changes to such policies to the Company's management team;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reports from management, evaluating the effectiveness of the Company's systems to achieve the established HSSE policies;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receiving reports from management relating to any serious accidents or fatalities and reviewing recommended actions to be taken by management in connection therewith;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overseeing whether the Company's HSSE policies take appropriate account of internal and external developments and expectations;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evaluating and overseeing the quality of reporting systems required by third parties on HSSE related matters;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assessing the systems within the Company for ensuring compliance with HSSE related laws, regulations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Independent Director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Houston, an independent director, currently serves as our senior independent director. Our senior independent director is responsible for:</w:t>
      </w:r>
    </w:p>
    <w:p>
      <w:pPr>
        <w:spacing w:after="0" w:line="262"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presiding at board and shareholder meetings if the Chairman of the board is absent;</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meeting with the other members of the board without the Chairman present on at least an annual basis in order to evaluate and appraise the performance of the Chairman;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chairing the corporate governance and nominating committee when considering succession to the role of the Chairman of the board;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chairing meetings of our independent directors;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acting as a liaison, if required, to facilitate communication between independent directors and our Chairman, Chief Executive Officer and any member of senior management;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performing such other functions as the board may direct or request from time to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Company.</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color w:val="auto"/>
        </w:rPr>
        <w:t>http://www.gaslogltd.com.</w:t>
      </w:r>
      <w:r>
        <w:rPr>
          <w:rFonts w:ascii="Arial" w:cs="Arial" w:eastAsia="Arial" w:hAnsi="Arial"/>
          <w:sz w:val="18"/>
          <w:szCs w:val="18"/>
          <w:color w:val="auto"/>
        </w:rPr>
        <w:t xml:space="preserve"> The information contained on or connected to our website is not a part of this annual report. We will also provide a paper copy of any of these documents upon the written request of a shareholder at no cost. Shareholders may direct their requests to the attention of our General Counsel, c/o GasLog Monaco S.A.M., Gildo Pastor Center, 7 Rue du Gabian, MC 98000, Monaco.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December 31, 2017, we had 184 full-time employees and contractors based in our offices in Greece, Monaco, London, New York, Singapore and the newbuildings site in South Korea. In addition to our shore-based employees and contractors, we had approximately 1,435 seafaring staff serving on our owned and managed ships. These seafarers are retained through crewing agencies based in Ukraine, the Philippines and Spain or, in the case of Greek seafarers, through direct hire. As we take delivery of our newbuildings, we expect to retain a significant number of additional seafarers qualified to staff and operate our new ships, as well as additional shore-based personnel. We intend to focus our seafarer hiring efforts in the Ukrainian, Philippine and Spanish markets, where we have crewing agency agreements in place, and in Greece.</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LNG marine transportation is a specialized area requiring technically skilled officers and personnel with specialized training. We regard attracting and retaining motivated, well-qualified seagoing and shore-based personnel as a top priority and we offer our people competitive compensation packages. In addition, we provide intensive onboard training for our officers and crew to instill a culture of the highest operational and safety standards. As a result, we have historically enjoyed high retention rates. In 2017, our retention rate was 96% for senior seagoing officers, 97% for other officers and 98% for shore staff.</w:t>
      </w:r>
    </w:p>
    <w:p>
      <w:pPr>
        <w:spacing w:after="0" w:line="16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has been increasing as the global fleet of LNG vessels continues to grow. This increased demand has, and may continue to, put inflationary cost pressure on ensuring qualified and well-trained crew are available to us. However, we expect that the impact of cost increases would be mitigated to some extent by certain provisions in our time charters, including automatic periodic adjustment provisions and cost review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regarding the beneficial ownership of our outstanding common shares as of February 26, 2018 held by:</w:t>
      </w:r>
    </w:p>
    <w:p>
      <w:pPr>
        <w:spacing w:after="0" w:line="262"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holder known to us to beneficially own 5.0% or more of our shares;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Beneficial ownership is determined in accordance with SEC rules. Percentage computations are based on 80,715,067 common shares outstanding as of February 26, 2018. Each issued and outstanding common share will entitle the shareholder to one vote. Information for certain holders is based on their latest filings with the SEC or information delivered to us. Except as noted below, the address of all shareholders, officers and directors identified in the table and the accompanying footnotes below is in care of our principal executive offices.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61"/>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9"/>
        </w:trPr>
        <w:tc>
          <w:tcPr>
            <w:tcW w:w="6140" w:type="dxa"/>
            <w:vAlign w:val="bottom"/>
            <w:gridSpan w:val="3"/>
            <w:vMerge w:val="continue"/>
          </w:tcPr>
          <w:p>
            <w:pPr>
              <w:spacing w:after="0"/>
              <w:rPr>
                <w:sz w:val="12"/>
                <w:szCs w:val="12"/>
                <w:color w:val="auto"/>
              </w:rPr>
            </w:pPr>
          </w:p>
        </w:tc>
        <w:tc>
          <w:tcPr>
            <w:tcW w:w="9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88"/>
              </w:rPr>
              <w:t>Directors and officers</w:t>
            </w:r>
          </w:p>
        </w:tc>
        <w:tc>
          <w:tcPr>
            <w:tcW w:w="462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140" w:type="dxa"/>
            <w:vAlign w:val="bottom"/>
            <w:gridSpan w:val="3"/>
          </w:tcPr>
          <w:p>
            <w:pPr>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32,387,546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A. Wogan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Bruce L. Blythe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P. Conner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William M. Friedrich</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M. Houston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Donald J. Kintzer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Alastair J.C. Maxwell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Julian R. Metherell</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S. Papadimitriou</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Richard Sadler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Graham Westgarth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33,362,459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5.0% beneficial owners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40" w:type="dxa"/>
            <w:vAlign w:val="bottom"/>
            <w:gridSpan w:val="3"/>
          </w:tcPr>
          <w:p>
            <w:pPr>
              <w:spacing w:after="0" w:line="256" w:lineRule="exact"/>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6,987,004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61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Fairview Capital Investment Management, LLC</w:t>
            </w:r>
            <w:r>
              <w:rPr>
                <w:rFonts w:ascii="Arial" w:cs="Arial" w:eastAsia="Arial" w:hAnsi="Arial"/>
                <w:sz w:val="29"/>
                <w:szCs w:val="29"/>
                <w:color w:val="auto"/>
                <w:vertAlign w:val="superscript"/>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(4)</w:t>
            </w:r>
          </w:p>
        </w:tc>
        <w:tc>
          <w:tcPr>
            <w:tcW w:w="40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6,468,419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line="265" w:lineRule="auto"/>
        <w:tabs>
          <w:tab w:leader="none" w:pos="2260" w:val="left"/>
        </w:tabs>
        <w:numPr>
          <w:ilvl w:val="0"/>
          <w:numId w:val="68"/>
        </w:numPr>
        <w:rPr>
          <w:rFonts w:ascii="Arial" w:cs="Arial" w:eastAsia="Arial" w:hAnsi="Arial"/>
          <w:sz w:val="10"/>
          <w:szCs w:val="10"/>
          <w:color w:val="auto"/>
        </w:rPr>
      </w:pPr>
      <w:r>
        <w:rPr>
          <w:rFonts w:ascii="Arial" w:cs="Arial" w:eastAsia="Arial" w:hAnsi="Arial"/>
          <w:sz w:val="12"/>
          <w:szCs w:val="12"/>
          <w:color w:val="auto"/>
        </w:rPr>
        <w:t>By virtue of common shares held (a) directly, (b) indirectly through Blenheim Holdings,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w:t>
      </w:r>
    </w:p>
    <w:p>
      <w:pPr>
        <w:ind w:left="2260" w:right="260"/>
        <w:spacing w:after="0" w:line="277" w:lineRule="auto"/>
        <w:rPr>
          <w:rFonts w:ascii="Arial" w:cs="Arial" w:eastAsia="Arial" w:hAnsi="Arial"/>
          <w:sz w:val="10"/>
          <w:szCs w:val="10"/>
          <w:color w:val="auto"/>
        </w:rPr>
      </w:pPr>
      <w:r>
        <w:rPr>
          <w:rFonts w:ascii="Arial" w:cs="Arial" w:eastAsia="Arial" w:hAnsi="Arial"/>
          <w:sz w:val="12"/>
          <w:szCs w:val="12"/>
          <w:color w:val="auto"/>
        </w:rPr>
        <w:t>Mr. Livanos can effectively control the Company through direct and indirect ownership interests. Mr. Livanos's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w:t>
      </w:r>
    </w:p>
    <w:p>
      <w:pPr>
        <w:spacing w:after="0" w:line="90" w:lineRule="exact"/>
        <w:rPr>
          <w:rFonts w:ascii="Arial" w:cs="Arial" w:eastAsia="Arial" w:hAnsi="Arial"/>
          <w:sz w:val="10"/>
          <w:szCs w:val="10"/>
          <w:color w:val="auto"/>
        </w:rPr>
      </w:pPr>
    </w:p>
    <w:p>
      <w:pPr>
        <w:ind w:left="2260" w:right="80" w:hanging="540"/>
        <w:spacing w:after="0" w:line="233" w:lineRule="auto"/>
        <w:tabs>
          <w:tab w:leader="none" w:pos="2260" w:val="left"/>
        </w:tabs>
        <w:numPr>
          <w:ilvl w:val="0"/>
          <w:numId w:val="68"/>
        </w:numPr>
        <w:rPr>
          <w:rFonts w:ascii="Arial" w:cs="Arial" w:eastAsia="Arial" w:hAnsi="Arial"/>
          <w:sz w:val="11"/>
          <w:szCs w:val="11"/>
          <w:color w:val="auto"/>
        </w:rPr>
      </w:pPr>
      <w:r>
        <w:rPr>
          <w:rFonts w:ascii="Arial" w:cs="Arial" w:eastAsia="Arial" w:hAnsi="Arial"/>
          <w:sz w:val="14"/>
          <w:szCs w:val="14"/>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220" w:hanging="540"/>
        <w:spacing w:after="0" w:line="318" w:lineRule="auto"/>
        <w:tabs>
          <w:tab w:leader="none" w:pos="2260" w:val="left"/>
        </w:tabs>
        <w:numPr>
          <w:ilvl w:val="0"/>
          <w:numId w:val="69"/>
        </w:numPr>
        <w:rPr>
          <w:rFonts w:ascii="Arial" w:cs="Arial" w:eastAsia="Arial" w:hAnsi="Arial"/>
          <w:sz w:val="10"/>
          <w:szCs w:val="10"/>
          <w:color w:val="auto"/>
        </w:rPr>
      </w:pPr>
      <w:r>
        <w:rPr>
          <w:rFonts w:ascii="Arial" w:cs="Arial" w:eastAsia="Arial" w:hAnsi="Arial"/>
          <w:sz w:val="12"/>
          <w:szCs w:val="12"/>
          <w:color w:val="auto"/>
        </w:rPr>
        <w:t>Based on information contained in the Schedule 13G filed with the SEC on February 9, 2018, Fairview Capital Investment Management, LLC has shared voting and dispositive power over 4,000,000 common shares with Fairview Capital, Andrew F. Mathieson, Scott W. Clark and Darlington Partners L.P.</w:t>
      </w:r>
    </w:p>
    <w:p>
      <w:pPr>
        <w:spacing w:after="0" w:line="66" w:lineRule="exact"/>
        <w:rPr>
          <w:rFonts w:ascii="Arial" w:cs="Arial" w:eastAsia="Arial" w:hAnsi="Arial"/>
          <w:sz w:val="10"/>
          <w:szCs w:val="10"/>
          <w:color w:val="auto"/>
        </w:rPr>
      </w:pPr>
    </w:p>
    <w:p>
      <w:pPr>
        <w:ind w:left="2260" w:hanging="540"/>
        <w:spacing w:after="0"/>
        <w:tabs>
          <w:tab w:leader="none" w:pos="2260" w:val="left"/>
        </w:tabs>
        <w:numPr>
          <w:ilvl w:val="0"/>
          <w:numId w:val="69"/>
        </w:numPr>
        <w:rPr>
          <w:rFonts w:ascii="Arial" w:cs="Arial" w:eastAsia="Arial" w:hAnsi="Arial"/>
          <w:sz w:val="11"/>
          <w:szCs w:val="11"/>
          <w:color w:val="auto"/>
        </w:rPr>
      </w:pPr>
      <w:r>
        <w:rPr>
          <w:rFonts w:ascii="Arial" w:cs="Arial" w:eastAsia="Arial" w:hAnsi="Arial"/>
          <w:sz w:val="14"/>
          <w:szCs w:val="14"/>
          <w:color w:val="auto"/>
        </w:rPr>
        <w:t>Based on information contained in the Schedule 13G filed with the SEC on February 13, 2018.</w:t>
      </w:r>
    </w:p>
    <w:p>
      <w:pPr>
        <w:spacing w:after="0" w:line="123" w:lineRule="exact"/>
        <w:rPr>
          <w:sz w:val="20"/>
          <w:szCs w:val="20"/>
          <w:color w:val="auto"/>
        </w:rPr>
      </w:pPr>
    </w:p>
    <w:p>
      <w:pPr>
        <w:ind w:left="2260" w:hanging="540"/>
        <w:spacing w:after="0"/>
        <w:tabs>
          <w:tab w:leader="none" w:pos="22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206" w:lineRule="exact"/>
        <w:rPr>
          <w:sz w:val="20"/>
          <w:szCs w:val="20"/>
          <w:color w:val="auto"/>
        </w:rPr>
      </w:pPr>
    </w:p>
    <w:p>
      <w:pPr>
        <w:ind w:right="840" w:firstLine="351"/>
        <w:spacing w:after="0" w:line="332" w:lineRule="auto"/>
        <w:rPr>
          <w:sz w:val="20"/>
          <w:szCs w:val="20"/>
          <w:color w:val="auto"/>
        </w:rPr>
      </w:pPr>
      <w:r>
        <w:rPr>
          <w:rFonts w:ascii="Arial" w:cs="Arial" w:eastAsia="Arial" w:hAnsi="Arial"/>
          <w:sz w:val="16"/>
          <w:szCs w:val="16"/>
          <w:color w:val="auto"/>
        </w:rPr>
        <w:t>In March 2012, we completed a registered public offering of our common shares and our common shares began trading on the NYSE. Our major shareholders have the same voting rights as our other shareholders. As of February 16, 2018, we had approximately 12,118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GasLog Partners</w:t>
      </w:r>
    </w:p>
    <w:p>
      <w:pPr>
        <w:spacing w:after="0" w:line="231"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GasLog Partners was formed by us in January 2014 to own, operate and acquire LNG carriers engaged in LNG transportation under long-term charters, which we define as charters of five full years or more. In May 2014, the Partnership completed its initial public offering and its common units began trading on the NYSE. The Partnership conducts its operations through its vessel-owning subsidiaries and as of February 26, 2018, had a fleet of 12 LNG carriers. As of February 26, 2018, we hold a 25.9% interest in the Partnership and, as a result of our ownership of the general partner and the fact that the general partner elects the majority of the Partnership's directors in accordance with the Partnership Agreement, we have the ability to control the Partnership's affairs and policies.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Cash Dividends</w:t>
      </w:r>
    </w:p>
    <w:p>
      <w:pPr>
        <w:spacing w:after="0" w:line="225"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are entitled to distributions on our general and limited partner interests in GasLog Partners. These interests consist of common units, incentive distribution rights and general partner interests.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the minimum quarterly distribution is $0.375 per unit or $1.50 per unit on an annualized basis.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currently hold all of the incentive distribution rights in GasLog Partners. Incentive distribution rights represent the right to receive an increasing percentage of quarterly distributions of available cash from operating surplus after the minimum quarterly distribution and the target distribution levels have been achieved.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20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GasLog Partners has distributed available cash from operating surplus to the common unitholders in an amount equal to the minimum quarterly distribution; and</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GasLog Partners has distributed available cash from operating surplus on outstanding common units in an amount necessary to eliminate any cumulative arrearages in payment of the minimum quarterly distribution;</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then GasLog Partners will distribute any additional available cash from operating surplus for that quarter among the unitholders and the general partner in the following manner:</w:t>
      </w:r>
    </w:p>
    <w:p>
      <w:pPr>
        <w:spacing w:after="0" w:line="199" w:lineRule="exact"/>
        <w:rPr>
          <w:sz w:val="20"/>
          <w:szCs w:val="20"/>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first, 98.0% to all common unitholders, pro rata, and 2.0% to the general partner, until each unitholder receives a total of $0.43125 per unit for that quarter;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second, 85.0% to all common unitholders, pro rata, 2.0% to the general partner and 13.0% to the holders of the incentive distribution rights, pro rata, until each unitholder receives a total of $0.46875 per unit for that quarter;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third, 75.0% to all common unitholders, pro rata, 2.0% to the general partner and 23.0% to the holders of the incentive distribution rights, pro rata, until each unitholder receives a total of $0.5625 per unit for that quarter;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thereafter, 50.0% to all common unitholders, pro rata, 2.0% to the general partner and 48.0% to the holders of the incentive distribution rights, pro rata.</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the general partner maintains its 2.0% general partner interest and that the Partnership does not issue additional classes of equity securities.</w:t>
      </w:r>
    </w:p>
    <w:p>
      <w:pPr>
        <w:spacing w:after="0" w:line="194"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As holder of the 2.0% general partner interest in GasLog Partners, we are entitled to 2.0% of all distributions made by GasLog Partners prior to its liquidation. The general partner, our wholly owned subsidiary, has the right, but not the obligation, to contribute a proportionate amount of capital to GasLog Partners to maintain its 2.0% general partner interest if the Partnership issues additional units.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received total distributions from GasLog Partners of $24.4 million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May 12, 2014, we entered into an omnibus agreement with GasLog Partners and certain of its subsidiaries. The following discussion describes certain provisions of the omnibus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Noncompetition; Five-Year Vessel Restricted Business Opportunities</w:t>
      </w:r>
    </w:p>
    <w:p>
      <w:pPr>
        <w:spacing w:after="0" w:line="225"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Under the omnibus agreement, we have agreed, and have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days after the consummation of the acquisition or the commencement of the operations or charter of such a vessel, notifying and offering GasLog Partners the opportunity to purchase such a vessel at fair market value. For purposes of this section, we refer to these vessels, together with any related charters, as "Five-Year Vessels" and to all other LNG carriers, together with any related charters, as "Non-Five-Year Vessels". The restrictions in this paragraph will not prevent us or any of our controlled affiliates (other than GasLog Partners and its subsidiaries) from:</w:t>
      </w:r>
    </w:p>
    <w:p>
      <w:pPr>
        <w:spacing w:after="0" w:line="172"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acquiring, owning, operating or chartering Non-Five-Year Vessels;</w:t>
      </w:r>
    </w:p>
    <w:p>
      <w:pPr>
        <w:spacing w:after="0" w:line="238"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acquiring one or more Five-Year Vessels if we promptly offer to sell the vessel to GasLog Partners for the acquisition price plus any administrative costs (including re-flagging and reasonable legal costs) associated with the transfer to GasLog Partners at the time of the acquisition;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putting a Non-Five-Year Vessel under charter for five full years or more if we offer to sell the vessel to GasLog Partners for fair market value</w:t>
      </w:r>
    </w:p>
    <w:p>
      <w:pPr>
        <w:spacing w:after="0" w:line="38" w:lineRule="exact"/>
        <w:rPr>
          <w:rFonts w:ascii="Arial" w:cs="Arial" w:eastAsia="Arial" w:hAnsi="Arial"/>
          <w:sz w:val="16"/>
          <w:szCs w:val="16"/>
          <w:color w:val="auto"/>
        </w:rPr>
      </w:pPr>
    </w:p>
    <w:p>
      <w:pPr>
        <w:ind w:left="1340" w:hanging="252"/>
        <w:spacing w:after="0"/>
        <w:tabs>
          <w:tab w:leader="none" w:pos="13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promptly after the time it becomes a Five-Year Vessel and (y) at each renewal or extension of that charter for five full years or more;</w:t>
      </w:r>
    </w:p>
    <w:p>
      <w:pPr>
        <w:spacing w:after="0" w:line="25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Five-Year Vessels, as determined in good faith by our board of directors, we must offer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240"/>
        <w:spacing w:after="0" w:line="332" w:lineRule="auto"/>
        <w:rPr>
          <w:sz w:val="20"/>
          <w:szCs w:val="20"/>
          <w:color w:val="auto"/>
        </w:rPr>
      </w:pPr>
      <w:r>
        <w:rPr>
          <w:rFonts w:ascii="Arial" w:cs="Arial" w:eastAsia="Arial" w:hAnsi="Arial"/>
          <w:sz w:val="16"/>
          <w:szCs w:val="16"/>
          <w:color w:val="auto"/>
        </w:rPr>
        <w:t>sell such vessels to GasLog Partners for their fair market value plus any additional tax or other similar costs that we incur in connection with the acquisition and the transfer of such vessels to GasLog Partners separate from the acquired business; and</w:t>
      </w:r>
    </w:p>
    <w:p>
      <w:pPr>
        <w:spacing w:after="0" w:line="153" w:lineRule="exact"/>
        <w:rPr>
          <w:sz w:val="20"/>
          <w:szCs w:val="20"/>
          <w:color w:val="auto"/>
        </w:rPr>
      </w:pPr>
    </w:p>
    <w:p>
      <w:pPr>
        <w:ind w:left="1620" w:right="60" w:hanging="532"/>
        <w:spacing w:after="0" w:line="294" w:lineRule="auto"/>
        <w:tabs>
          <w:tab w:leader="none" w:pos="16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Five-Year Vessels, as determined in good faith by our board of directors, we must notify GasLog Partners of the proposed acquisition in advance. Not later than 30 days following receipt of such notice, GasLog Partners will notify us if it wishes to acquire such vessels in cooperation and simultaneously with us acquiring the Non-Five-Year Vessels. If GasLog Partners does not notify us of its intent to pursue the acquisition within 30 days, we may proceed with the acquisition and then offer to sell such vessels to GasLog Partners as provided in (a) above;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a non-controlling equity ownership, voting or profit participation interest in any company, business or pool of assets;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GasLog Partners does not fulfill its obligation to purchase such vessel in accordance with the terms of any existing or future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acquiring, owning, operating or chartering a Five-Year Vessel subject to the offers to GasLog Partners described in paragraphs (2), (3) and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(4) above pending its determination whether to accept such offers and pending the closing of any offers it accepts;</w:t>
      </w:r>
    </w:p>
    <w:p>
      <w:pPr>
        <w:spacing w:after="0" w:line="245"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owning or operating any Five-Year Vessel that we owned on the closing date of GasLog Partners' IPO and that was not part of its fleet as of such date; or</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GasLog Partners has previously advised us that it consents to such acquisition, ownership, operation or charter.</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If we or any of our controlled affiliates (other than GasLog Partners, its general partner or its subsidiaries) acquires, owns, operates or charters Five-Year Vessels pursuant to any of the exceptions described above, we may not subsequently expand that portion of our business other than pursuant to those exceptions. However, such Five-Year Vessels could eventually compete with GasLog Partners' vessels upon their re-chartering.</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under the omnibus agreement GasLog Partners has agreed, and has caused its subsidiaries to agree, to acquire, own, operate or charter Five-Year Vessels only. The restrictions in this paragraph will not:</w:t>
      </w:r>
    </w:p>
    <w:p>
      <w:pPr>
        <w:spacing w:after="0" w:line="213" w:lineRule="exact"/>
        <w:rPr>
          <w:sz w:val="20"/>
          <w:szCs w:val="20"/>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owning, operating or chartering any Non-Five-Year Vessel that was previously a Five-Year Vessel while owned by GasLog Partners or any of its subsidiaries;</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prevent GasLog Partners or any of its subsidiaries from acquiring Non-Five-Year Vessels as part of the acquisition of a controlling interest in a business or package of assets and owning, operating or chartering those vessels; provided, however, that:</w:t>
      </w:r>
    </w:p>
    <w:p>
      <w:pPr>
        <w:spacing w:after="0" w:line="368" w:lineRule="exact"/>
        <w:rPr>
          <w:rFonts w:ascii="Arial" w:cs="Arial" w:eastAsia="Arial" w:hAnsi="Arial"/>
          <w:sz w:val="16"/>
          <w:szCs w:val="16"/>
          <w:color w:val="auto"/>
        </w:rPr>
      </w:pPr>
    </w:p>
    <w:p>
      <w:pPr>
        <w:ind w:left="1620" w:right="80" w:hanging="532"/>
        <w:spacing w:after="0" w:line="256" w:lineRule="auto"/>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Non-Five-Year Vessels, as determined in good faith by GasLog Partners, the Partnership must offer to sell such vessels to us for their fair market value plus any additional tax or other similar costs that GasLog Partners incurs in connection with the acquisition and the transfer of such vessels to us separate from the acquired business;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532"/>
        <w:spacing w:after="0" w:line="294" w:lineRule="auto"/>
        <w:tabs>
          <w:tab w:leader="none" w:pos="16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Non-Five-Year Vessels, as determined in good faith by GasLog Partners, the Partnership must notify us of the proposed acquisition in advance. Not later than 30 days following receipt of such notice, we must notify GasLog Partners if we wish to acquire the Non-Five-Year Vessels in cooperation and simultaneously with GasLog Partners acquiring the Five-Year Vessels. If we do not notify GasLog Partners of our intent to pursue the acquisition within 30 days, the Partnership may proceed with the acquisition and then offer to sell such vessels to us as provided in (a) above;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jc w:val="both"/>
        <w:ind w:left="1080" w:right="100" w:hanging="532"/>
        <w:spacing w:after="0" w:line="370" w:lineRule="auto"/>
        <w:tabs>
          <w:tab w:leader="none" w:pos="10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prevent GasLog Partners or any of its subsidiaries from acquiring, owning, operating or chartering any Non-Five-Year Vessels subject to the offer to us described in paragraph (2) above, pending our determination whether to accept such offer and pending the closing of any offer we accept; or</w:t>
      </w:r>
    </w:p>
    <w:p>
      <w:pPr>
        <w:spacing w:after="0" w:line="129" w:lineRule="exact"/>
        <w:rPr>
          <w:rFonts w:ascii="Arial" w:cs="Arial" w:eastAsia="Arial" w:hAnsi="Arial"/>
          <w:sz w:val="15"/>
          <w:szCs w:val="15"/>
          <w:color w:val="auto"/>
        </w:rPr>
      </w:pPr>
    </w:p>
    <w:p>
      <w:pPr>
        <w:ind w:left="1080" w:right="2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acquiring, owning, operating or chartering Non-Five-Year Vessels if we have previously advised the Partnership that we consent to such acquisition, ownership, operation or charter.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GasLog Partners or any of its subsidiaries acquires, owns, operates or charters Non-Five-Year Vessels pursuant to any of the exceptions described above, neither the Partnership nor any subsidiary may subsequently expand that portion of its business other than pursuant to those exceptions.</w:t>
      </w:r>
    </w:p>
    <w:p>
      <w:pPr>
        <w:spacing w:after="0" w:line="13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30-day period after our notice and offer of an opportunity to purchase a Five-Year Vessel, we and GasLog Partners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GasLog Partners will have the option, but not the obligation, to purchase the relevant vessel on such terms. GasLog Partners' ability to consummate the acquisition of such Five-Year Vessel from us will be subject to obtaining any consents of governmental authorities and other non-affiliated third parties and to all agreements existing with respect to such Five-Year Vessel. Under the omnibus agreement, we will indemnify GasLog Partners against losses arising from the failure to obtain any consent or governmental permit necessary to own or operate the fleet in substantially the same manner that the vessels were owned and operated by us immediately prior to the Partnership's acquisition of such vessels. See "—Indemnification".</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Upon a change of control of GasLog Partners or its general partner, the noncompetition provisions of the omnibus agreement will terminate immediately. Upon a change of control of GasLog, the noncompetition provisions of the omnibus agreement applicable to us will terminate at the time that is the later of the date of the change of control and the date on which all of our outstanding subordinated units have converted to common units. 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noncompetition provisions applicable to us shall terminate immediately.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LNG Carrier Purchase Options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within 36 months after we notify the Partnership's board of directors of the vessel's acceptance by her charterer, (ii)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GAS-twenty six Ltd. with its long-term bareboat charter of (and the right to acquire)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(which is subject to a multi-year charter to MSL) within 36 months after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completion of their acquisition by GasLog on March 31, 2015, which options will expire in March 2018 if not extended and (iii)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we notify the Partnership's board of directors of the vessel's acceptance by her charterer. In addition, on April 21, 2015, we signed an agreement with MSL for newbuildings Hull No. 2130 and Hull No. 2131 to be chartered to MSL upon deliveries in 2018 and 2019, respectively, for average initial terms of approximately 9.5 years. Within 30 days of the commencement of each charter, we will be required to offer GasLog Partners an opportunity to purchase each vessel at fair market value as determined pursuant to the omnibus agreement.</w:t>
      </w:r>
    </w:p>
    <w:p>
      <w:pPr>
        <w:spacing w:after="0" w:line="17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July 11, 2016, we signed an agreement with Total for Hull No. 2801 to be chartered to Total upon delivery in 2018 for an initial term of seven years. Within 30 days of the commencement of the charter, we will be required to offer GasLog Partners the opportunity to purchase the vessel at fair market value as determined pursuant to the omnibus agreement.</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October 20, 2016, we signed an agreement with Centrica for newbuilding Hull No. 2212 to be chartered to Centrica upon delivery in 2019 for an initial term of seven years. However, we have amended the shipbuilding contract for newbuilding Hull No. 2212, such that it becomes the GasLog uncommitted vessel, a 180,000 cbm GTT Mark III Flex Plus, to be delivered on or before July 31, 2019. Newbuilding Hull No. 2213 was ordered in January 2018 and becomes the committed Centrica vessel, a 180,000 cbm GT Mark III Flex, to be delivered on or before April 1, 2020. Within 30 days of the commencement of the charter of Hull No. 2213, we will be required to offer GasLog Partners the opportunity to purchase the vessel at fair market value as determined pursuant to the omnibus agreement.</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each case, GasLog Partners' option to purchase is at fair market value as determined pursuant to the omnibus agreement. If we and GasLog Partners are unable to agree upon the fair market value of any of these optional vessels, the respective fair market values will be determined by a mutually acceptable investment banking firm, ship broker or other expert advisor, and GasLog Partners will have the right, but not the obligation, to purchase the vessel at such price. GasLog Partners' ability to consummate the acquisition of such vessels from us will be subject to obtaining any consents of governmental authorities and other non-affiliated third parties and to all agreements existing as of the closing date in respect of such vessels.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LNG carrier purchase options shall terminate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omnibus agreement, we and our subsidiaries have granted to GasLog Partners a right of first offer on any proposed sale, transfer or other disposition of any Five-Year Vessels or Non-Five-Year Vessels owned by us. Under the omnibus agreement, GasLog Partners and its subsidiaries have agreed to grant a similar right of first offer to us for any Five-Year Vessels they might own. These rights of first offer will not apply to a (i) sale, transfer or other disposition of vessels between any affiliated subsidiaries or pursuant to the terms of any current or future charter or other agreement with a charter party or (ii) merger with or into, or sale of substantially all of the assets to, an unaffiliated third party.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Partners, as the case may be, will deliver a written notice to the other relevant party setting forth the material terms and conditions of the proposed transaction. During the 30-day period after the delivery of such notice, we and GasLog Partners, as the case may be, will negotiate in good faith to reach an agreement on the transaction. If we do not reach an agreement within such 30-day period, we or GasLog Partners, as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case may be, will be able within the next 180 calendar days to sell, transfer, dispose or re-charter the vessel to a third party (or to agree in writing to undertake such transaction with a third party) on terms generally no less favorable to us or GasLog Partners, as the case may be, than those offered pursuant to the written notice. Our ability to consummate the acquisition of such Five-Year Vessel from GasLog Partners will be subject to obtaining any consents of governmental authorities and other non-affiliated third parties and to all agreements existing in respect of such Five-Year Vessel.</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Upon a change of control of GasLog Partners or its general partner, the right of first offer provisions of the omnibus agreement will terminate immediately. Upon a change of control of us, the right of first offer provisions applicable to GasLog under the omnibus agreement will terminate at the time that is the later of the date of the change of control and the date on which all of GasLog Partners' outstanding subordinated units have converted to common units. On the date on which a majority of GasLog Partners' directors ceases to consist of directors that were (i) appointed by the Partnership's general partner prior to its first annual meeting of unitholders and (ii) recommended for election by a majority of the Partnership's appointed directors, the provisions related to the rights of first offer granted to the Partnership by us shall terminate immediately.</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us or our affiliates with respect to the general partner, being or becoming the "beneficial owner" (as defined in Rules 13d-3 and 13d-5 under the Exchange Act) of more than 50.0% of all of the then outstanding voting securities of the applicable person, except in a merger or consolidation which would not constitute a change of control under clause (b)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omnibus agreement, we will indemnify GasLog Partners after the closing of its IPO for a period of five years (and we will indemnify the Partnership for a period of at least three years after its purchase of any vessels subject to purchase options, if applicable) against certain environmental and toxic tort liabilities with respect to the vessels that are contributed or sold to the Partnership to the extent arising prior to the time such vessels were contributed or sold to the Partnership. Liabilities resulting from a change in law after the closing of the IPO are excluded from the environmental indemnity. There is an aggregate cap of $5 million on the amount of indemnity coverage provided by us for environmental and toxic tort liabilities. No claim may be made unless the aggregate dollar amount of all claims exceeds $500,000, in which case we are liable for claims only to the extent such aggregate amount exceeds $500,000.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also indemnify GasLog Partners for liabilities related to:</w:t>
      </w:r>
    </w:p>
    <w:p>
      <w:pPr>
        <w:spacing w:after="0" w:line="239" w:lineRule="exact"/>
        <w:rPr>
          <w:sz w:val="20"/>
          <w:szCs w:val="20"/>
          <w:color w:val="auto"/>
        </w:rPr>
      </w:pPr>
    </w:p>
    <w:p>
      <w:pPr>
        <w:ind w:left="1080" w:right="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defects in title to GasLog Partners' initial fleet and any failure to obtain, prior to the time they were contributed to the Partnership, certain consents and permits necessary to conduct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Partnership's business, which liabilities arise within three years after the closing of the Partnership's IPO; and</w:t>
      </w:r>
    </w:p>
    <w:p>
      <w:pPr>
        <w:spacing w:after="0" w:line="23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certain tax liabilities attributable to the operation of the assets contributed or sold to the Partnership prior to the time they were contributed or sold.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 Agreement</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5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32" w:lineRule="exact"/>
        <w:rPr>
          <w:rFonts w:ascii="Arial" w:cs="Arial" w:eastAsia="Arial" w:hAnsi="Arial"/>
          <w:sz w:val="16"/>
          <w:szCs w:val="16"/>
          <w:color w:val="auto"/>
        </w:rPr>
      </w:pPr>
    </w:p>
    <w:p>
      <w:pPr>
        <w:ind w:left="1080" w:right="80" w:hanging="532"/>
        <w:spacing w:after="0" w:line="29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16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99" w:lineRule="exact"/>
        <w:rPr>
          <w:sz w:val="20"/>
          <w:szCs w:val="20"/>
          <w:color w:val="auto"/>
        </w:rPr>
      </w:pPr>
    </w:p>
    <w:p>
      <w:pPr>
        <w:ind w:left="1080" w:right="100" w:hanging="532"/>
        <w:spacing w:after="0" w:line="33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pursuant to any transfer by Blenheim Holdings to its shareholders (including any division of the ownership interests in Blenheim Holdings of Mr. Livanos), provided that the transferee or transferees agree to be bound by the share transfer restrictions of the restrictive covenant agreement;</w:t>
      </w:r>
    </w:p>
    <w:p>
      <w:pPr>
        <w:spacing w:after="0" w:line="166"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On April 4, 2012, we entered into a registration rights agreement with certain of our shareholders,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for a concurrent private placement of 2,317,460 common shares at a price of $15.75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Space and Related Arrangements</w:t>
      </w:r>
    </w:p>
    <w:p>
      <w:pPr>
        <w:spacing w:after="0" w:line="231"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13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Egypt LNG</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have a 25.0% ownership interest in Egypt LNG, whose principal asset is the LNG carrier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which is currently operating under a 20-year time charter with a subsidiary of Shell. Through our subsidiary GasLog LNG Services, we supervised the construction of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which was delivered from the shipyard in 2007. Pursuant to a ship management agreement between GasLog LNG Services and Egypt LNG, the vessel has operated under our technical management since its delivery. From January 1, 2017 to December 31, 2017, we received a total of approximately $0.8 million in revenues from Egypt LNG in respect of our vessel management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GasLog entered into a consulting agreement with Unisea Maritime Ltd. ("Unisea"), an entity controlled by the Livanos family, in consideration of the consulting services performed by Unisea in respect of the sale and leaseback transaction for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GasLog agreed to pay a brokerage commission fee equal to 0.25% of the agreed charter rates under the sale and leaseback transaction plus reasonable expenses (in line with the Company's policies). The brokerage commission fee was paid in advance for the full 20-year period of the bareboat charter, discounted to the date of the agreement at an annual discount rate of 7.5%.</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GasLog entered into a consulting agreement for the services of an employee of Ceres Monaco S.A.M, an entity controlled by the Livanos family, for consultancy services in connection with the acquisition of GasLog's shareholding in Gastrade. GasLog agreed to pay a fixed fee for work carried out between May 1, 2016 and December 31, 2017 in the sum of $100,000 and an ongoing consultancy arrangement fee of $12,000 per month for a minimum of 12 days per month, terminable upon notice by GasLog.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 description of additional related party transactions, see Note 20 to our consolidated financial statements included elsewhere in this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and Approval of Related Party Transactions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these claims would be covered by insurance, subject to customary deductibles. However, those claims, even if lacking merit, could result in the expenditure of significant financial and managerial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 Dividend Requirements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Dividends on Preference Shares are payable quarterly on each of January 1, April 1, July 1 and October 1, or the next succeeding business day, as and if declared by our board of directors out of</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legally available funds for such purpose. The dividend rate for the Preference Shares is 8.75% per annum per $25.00 of liquidation preference per share (equal to $2.18750 per annum per share). The dividend rates are not subject to adjustment. We paid dividends to holders of our Preference Shares of $0.546875 per share on, January 3, 2017, April 3, 2017, July 3, 2017, October 2, 2017 and January 2, 2018. Our Preference Shares dividend payment obligations impact our future liquidity needs.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Dividend Policy</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Dividend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execute our business plan going forward. The declaration and payment of any dividend is subject to the discretion of our board of directors and the requirements of Bermuda law. In addition, certain of our credit facilities impose limitations on our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Factors—Risks Related to Our Business" for a discussion of risks related to our ability to pay dividends.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Set out below is a table showing the dividends declared on our common shares in 2012, 2013, 2014, 2015, 2016 and 2017 and on our Preference Shares in 2015, 2016 and 2017.</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62"/>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8"/>
          </w:tcPr>
          <w:p>
            <w:pPr>
              <w:ind w:left="40"/>
              <w:spacing w:after="0" w:line="129" w:lineRule="exact"/>
              <w:rPr>
                <w:sz w:val="20"/>
                <w:szCs w:val="20"/>
                <w:color w:val="auto"/>
              </w:rPr>
            </w:pPr>
            <w:r>
              <w:rPr>
                <w:rFonts w:ascii="Arial" w:cs="Arial" w:eastAsia="Arial" w:hAnsi="Arial"/>
                <w:sz w:val="14"/>
                <w:szCs w:val="14"/>
                <w:b w:val="1"/>
                <w:bCs w:val="1"/>
                <w:color w:val="auto"/>
              </w:rPr>
              <w:t>(Expressed in millions of U.S.</w:t>
            </w: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dollars)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Common share dividend declared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Preference share dividend declared</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Statements—Note 29. Subsequent Events" below.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New York Stock Exchange</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Since our IPO in the United States in 2012, our common shares have been listed on the NYSE under the symbol "GLOG". The following table shows the high and low closing sales prices for our common shares during the indicated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80" w:type="dxa"/>
            <w:vAlign w:val="bottom"/>
            <w:gridSpan w:val="5"/>
          </w:tcPr>
          <w:p>
            <w:pPr>
              <w:ind w:left="340"/>
              <w:spacing w:after="0"/>
              <w:rPr>
                <w:sz w:val="20"/>
                <w:szCs w:val="20"/>
                <w:color w:val="auto"/>
              </w:rPr>
            </w:pPr>
            <w:r>
              <w:rPr>
                <w:rFonts w:ascii="Arial" w:cs="Arial" w:eastAsia="Arial" w:hAnsi="Arial"/>
                <w:sz w:val="14"/>
                <w:szCs w:val="14"/>
                <w:b w:val="1"/>
                <w:bCs w:val="1"/>
                <w:color w:val="auto"/>
              </w:rPr>
              <w:t>Price Range</w:t>
            </w: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Low</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17.41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11.93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620" w:type="dxa"/>
            <w:vAlign w:val="bottom"/>
          </w:tcPr>
          <w:p>
            <w:pPr>
              <w:jc w:val="right"/>
              <w:spacing w:after="0"/>
              <w:rPr>
                <w:sz w:val="20"/>
                <w:szCs w:val="20"/>
                <w:color w:val="auto"/>
              </w:rPr>
            </w:pPr>
            <w:r>
              <w:rPr>
                <w:rFonts w:ascii="Arial" w:cs="Arial" w:eastAsia="Arial" w:hAnsi="Arial"/>
                <w:sz w:val="18"/>
                <w:szCs w:val="18"/>
                <w:color w:val="auto"/>
              </w:rPr>
              <w:t>31.89</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15.95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620" w:type="dxa"/>
            <w:vAlign w:val="bottom"/>
          </w:tcPr>
          <w:p>
            <w:pPr>
              <w:jc w:val="right"/>
              <w:spacing w:after="0"/>
              <w:rPr>
                <w:sz w:val="20"/>
                <w:szCs w:val="20"/>
                <w:color w:val="auto"/>
              </w:rPr>
            </w:pPr>
            <w:r>
              <w:rPr>
                <w:rFonts w:ascii="Arial" w:cs="Arial" w:eastAsia="Arial" w:hAnsi="Arial"/>
                <w:sz w:val="18"/>
                <w:szCs w:val="18"/>
                <w:color w:val="auto"/>
              </w:rPr>
              <w:t>17.05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5.78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First Quarter 2016</w:t>
            </w:r>
          </w:p>
        </w:tc>
        <w:tc>
          <w:tcPr>
            <w:tcW w:w="620" w:type="dxa"/>
            <w:vAlign w:val="bottom"/>
          </w:tcPr>
          <w:p>
            <w:pPr>
              <w:jc w:val="right"/>
              <w:spacing w:after="0"/>
              <w:rPr>
                <w:sz w:val="20"/>
                <w:szCs w:val="20"/>
                <w:color w:val="auto"/>
              </w:rPr>
            </w:pPr>
            <w:r>
              <w:rPr>
                <w:rFonts w:ascii="Arial" w:cs="Arial" w:eastAsia="Arial" w:hAnsi="Arial"/>
                <w:sz w:val="18"/>
                <w:szCs w:val="18"/>
                <w:color w:val="auto"/>
              </w:rPr>
              <w:t>11.96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5.78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Third Quarter 2016</w:t>
            </w:r>
          </w:p>
        </w:tc>
        <w:tc>
          <w:tcPr>
            <w:tcW w:w="620" w:type="dxa"/>
            <w:vAlign w:val="bottom"/>
          </w:tcPr>
          <w:p>
            <w:pPr>
              <w:jc w:val="right"/>
              <w:spacing w:after="0"/>
              <w:rPr>
                <w:sz w:val="20"/>
                <w:szCs w:val="20"/>
                <w:color w:val="auto"/>
              </w:rPr>
            </w:pPr>
            <w:r>
              <w:rPr>
                <w:rFonts w:ascii="Arial" w:cs="Arial" w:eastAsia="Arial" w:hAnsi="Arial"/>
                <w:sz w:val="18"/>
                <w:szCs w:val="18"/>
                <w:color w:val="auto"/>
              </w:rPr>
              <w:t>14.84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12.47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First Quarter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17.50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14.30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Third Quarter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18.25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15.55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First Quarter 2018 (January 1, 2018 to February 26, 2018)</w:t>
            </w:r>
          </w:p>
        </w:tc>
        <w:tc>
          <w:tcPr>
            <w:tcW w:w="620" w:type="dxa"/>
            <w:vAlign w:val="bottom"/>
          </w:tcPr>
          <w:p>
            <w:pPr>
              <w:jc w:val="right"/>
              <w:spacing w:after="0"/>
              <w:rPr>
                <w:sz w:val="20"/>
                <w:szCs w:val="20"/>
                <w:color w:val="auto"/>
              </w:rPr>
            </w:pPr>
            <w:r>
              <w:rPr>
                <w:rFonts w:ascii="Arial" w:cs="Arial" w:eastAsia="Arial" w:hAnsi="Arial"/>
                <w:sz w:val="18"/>
                <w:szCs w:val="18"/>
                <w:color w:val="auto"/>
              </w:rPr>
              <w:t>22.25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17.00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August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September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17.45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16.25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October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November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18.95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17.10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January 2018.</w:t>
            </w:r>
          </w:p>
        </w:tc>
        <w:tc>
          <w:tcPr>
            <w:tcW w:w="620" w:type="dxa"/>
            <w:vAlign w:val="bottom"/>
          </w:tcPr>
          <w:p>
            <w:pPr>
              <w:jc w:val="right"/>
              <w:spacing w:after="0"/>
              <w:rPr>
                <w:sz w:val="20"/>
                <w:szCs w:val="20"/>
                <w:color w:val="auto"/>
              </w:rPr>
            </w:pPr>
            <w:r>
              <w:rPr>
                <w:rFonts w:ascii="Arial" w:cs="Arial" w:eastAsia="Arial" w:hAnsi="Arial"/>
                <w:sz w:val="18"/>
                <w:szCs w:val="18"/>
                <w:color w:val="auto"/>
              </w:rPr>
              <w:t>22.25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20.20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February 2018 (February 1, 2018 to February 26,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17.00</w:t>
            </w:r>
          </w:p>
        </w:tc>
        <w:tc>
          <w:tcPr>
            <w:tcW w:w="1720" w:type="dxa"/>
            <w:vAlign w:val="bottom"/>
          </w:tcPr>
          <w:p>
            <w:pPr>
              <w:spacing w:after="0"/>
              <w:rPr>
                <w:sz w:val="18"/>
                <w:szCs w:val="18"/>
                <w:color w:val="auto"/>
              </w:rPr>
            </w:pPr>
          </w:p>
        </w:tc>
      </w:tr>
      <w:tr>
        <w:trPr>
          <w:trHeight w:val="430"/>
        </w:trPr>
        <w:tc>
          <w:tcPr>
            <w:tcW w:w="8140" w:type="dxa"/>
            <w:vAlign w:val="bottom"/>
            <w:gridSpan w:val="2"/>
          </w:tcPr>
          <w:p>
            <w:pPr>
              <w:jc w:val="right"/>
              <w:ind w:right="2212"/>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Preference Shares have been trading on the New York Stock Exchange under the symbol "GLOG PR A" since March 31, 2015. The following table shows the high and low closing sales prices for our Preference Shares during the indicated periods.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5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Price Range</w:t>
            </w:r>
          </w:p>
        </w:tc>
      </w:tr>
      <w:tr>
        <w:trPr>
          <w:trHeight w:val="142"/>
        </w:trPr>
        <w:tc>
          <w:tcPr>
            <w:tcW w:w="64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 (March 31, 2015 to December 31, 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26.10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18.38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620" w:type="dxa"/>
            <w:vAlign w:val="bottom"/>
          </w:tcPr>
          <w:p>
            <w:pPr>
              <w:jc w:val="right"/>
              <w:spacing w:after="0"/>
              <w:rPr>
                <w:sz w:val="20"/>
                <w:szCs w:val="20"/>
                <w:color w:val="auto"/>
              </w:rPr>
            </w:pPr>
            <w:r>
              <w:rPr>
                <w:rFonts w:ascii="Arial" w:cs="Arial" w:eastAsia="Arial" w:hAnsi="Arial"/>
                <w:sz w:val="18"/>
                <w:szCs w:val="18"/>
                <w:color w:val="auto"/>
              </w:rPr>
              <w:t>26.61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13.75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24.77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First Quarter 2016</w:t>
            </w:r>
          </w:p>
        </w:tc>
        <w:tc>
          <w:tcPr>
            <w:tcW w:w="620" w:type="dxa"/>
            <w:vAlign w:val="bottom"/>
          </w:tcPr>
          <w:p>
            <w:pPr>
              <w:jc w:val="right"/>
              <w:spacing w:after="0"/>
              <w:rPr>
                <w:sz w:val="20"/>
                <w:szCs w:val="20"/>
                <w:color w:val="auto"/>
              </w:rPr>
            </w:pPr>
            <w:r>
              <w:rPr>
                <w:rFonts w:ascii="Arial" w:cs="Arial" w:eastAsia="Arial" w:hAnsi="Arial"/>
                <w:sz w:val="18"/>
                <w:szCs w:val="18"/>
                <w:color w:val="auto"/>
              </w:rPr>
              <w:t>22.70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13.75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22.21</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Third Quarter 2016</w:t>
            </w:r>
          </w:p>
        </w:tc>
        <w:tc>
          <w:tcPr>
            <w:tcW w:w="620" w:type="dxa"/>
            <w:vAlign w:val="bottom"/>
          </w:tcPr>
          <w:p>
            <w:pPr>
              <w:jc w:val="right"/>
              <w:spacing w:after="0"/>
              <w:rPr>
                <w:sz w:val="20"/>
                <w:szCs w:val="20"/>
                <w:color w:val="auto"/>
              </w:rPr>
            </w:pPr>
            <w:r>
              <w:rPr>
                <w:rFonts w:ascii="Arial" w:cs="Arial" w:eastAsia="Arial" w:hAnsi="Arial"/>
                <w:sz w:val="18"/>
                <w:szCs w:val="18"/>
                <w:color w:val="auto"/>
              </w:rPr>
              <w:t>25.93</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24.18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First Quarter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26.20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24.77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25.47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Third Quarter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26.78</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25.72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26.10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First Quarter 2018 (January 1, 2018 to February 26, 2018)</w:t>
            </w:r>
          </w:p>
        </w:tc>
        <w:tc>
          <w:tcPr>
            <w:tcW w:w="620" w:type="dxa"/>
            <w:vAlign w:val="bottom"/>
          </w:tcPr>
          <w:p>
            <w:pPr>
              <w:jc w:val="right"/>
              <w:spacing w:after="0"/>
              <w:rPr>
                <w:sz w:val="20"/>
                <w:szCs w:val="20"/>
                <w:color w:val="auto"/>
              </w:rPr>
            </w:pPr>
            <w:r>
              <w:rPr>
                <w:rFonts w:ascii="Arial" w:cs="Arial" w:eastAsia="Arial" w:hAnsi="Arial"/>
                <w:sz w:val="18"/>
                <w:szCs w:val="18"/>
                <w:color w:val="auto"/>
              </w:rPr>
              <w:t>27.20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25.75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August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25.95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September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26.78</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26.17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October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26.14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November 2017</w:t>
            </w:r>
          </w:p>
        </w:tc>
        <w:tc>
          <w:tcPr>
            <w:tcW w:w="620" w:type="dxa"/>
            <w:vAlign w:val="bottom"/>
          </w:tcPr>
          <w:p>
            <w:pPr>
              <w:jc w:val="right"/>
              <w:spacing w:after="0"/>
              <w:rPr>
                <w:sz w:val="20"/>
                <w:szCs w:val="20"/>
                <w:color w:val="auto"/>
              </w:rPr>
            </w:pPr>
            <w:r>
              <w:rPr>
                <w:rFonts w:ascii="Arial" w:cs="Arial" w:eastAsia="Arial" w:hAnsi="Arial"/>
                <w:sz w:val="18"/>
                <w:szCs w:val="18"/>
                <w:color w:val="auto"/>
              </w:rPr>
              <w:t>26.59</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26.10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26.24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January 2018.</w:t>
            </w:r>
          </w:p>
        </w:tc>
        <w:tc>
          <w:tcPr>
            <w:tcW w:w="620" w:type="dxa"/>
            <w:vAlign w:val="bottom"/>
          </w:tcPr>
          <w:p>
            <w:pPr>
              <w:jc w:val="right"/>
              <w:spacing w:after="0"/>
              <w:rPr>
                <w:sz w:val="20"/>
                <w:szCs w:val="20"/>
                <w:color w:val="auto"/>
              </w:rPr>
            </w:pPr>
            <w:r>
              <w:rPr>
                <w:rFonts w:ascii="Arial" w:cs="Arial" w:eastAsia="Arial" w:hAnsi="Arial"/>
                <w:sz w:val="18"/>
                <w:szCs w:val="18"/>
                <w:color w:val="auto"/>
              </w:rPr>
              <w:t>27.20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26.14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February 2018 (February 1, 2018 to February 26, 2018)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25.75</w:t>
            </w:r>
          </w:p>
        </w:tc>
      </w:tr>
    </w:tbl>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Our authorized share capital consists of 500,000,000 shares, par value $0.01 per share. As of December 31, 2017, the share capital consisted of 80,717,885 issued and outstanding common shares, par value $0.01 per share, 275,241 treasury shares and 4,600,000 issued and outstanding Preference Shares.</w:t>
      </w:r>
    </w:p>
    <w:p>
      <w:pPr>
        <w:spacing w:after="0" w:line="11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31"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14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objects of our business are unrestricted, and the Company has the capacity of a natural person. We can therefore undertake activities without restriction on our capacity.</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Holders of our common shares have no pre-emptive, redemption, conversion or sinking fund rights. Holders of our common shares are entitled to one vote per share on all matters submitted to a 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16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authorised shares, 4.6 million have been designated 8.75% Series A Cumulative Redeemable Perpetual Preference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161"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cash dividends payable to holders of our common shares listed on the NYSE will be paid to American Stock Transfer &amp; Trust Company, LLC, our transfer agent in the United States for disbursement to those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w:t>
      </w:r>
    </w:p>
    <w:p>
      <w:pPr>
        <w:spacing w:after="0" w:line="231"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If at any time we have more than one class of shares, the rights attaching to any class, unless otherwise provided for by the terms of issue of the relevant class, may be varied with the sanction of a resolution passed by a majority of the issued shares of such class. Our bye-laws specify that the creation or issue of shares ranking equally with existing shares will not, unless expressly provided by the terms of issue of existing shares, vary the rights attached to existing shares.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accept. The instrument of transfer must be signed by the transferor and transferee, although in the case of a fully paid share our board of directors may accept the instrument signed only by the transferor.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 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one or more persons present in person throughout the meeting and representing in person or by proxy in excess of 50.0% of all issued and outstanding common shares.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231"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 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 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bye-laws provide that our board shall consist of no less than three directors and no more than fifteen directors, as the board of directors may from time to time determine. Our board of directors consists of ten directors.</w:t>
      </w:r>
    </w:p>
    <w:p>
      <w:pPr>
        <w:spacing w:after="0" w:line="18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shareholder wishing to propose for election as a director someone who is not an existing director or is not proposed by our board must give notice of the intention to propose the person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election. Where a director is to be elected at an annual general meeting, that notice must be given not less than 90 days nor more than 120 days before the anniversary of the last annual general meeting prior to the giving of the notice or, in the event the annual general meeting is called for a date that is not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that notice must be given not later than 10 days following the earlier of the date on which notice of the special general meeting was posted to shareholders or the date on which public disclosure of the date of the special general meeting was made.</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 director may be removed by the shareholders, provided notice of the shareholders' meeting convened to remove the director is given to the director. The notice must contain a statement of the intention to remove the director and must be served on the director not less than 14 days before the meeting. The director is entitled to attend the meeting and be heard on the motion for his or her removal.</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Board of Directors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39"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remuneration of our directors is determined by the board of directors, and there is no requirement that a specified number or percentage of "independent" directors must approve any such determination. Our directors may also be paid all travel, hotel and other expenses properly incurred by them in connection with our business or their duties as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Conflicts of Interest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conflict of interest question involving one or more of the Company's directors will be resolved by the audit and risk committee of the board of directors.</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arrangement with us, the determination as to whether the Chairman and any other interested director should be disqualified from voting will be made by a majority of the disinterested directors.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Memorandum of Association and Bye-laws</w:t>
      </w:r>
    </w:p>
    <w:p>
      <w:pPr>
        <w:spacing w:after="0" w:line="231"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affirmative votes of at least a majority of all issued and outstanding shares.</w:t>
      </w:r>
    </w:p>
    <w:p>
      <w:pPr>
        <w:spacing w:after="0" w:line="14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Bermuda law, the holders of an aggregate of not less than 20.0% in par value of a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twenty-one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Amalgamations, Mergers and Business Combinations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provide that a merger or an amalgamation must only be approved by the affirmative votes of a majority of the votes attaching to all issued and outstanding shares entitling the shareholder to vote on such resolutions.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Suits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6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Profits and Reserves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 and Forfeiture</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 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Untraced Shareholders</w:t>
      </w:r>
    </w:p>
    <w:p>
      <w:pPr>
        <w:spacing w:after="0" w:line="23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Bermuda Law</w:t>
      </w:r>
    </w:p>
    <w:p>
      <w:pPr>
        <w:spacing w:after="0" w:line="231"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 or our Preference Shares.</w:t>
      </w:r>
    </w:p>
    <w:p>
      <w:pPr>
        <w:spacing w:after="0" w:line="14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Bermuda Monetary Authority has given its consent for the issue and free transferability of all our common shares to and between non-residents of Bermuda for exchange control purposes, provided that our shares remain listed on an appointed stock exchange, which includes the NYSE.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Bermuda Monetary Authority.</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for the two years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immediately preceding the date of this annual report. Such summaries are not intended to be complete and reference is made to the contracts themselves, which are exhibits to this annual report.</w:t>
      </w:r>
    </w:p>
    <w:p>
      <w:pPr>
        <w:spacing w:after="0" w:line="199" w:lineRule="exact"/>
        <w:rPr>
          <w:sz w:val="20"/>
          <w:szCs w:val="20"/>
          <w:color w:val="auto"/>
        </w:rPr>
      </w:pPr>
    </w:p>
    <w:p>
      <w:pPr>
        <w:ind w:left="1080" w:right="400" w:hanging="532"/>
        <w:spacing w:after="0" w:line="33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Registration Rights Agreement among GasLog Ltd. and the shareholders named therein, dated as of April 4, 2012; please see "Item 7. Major Shareholders and Related Party Transactions—B. Related Party Transactions—Registration Rights Agreement".</w:t>
      </w:r>
    </w:p>
    <w:p>
      <w:pPr>
        <w:spacing w:after="0" w:line="166"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Facility Agreement dated December 23, 2011, relating to a $435,000,000 loan facility among GAS-eight Ltd., GAS-nine Ltd. and GAS-ten Ltd. as borrowers, DnB Bank ASA, Commonwealth Bank of Australia, Danish Ship Finance A/S, ING Bank N.V. and Skandinaviska Enskilda Banken AB (publ) as mandated lead arrangers, the financial institutions listed in Schedule 1 thereto as lenders, the financial institutions listed in Schedule 1 thereto as hedging providers and DnB Bank ASA as bookrunner, agent and security agent; please see "Item 5. Operating and Financial Review and Prospects—B. Liquidity and Capital Resources—Credit Facilities".</w:t>
      </w:r>
    </w:p>
    <w:p>
      <w:pPr>
        <w:spacing w:after="0" w:line="183"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Master Time Charter Party among GAS-one Ltd., GAS-two Ltd., GAS-three Ltd., GAS-four Ltd., GAS-five Ltd., GAS-six Ltd. and Methane Services Limited, dated May 9, 2011; please see "Item 4. Information on the Company—B. Business Overview—Ship Time Charters".</w:t>
      </w:r>
    </w:p>
    <w:p>
      <w:pPr>
        <w:spacing w:after="0" w:line="15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Appendix to the Private Agreement of Professional Hiring (English translation), dated December 1, 2010 and October 1, 2011, between Nea Dimitra Ktimatikh Kai Emporikh S.A. and GasLog LNG Services Ltd.; please see "Item 7. Major Shareholders and Related Party Transactions— B. Related Party Transactions—Office Space and Related Arrangements".</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Form of Indemnification Agreement for the Company's directors and certain officers; please see "Item 7. Major Shareholders and Related Party Transactions—B. Related Party Transactions—Indemnification Agreements".</w:t>
      </w:r>
    </w:p>
    <w:p>
      <w:pPr>
        <w:spacing w:after="0" w:line="199"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GasLog Ltd. 2013 Omnibus Incentive Compensation Plan; please see "Item 6. Directors, Senior Management and Employees—B. Compensation of Directors and Senior Management—Equity Compensation Plans".</w:t>
      </w:r>
    </w:p>
    <w:p>
      <w:pPr>
        <w:spacing w:after="0" w:line="212" w:lineRule="exact"/>
        <w:rPr>
          <w:rFonts w:ascii="Arial" w:cs="Arial" w:eastAsia="Arial" w:hAnsi="Arial"/>
          <w:sz w:val="18"/>
          <w:szCs w:val="18"/>
          <w:color w:val="auto"/>
        </w:rPr>
      </w:pPr>
    </w:p>
    <w:p>
      <w:pPr>
        <w:ind w:left="1080" w:right="60" w:hanging="532"/>
        <w:spacing w:after="0" w:line="254"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 please see "Item 5. Operating and Financial Review and Prospects—B. Liquidity and Capital Resources— Credit Facilities".</w:t>
      </w:r>
    </w:p>
    <w:p>
      <w:pPr>
        <w:spacing w:after="0" w:line="21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Corporate Guarantee between GasLog Partners LP and Citibank, N.A., London Branch, dated November 12, 2014; please see "Item 5. Operating and Financial Review and Prospects—B. Liquidity and Capital Resources—Credit Facilities".</w:t>
      </w:r>
    </w:p>
    <w:p>
      <w:pPr>
        <w:spacing w:after="0" w:line="199"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4" w:lineRule="auto"/>
        <w:rPr>
          <w:sz w:val="20"/>
          <w:szCs w:val="20"/>
          <w:color w:val="auto"/>
        </w:rPr>
      </w:pPr>
      <w:r>
        <w:rPr>
          <w:rFonts w:ascii="Arial" w:cs="Arial" w:eastAsia="Arial" w:hAnsi="Arial"/>
          <w:sz w:val="18"/>
          <w:szCs w:val="18"/>
          <w:color w:val="auto"/>
        </w:rPr>
        <w:t>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 please see "Item 5. Operating and Financial Review and Prospects—B. Liquidity and Capital Resources— Credit Facilities".</w:t>
      </w:r>
    </w:p>
    <w:p>
      <w:pPr>
        <w:spacing w:after="0" w:line="212" w:lineRule="exact"/>
        <w:rPr>
          <w:sz w:val="20"/>
          <w:szCs w:val="20"/>
          <w:color w:val="auto"/>
        </w:rPr>
      </w:pPr>
    </w:p>
    <w:p>
      <w:pPr>
        <w:ind w:left="1080" w:right="20" w:hanging="532"/>
        <w:spacing w:after="0" w:line="283"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National Australia Bank Limited as original lenders and DNB Bank ASA, London Branch as agent and security agent; please see "Item 5. Operating and Financial Review and Prospects—</w:t>
      </w:r>
    </w:p>
    <w:p>
      <w:pPr>
        <w:spacing w:after="0" w:line="2" w:lineRule="exact"/>
        <w:rPr>
          <w:rFonts w:ascii="Arial" w:cs="Arial" w:eastAsia="Arial" w:hAnsi="Arial"/>
          <w:sz w:val="16"/>
          <w:szCs w:val="16"/>
          <w:color w:val="auto"/>
        </w:rPr>
      </w:pPr>
    </w:p>
    <w:p>
      <w:pPr>
        <w:ind w:left="1300" w:hanging="212"/>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Liquidity and Capital Resources—Credit Facilities".</w:t>
      </w:r>
    </w:p>
    <w:p>
      <w:pPr>
        <w:spacing w:after="0" w:line="245"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Junior Facility Agreement dated February 18, 2016, relating to a $180,000,000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as original lenders and DNB Bank ASA, London Branch as agent and security agent.; please see "Item 5. Operating and Financial Review and Prospects—B. Liquidity and Capital Resources—Credit Facilities".</w:t>
      </w:r>
    </w:p>
    <w:p>
      <w:pPr>
        <w:spacing w:after="0" w:line="183" w:lineRule="exact"/>
        <w:rPr>
          <w:rFonts w:ascii="Arial" w:cs="Arial" w:eastAsia="Arial" w:hAnsi="Arial"/>
          <w:sz w:val="16"/>
          <w:szCs w:val="16"/>
          <w:color w:val="auto"/>
        </w:rPr>
      </w:pPr>
    </w:p>
    <w:p>
      <w:pPr>
        <w:ind w:left="1080" w:right="160" w:hanging="532"/>
        <w:spacing w:after="0" w:line="286"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Form of Corporate Guarantee between GasLog Ltd. and DNB Bank ASA, London Branch (provided in respect of the Junior Facility Agreement and the Senior Facility Agreement, each dated February 18, 2016); please see "Item 5. Operating and Financial Review and Prospects—</w:t>
      </w:r>
    </w:p>
    <w:p>
      <w:pPr>
        <w:ind w:left="1300" w:hanging="212"/>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Liquidity and Capital Resources—Credit Facilities".</w:t>
      </w:r>
    </w:p>
    <w:p>
      <w:pPr>
        <w:spacing w:after="0" w:line="23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Junior Facility Agreement and the Senior Facility Agreement, each dated February 18, 2016); please see "Item 5. Operating and Financial Review and Prospects —B. Liquidity and Capital Resources—Credit Facilities".</w:t>
      </w:r>
    </w:p>
    <w:p>
      <w:pPr>
        <w:spacing w:after="0" w:line="221" w:lineRule="exact"/>
        <w:rPr>
          <w:rFonts w:ascii="Arial" w:cs="Arial" w:eastAsia="Arial" w:hAnsi="Arial"/>
          <w:sz w:val="18"/>
          <w:szCs w:val="18"/>
          <w:color w:val="auto"/>
        </w:rPr>
      </w:pPr>
    </w:p>
    <w:p>
      <w:pPr>
        <w:ind w:left="1080" w:right="40" w:hanging="532"/>
        <w:spacing w:after="0" w:line="29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 Bank America N.V. as arranger with Nordea Bank AB, London Branch as agent and security agent; please see "Item 5. Operating and Financial Review and Prospects—B. Liquidity and Capital Resources—Credit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 and Other Limitations Affecting Security Holders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cannot assure you that we will not be subject to any Bermuda tax after March 31, 2035.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discussion summarizes the material U.S. Federal income tax consequences to us of our activities and, subject to the limitations described above, to you as a holder of our common shares or Preference Shares.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Operating Income</w:t>
      </w:r>
    </w:p>
    <w:p>
      <w:pPr>
        <w:spacing w:after="0" w:line="225" w:lineRule="exact"/>
        <w:rPr>
          <w:sz w:val="20"/>
          <w:szCs w:val="20"/>
          <w:color w:val="auto"/>
        </w:rPr>
      </w:pPr>
    </w:p>
    <w:p>
      <w:pPr>
        <w:ind w:right="80" w:firstLine="348"/>
        <w:spacing w:after="0" w:line="284" w:lineRule="auto"/>
        <w:rPr>
          <w:sz w:val="20"/>
          <w:szCs w:val="20"/>
          <w:color w:val="auto"/>
        </w:rPr>
      </w:pPr>
      <w:r>
        <w:rPr>
          <w:rFonts w:ascii="Arial" w:cs="Arial" w:eastAsia="Arial" w:hAnsi="Arial"/>
          <w:sz w:val="16"/>
          <w:szCs w:val="16"/>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income tax in respect of our U.S. source gross transportation income (without the allowance for deductions).</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income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Under Section 883 of the Code and the regulations thereunder, we will be exempt from U.S. Federal income tax on our U.S. source gross transportation income if:</w:t>
      </w:r>
    </w:p>
    <w:p>
      <w:pPr>
        <w:spacing w:after="0" w:line="213" w:lineRule="exact"/>
        <w:rPr>
          <w:sz w:val="20"/>
          <w:szCs w:val="20"/>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are organized in a foreign country (the "country of organization") that grants an "equivalent exemption" to corporations organized in the United States;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221" w:lineRule="exact"/>
        <w:rPr>
          <w:rFonts w:ascii="Arial" w:cs="Arial" w:eastAsia="Arial" w:hAnsi="Arial"/>
          <w:sz w:val="18"/>
          <w:szCs w:val="18"/>
          <w:color w:val="auto"/>
        </w:rPr>
      </w:pPr>
    </w:p>
    <w:p>
      <w:pPr>
        <w:ind w:left="1620" w:right="200" w:hanging="532"/>
        <w:spacing w:after="0" w:line="332"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13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are currently not entitled to this exemption under Section 883 for any tax year. As a result, we are subject to the 4% U.S. Federal income tax under Section 887 on our U.S. source gross transportation income (subject to the discussion of "effectively connected income" below). For 2017, the U.S. source gross transportation tax was $0.7 million.</w:t>
      </w:r>
    </w:p>
    <w:p>
      <w:pPr>
        <w:spacing w:after="0" w:line="19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Because we are unable to qualify for the exemption under Section 883,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gross transportation income would be considered effectively connected with the conduct of a U.S. trade or business only if:</w:t>
      </w:r>
    </w:p>
    <w:p>
      <w:pPr>
        <w:spacing w:after="0" w:line="262" w:lineRule="exact"/>
        <w:rPr>
          <w:sz w:val="20"/>
          <w:szCs w:val="20"/>
          <w:color w:val="auto"/>
        </w:rPr>
      </w:pPr>
    </w:p>
    <w:p>
      <w:pPr>
        <w:ind w:left="1080" w:right="4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income attributable to transportation that both begins and ends in the United States is not subject to the tax 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United States Holders</w:t>
      </w:r>
    </w:p>
    <w:p>
      <w:pPr>
        <w:spacing w:after="0" w:line="225" w:lineRule="exact"/>
        <w:rPr>
          <w:sz w:val="20"/>
          <w:szCs w:val="20"/>
          <w:color w:val="auto"/>
        </w:rPr>
      </w:pPr>
    </w:p>
    <w:p>
      <w:pPr>
        <w:ind w:right="220" w:firstLine="345"/>
        <w:spacing w:after="0" w:line="298" w:lineRule="auto"/>
        <w:rPr>
          <w:sz w:val="20"/>
          <w:szCs w:val="20"/>
          <w:color w:val="auto"/>
        </w:rPr>
      </w:pPr>
      <w:r>
        <w:rPr>
          <w:rFonts w:ascii="Arial" w:cs="Arial" w:eastAsia="Arial" w:hAnsi="Arial"/>
          <w:sz w:val="16"/>
          <w:szCs w:val="16"/>
          <w:color w:val="auto"/>
        </w:rPr>
        <w:t>You are a "U.S. holder" if you are a beneficial owner of our common shares or Preference Shares and you are a U.S. citizen or resident, a U.S. corporation (or other U.S. entity taxable as a corporation), an estate the income of which is subject to U.S. Federal income taxation regardless of its source, or a trust if (i) a court within the United States is able to exercise primary jurisdiction over the administration of the trust and one or more U.S. persons have the authority to control all substantial decisions of the trust or (ii) the trust has a valid election in effect to be treated as a U.S. Federal income tax purposes.</w:t>
      </w:r>
    </w:p>
    <w:p>
      <w:pPr>
        <w:spacing w:after="0" w:line="167"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 treated first as a nontaxable return of capital to the extent of your tax basis in our common shares or Preference Shares (on a dollar-for-dollar basis) and thereafter as capital gain.</w:t>
      </w:r>
    </w:p>
    <w:p>
      <w:pPr>
        <w:spacing w:after="0" w:line="167" w:lineRule="exact"/>
        <w:rPr>
          <w:sz w:val="20"/>
          <w:szCs w:val="20"/>
          <w:color w:val="auto"/>
        </w:rPr>
      </w:pPr>
    </w:p>
    <w:p>
      <w:pPr>
        <w:jc w:val="both"/>
        <w:ind w:right="100" w:firstLine="351"/>
        <w:spacing w:after="0" w:line="268" w:lineRule="auto"/>
        <w:rPr>
          <w:sz w:val="20"/>
          <w:szCs w:val="20"/>
          <w:color w:val="auto"/>
        </w:rPr>
      </w:pPr>
      <w:r>
        <w:rPr>
          <w:rFonts w:ascii="Arial" w:cs="Arial" w:eastAsia="Arial" w:hAnsi="Arial"/>
          <w:sz w:val="18"/>
          <w:szCs w:val="18"/>
          <w:color w:val="auto"/>
        </w:rPr>
        <w:t>Because we are not a U.S. corporation, if you are a U.S. corporation (or a U.S. entity taxable as a corporation), you will not be entitled to claim a dividends-received deduction with respect to any distributions you receive from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Dividends paid with respect to our common shares or Preference Shares will generally be treated as "passive category income" for purposes of computing allowable foreign tax credits for U.S. foreign tax credit purposes.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19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common shares or Preference Shares are readily tradable on an established securities market in the United States (such as the NYSE);</w:t>
      </w:r>
    </w:p>
    <w:p>
      <w:pPr>
        <w:spacing w:after="0" w:line="275"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are not a PFIC for the tax year during which the dividend is paid or the immediately preceding tax year (see the discussion below under "— PFIC Status and Significant Tax Consequences");</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you own our common shares or Preference Shares for more than 60 days in the 121-day period beginning 60 days before the date on which the common shares or Preference Shares become ex-dividend;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you are not under an obligation to make related payments with respect to positions in substantially similar or related property;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Special rules may apply to any "extraordinary dividend". Generally, an extraordinary dividend is a dividend in an amount that is equal to (or in excess of)</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19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is no assurance that dividends you receive from us will be eligible for the preferential tax rates applicable to qualified dividend income. Dividends you receive from us that are not eligible for the preferential tax rates will be taxed at ordinary income rates.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Common Shares and Preference Shares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Unearned Income Medicare Contribution Tax</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Medicare tax to your income and gains from your ownership of our common shares or Preference 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Special U.S. income tax rules apply to you if you hold shares in a non-U.S. corporation that is classified as a PFIC for U.S. income tax purposes. In general, under Section 1297 of the Code, we will be treated as a PFIC in any tax year in which, after applying certain look-through rules, either:</w:t>
      </w:r>
    </w:p>
    <w:p>
      <w:pPr>
        <w:spacing w:after="0" w:line="153" w:lineRule="exact"/>
        <w:rPr>
          <w:sz w:val="20"/>
          <w:szCs w:val="20"/>
          <w:color w:val="auto"/>
        </w:rPr>
      </w:pPr>
    </w:p>
    <w:p>
      <w:pPr>
        <w:ind w:left="1080" w:hanging="532"/>
        <w:spacing w:after="0" w:line="33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50% of the average value of our assets including our proportionate share of the assets of our vessel-owning subsidiaries during such tax year that produce, or are held for the production of, passive income.</w:t>
      </w:r>
    </w:p>
    <w:p>
      <w:pPr>
        <w:spacing w:after="0" w:line="186" w:lineRule="exact"/>
        <w:rPr>
          <w:sz w:val="20"/>
          <w:szCs w:val="20"/>
          <w:color w:val="auto"/>
        </w:rPr>
      </w:pPr>
    </w:p>
    <w:p>
      <w:pPr>
        <w:jc w:val="both"/>
        <w:ind w:right="220" w:firstLine="351"/>
        <w:spacing w:after="0" w:line="370" w:lineRule="auto"/>
        <w:rPr>
          <w:sz w:val="20"/>
          <w:szCs w:val="20"/>
          <w:color w:val="auto"/>
        </w:rPr>
      </w:pPr>
      <w:r>
        <w:rPr>
          <w:rFonts w:ascii="Arial" w:cs="Arial" w:eastAsia="Arial" w:hAnsi="Arial"/>
          <w:sz w:val="15"/>
          <w:szCs w:val="15"/>
          <w:color w:val="auto"/>
        </w:rPr>
        <w:t>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16" w:lineRule="exact"/>
        <w:rPr>
          <w:sz w:val="20"/>
          <w:szCs w:val="20"/>
          <w:color w:val="auto"/>
        </w:rPr>
      </w:pPr>
    </w:p>
    <w:p>
      <w:pPr>
        <w:ind w:right="40" w:firstLine="348"/>
        <w:spacing w:after="0" w:line="306" w:lineRule="auto"/>
        <w:rPr>
          <w:sz w:val="20"/>
          <w:szCs w:val="20"/>
          <w:color w:val="auto"/>
        </w:rPr>
      </w:pPr>
      <w:r>
        <w:rPr>
          <w:rFonts w:ascii="Arial" w:cs="Arial" w:eastAsia="Arial" w:hAnsi="Arial"/>
          <w:sz w:val="15"/>
          <w:szCs w:val="15"/>
          <w:color w:val="auto"/>
        </w:rPr>
        <w:t xml:space="preserve">There are legal uncertainties involved in determining whether the income derived from time chartering activities constitutes rental income or income derived from the performance of services. In </w:t>
      </w:r>
      <w:r>
        <w:rPr>
          <w:rFonts w:ascii="Arial" w:cs="Arial" w:eastAsia="Arial" w:hAnsi="Arial"/>
          <w:sz w:val="15"/>
          <w:szCs w:val="15"/>
          <w:i w:val="1"/>
          <w:iCs w:val="1"/>
          <w:color w:val="auto"/>
        </w:rPr>
        <w:t>Tidewater Inc. v. United States</w:t>
      </w:r>
      <w:r>
        <w:rPr>
          <w:rFonts w:ascii="Arial" w:cs="Arial" w:eastAsia="Arial" w:hAnsi="Arial"/>
          <w:sz w:val="15"/>
          <w:szCs w:val="15"/>
          <w:color w:val="auto"/>
        </w:rPr>
        <w:t xml:space="preserve">, 565 F.2d 299 (5th Cir. 2009), the Fifth Circuit held that income derived from certain time chartering activities should be treated as rental income rather than services income for purposes of a provision of the Code relating to foreign sales corporations. In recently published guidance, however, the IRS stated that it disagreed with the holding in </w:t>
      </w:r>
      <w:r>
        <w:rPr>
          <w:rFonts w:ascii="Arial" w:cs="Arial" w:eastAsia="Arial" w:hAnsi="Arial"/>
          <w:sz w:val="15"/>
          <w:szCs w:val="15"/>
          <w:i w:val="1"/>
          <w:iCs w:val="1"/>
          <w:color w:val="auto"/>
        </w:rPr>
        <w:t>Tidewater</w:t>
      </w:r>
      <w:r>
        <w:rPr>
          <w:rFonts w:ascii="Arial" w:cs="Arial" w:eastAsia="Arial" w:hAnsi="Arial"/>
          <w:sz w:val="15"/>
          <w:szCs w:val="15"/>
          <w:color w:val="auto"/>
        </w:rPr>
        <w:t>, and specified that time charters should be treated as service contracts. Since we have chartered all our ships to unrelated charterers on the basis of time charters and since we expect to continue to do so, we believe that we are not a PFIC. We have received an opinion from our counsel, Cravath, Swaine &amp; Moore LLP, that (i) the income we receive from time chartering activities and assets engaged in generating such income should not be treated as passive income or assets, respectively, and (ii) for the tax year during which our initial public offering occurred and each tax year thereafter, we should not be a PFIC.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can avoid PFIC status in the future.</w:t>
      </w:r>
    </w:p>
    <w:p>
      <w:pPr>
        <w:spacing w:after="0" w:line="16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If we were to be treated as a PFIC for any tax year, you generally would be subject to one of three different U.S. Federal income tax regimes, as discussed below, depending on whether or not you make 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we were a PFIC and if you make a timely election to treat us as a "Qualifying Electing Fund" for U.S. tax purposes (a "QEF Election"), you would be required to report each year your pro rata share of our ordinary earnings and our net capital gain for our tax year that ends with or within your tax year, regardless of whether we make any distributions to you. Such income inclusions would not be eligible for the preferential tax rates applicable to qualified dividend income (as discussed above under "Taxation of United States Holders—Distributions on Our Common Shares and Preference Shares"). Your adjusted tax basis in our common shares or Preference Shares would be increased to reflect such taxed but undistributed earnings and profits. Distributions of earnings and profits that had previously been taxed would result in a corresponding reduction in your adjusted tax basis in our common shares or Preference Shares and would not be taxed again once distributed. You generally would recognize capital gain or loss on the sale, exchange or other disposition of our common shares or Preference Shares. Even if you make a QEF Election for one of our tax years, if we were a PFIC for a prior tax year during which you held our common shares or Preference Shares and for which you did not make a timely QEF Election, you would also be subject to a more adverse regime described below under "—Taxation of U.S. Holders That Make No Election".</w:t>
      </w:r>
    </w:p>
    <w:p>
      <w:pPr>
        <w:spacing w:after="0" w:line="177"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 would make a QEF Election by completing and filing IRS Form 8621 with your U.S.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 U.S. holder who requests such information in order to make the QEF Election described above with respect to us.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"Mark-to-Market" Election</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 Form 8621 with your U.S. income tax return for the year for which the election is made in accordance with the relevant instructions. If that election is made, you generally would include as ordinary income in each tax 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That Make No Election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 common shares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Preference Shares) and (ii) any gain realized on the sale, exchange or other disposition of our common shares or Preference Shares. Under these special rules:</w:t>
      </w:r>
    </w:p>
    <w:p>
      <w:pPr>
        <w:spacing w:after="0" w:line="262"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your aggregate holding period for our common shares or Preference Shares;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allocated to the current tax year would be taxed as ordinary income; and</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260" w:firstLine="345"/>
        <w:spacing w:after="0" w:line="268" w:lineRule="auto"/>
        <w:rPr>
          <w:sz w:val="20"/>
          <w:szCs w:val="20"/>
          <w:color w:val="auto"/>
        </w:rPr>
      </w:pPr>
      <w:r>
        <w:rPr>
          <w:rFonts w:ascii="Arial" w:cs="Arial" w:eastAsia="Arial" w:hAnsi="Arial"/>
          <w:sz w:val="18"/>
          <w:szCs w:val="18"/>
          <w:color w:val="auto"/>
        </w:rPr>
        <w:t>You are a "non-U.S. holder" if you are a beneficial owner of our common shares or Preference Shares (other than a partnership for U.S. tax purposes) and you are not a U.S. holder.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ind w:right="120" w:firstLine="345"/>
        <w:spacing w:after="0" w:line="256" w:lineRule="auto"/>
        <w:rPr>
          <w:sz w:val="20"/>
          <w:szCs w:val="20"/>
          <w:color w:val="auto"/>
        </w:rPr>
      </w:pPr>
      <w:r>
        <w:rPr>
          <w:rFonts w:ascii="Arial" w:cs="Arial" w:eastAsia="Arial" w:hAnsi="Arial"/>
          <w:sz w:val="18"/>
          <w:szCs w:val="18"/>
          <w:color w:val="auto"/>
        </w:rPr>
        <w:t>You generally will not be subject to U.S.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 income, that income generally is taxable in the United States only if it is attributable to a permanent establishment maintained by you in the United States.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Our Common Shares and Preference Shares</w:t>
      </w:r>
    </w:p>
    <w:p>
      <w:pPr>
        <w:spacing w:after="0" w:line="225" w:lineRule="exact"/>
        <w:rPr>
          <w:sz w:val="20"/>
          <w:szCs w:val="20"/>
          <w:color w:val="auto"/>
        </w:rPr>
      </w:pPr>
    </w:p>
    <w:p>
      <w:pPr>
        <w:ind w:right="320" w:firstLine="345"/>
        <w:spacing w:after="0" w:line="268" w:lineRule="auto"/>
        <w:rPr>
          <w:sz w:val="20"/>
          <w:szCs w:val="20"/>
          <w:color w:val="auto"/>
        </w:rPr>
      </w:pPr>
      <w:r>
        <w:rPr>
          <w:rFonts w:ascii="Arial" w:cs="Arial" w:eastAsia="Arial" w:hAnsi="Arial"/>
          <w:sz w:val="18"/>
          <w:szCs w:val="18"/>
          <w:color w:val="auto"/>
        </w:rPr>
        <w:t>You generally will not be subject to U.S. income tax or withholding tax on any gain realized upon the sale, exchange or other disposition of our common shares or Preference Shares, unless:</w:t>
      </w:r>
    </w:p>
    <w:p>
      <w:pPr>
        <w:spacing w:after="0" w:line="199" w:lineRule="exact"/>
        <w:rPr>
          <w:sz w:val="20"/>
          <w:szCs w:val="20"/>
          <w:color w:val="auto"/>
        </w:rPr>
      </w:pPr>
    </w:p>
    <w:p>
      <w:pPr>
        <w:ind w:left="1080" w:right="8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during the tax year of disposition and certain other conditions are met.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Backup Withholding and Information Reporting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general, if you are a non-corporate U.S. holder, dividend payments (or other taxable distributions) made within the United States will be subject to information reporting requirements and backup withholding tax if you:</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fail to provide an accurate taxpayer identification number;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are notified by the IRS that you have failed to report all interest or dividends required to be shown on your U.S. Federal income tax returns;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certain circumstances, fail to comply with applicable certification requirements.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16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Return Disclosure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U.S. individuals that hold certain specified foreign financial assets (which include shares in a foreign corporation) are subject to U.S. return disclosure obligations (and related penalties for failure to disclose). Such U.S. individuals are required to file IRS Form 8938 with their U.S. Federal income tax returns. You are encouraged to consult your own tax advisors concerning the filing of IRS Form 8938.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are subject to the informational requirements of the Exchange Act. In accordance with these requirements, we file reports and other information as a foreign private issuer with the SEC. You may inspect and copy our public filings without charge at the public reference facilities maintained by the SEC at 100 F Street, N.E., Washington, D.C. 20549. Please call the SEC at 1-800-SEC-0330 for further information about the public reference room.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are exposed to various market risks, including interest rate and foreign currency exchange risks. The Group makes use of derivative financial instruments such as interest rate swaps to maintain the desired level of exposure arising from these risks.</w:t>
      </w:r>
    </w:p>
    <w:p>
      <w:pPr>
        <w:spacing w:after="0" w:line="186"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audited consolidated financial statements included elsewhere in this report. Further information on our exposure to market risk is included in Note 23 to our audited consolidated financial statements included elsewhere in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right="280" w:firstLine="348"/>
        <w:spacing w:after="0" w:line="370" w:lineRule="auto"/>
        <w:rPr>
          <w:sz w:val="20"/>
          <w:szCs w:val="20"/>
          <w:color w:val="auto"/>
        </w:rPr>
      </w:pPr>
      <w:r>
        <w:rPr>
          <w:rFonts w:ascii="Arial" w:cs="Arial" w:eastAsia="Arial" w:hAnsi="Arial"/>
          <w:sz w:val="15"/>
          <w:szCs w:val="15"/>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1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December 31, 2017. Based on our evaluation, the Chief Executive Officer and the Chief Financial Officer have concluded that our disclosure controls and procedures were effective as of December 31,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Chief Executive Officer and Chief Financial Officer to provide reasonable assurance regarding the reliability of financial reporting and the preparation of financial statements for external purposes in accordance with International Financial Reporting Standards.</w:t>
      </w:r>
    </w:p>
    <w:p>
      <w:pPr>
        <w:spacing w:after="0" w:line="167"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2017.</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independent registered public accounting firm has issued an attestation report on the Company's internal control over financial reporting.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Deloitte LLP, an independent registered public accounting firm, as stated in their report which appears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We have audited the internal control over financial reporting of GasLog Ltd and subsidiaries (the "Company")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February 28, 2018,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David P. Conner and Donald J. Kintzer, whose biographical details are included in "Item 6. Directors, Senior Management and Employees—A. Directors and Senior Management", each qualifies as an "audit committee financial expert". Our board of directors has affirmatively determined that Mr. Conner and Mr. Kintzer meet the definition of "independent director" for purposes of serving on an audit committee under applicable SEC and NYSE rules.</w:t>
      </w:r>
    </w:p>
    <w:p>
      <w:pPr>
        <w:spacing w:after="0" w:line="1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have adopted a Code of Business Conduct and Ethics for all directors, officers, employees and agents of the Company, a copy of which is posted on our website and may be viewed at </w:t>
      </w:r>
      <w:r>
        <w:rPr>
          <w:rFonts w:ascii="Arial" w:cs="Arial" w:eastAsia="Arial" w:hAnsi="Arial"/>
          <w:sz w:val="16"/>
          <w:szCs w:val="16"/>
          <w:i w:val="1"/>
          <w:iCs w:val="1"/>
          <w:color w:val="auto"/>
        </w:rPr>
        <w:t>http://www.gaslogltd.com.</w:t>
      </w:r>
      <w:r>
        <w:rPr>
          <w:rFonts w:ascii="Arial" w:cs="Arial" w:eastAsia="Arial" w:hAnsi="Arial"/>
          <w:sz w:val="16"/>
          <w:szCs w:val="16"/>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Monaco S.A.M., Gildo Pastor Center, 7 Rue du Gabian, MC 98000, Monaco. No waivers of the Code of Business Conduct and Ethics have been granted to any person during the fiscal year ended December 31, 2017.</w:t>
      </w:r>
    </w:p>
    <w:p>
      <w:pPr>
        <w:spacing w:after="0" w:line="170"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also adopted a Trading Policy that generally prohibits directors, officers, employees, controlling shareholders and their respective related parties ("Covered Persons") from trading in securities of the Company while in possession of material non-public information regarding the Company,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Company on a short-term basis, (ii) purchasing securities of the Company on margin, (iii) purchasing or selling derivatives related to securities of the Company (except for certain "permitted hedging derivatives", which the Trading Policy defines as any derivative transaction to (x) hedge a position in Company securities held by the relevant Covered Person for more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than 12 months, (y) with respect to the number of Company securities less than or equal to the amount such Covered Person could sell at such time in compliance with Rule 144 under the Securities Act of 1933, as amended, and (z) otherwise in compliance with the terms of the Trading Policy) and (iv) selling Company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Deloitte LLP, an independent registered public accounting firm, has audited our annual financial statements acting as our independent auditor for the fiscal years ended December 31, 2016 and December 31, 2017.</w:t>
      </w:r>
    </w:p>
    <w:p>
      <w:pPr>
        <w:spacing w:after="0" w:line="186"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chart below sets forth the total amount billed and accrued for Deloitte LLP for services performed in 2016 and 2017, respectively, and breaks down these amounts by the category of service. The fees paid to our principal accountant were approved in accordance with the pre-approval policies and procedures described below.</w:t>
      </w:r>
    </w:p>
    <w:p>
      <w:pPr>
        <w:spacing w:after="0" w:line="244" w:lineRule="exact"/>
        <w:rPr>
          <w:sz w:val="20"/>
          <w:szCs w:val="20"/>
          <w:color w:val="auto"/>
        </w:rPr>
      </w:pPr>
    </w:p>
    <w:p>
      <w:pPr>
        <w:ind w:left="8560"/>
        <w:spacing w:after="0"/>
        <w:tabs>
          <w:tab w:leader="none" w:pos="91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0</wp:posOffset>
            </wp:positionV>
            <wp:extent cx="6858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center"/>
        <w:ind w:left="6580"/>
        <w:spacing w:after="0"/>
        <w:rPr>
          <w:sz w:val="20"/>
          <w:szCs w:val="20"/>
          <w:color w:val="auto"/>
        </w:rPr>
      </w:pPr>
      <w:r>
        <w:rPr>
          <w:rFonts w:ascii="Arial" w:cs="Arial" w:eastAsia="Arial" w:hAnsi="Arial"/>
          <w:sz w:val="14"/>
          <w:szCs w:val="14"/>
          <w:b w:val="1"/>
          <w:bCs w:val="1"/>
          <w:color w:val="auto"/>
        </w:rPr>
        <w:t>(Expressed in</w:t>
      </w:r>
    </w:p>
    <w:p>
      <w:pPr>
        <w:jc w:val="center"/>
        <w:ind w:left="6580"/>
        <w:spacing w:after="0" w:line="221" w:lineRule="auto"/>
        <w:rPr>
          <w:sz w:val="20"/>
          <w:szCs w:val="20"/>
          <w:color w:val="auto"/>
        </w:rPr>
      </w:pPr>
      <w:r>
        <w:rPr>
          <w:rFonts w:ascii="Arial" w:cs="Arial" w:eastAsia="Arial" w:hAnsi="Arial"/>
          <w:sz w:val="14"/>
          <w:szCs w:val="14"/>
          <w:b w:val="1"/>
          <w:bCs w:val="1"/>
          <w:color w:val="auto"/>
        </w:rPr>
        <w:t>millions of</w:t>
      </w:r>
    </w:p>
    <w:p>
      <w:pPr>
        <w:jc w:val="center"/>
        <w:ind w:left="6580"/>
        <w:spacing w:after="0" w:line="220" w:lineRule="auto"/>
        <w:rPr>
          <w:sz w:val="20"/>
          <w:szCs w:val="20"/>
          <w:color w:val="auto"/>
        </w:rPr>
      </w:pPr>
      <w:r>
        <w:rPr>
          <w:rFonts w:ascii="Arial" w:cs="Arial" w:eastAsia="Arial" w:hAnsi="Arial"/>
          <w:sz w:val="14"/>
          <w:szCs w:val="14"/>
          <w:b w:val="1"/>
          <w:bCs w:val="1"/>
          <w:color w:val="auto"/>
        </w:rPr>
        <w:t>U.S. Dollars)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0"/>
        </w:trPr>
        <w:tc>
          <w:tcPr>
            <w:tcW w:w="674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Audit fees represent compensation for professional services rendered for the audit of the consolidated financial statements of the Company and the audit of the financial statements for its individual subsidiary companies, fees for the review of the quarterly financial information, as well as in connection with the review of registration statements and related consents and comfort letters, and any other services required for SEC or other regulatory filings.</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Included in the audit fees for 2016 are fees of $0.1 million related to the Partnership's equity offering completed in August 2016. Included in the audit fees for 2017 are fees of $0.2 million related to the Partnership's public offerings completed in 2017, $0.1 million related to the Partnership's shelf registration statement filed in September 2017 and $0.1 million related to the issuance of the 8.875% Senior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tax fees were billed by our principal accountant in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audit-related fees were billed by our principal accountant in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billed by our principal accountant in 2016 and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 advance the retention of the independent auditors for the performance of all audit and lawfully permitted non-audit services.</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COMPANY'S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left="180" w:right="780" w:hanging="179"/>
        <w:spacing w:after="0" w:line="275"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New York Stock Exchange Corporate Governance Standards for U.S. Non-Controlled Issuers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shareholders. The significant differences between our corporate governance practices and the NYSE standards applicable to listed U.S. companies are set forth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NYSE rules do not require a listed company that is a foreign private issuer to have a board of directors that is comprised of a majority of independent directors. Under Bermuda law, we are not required to have a board of directors comprised of a majority of directors meeting the independence standards described in the NYSE rules. Accordingly, our board of directors is not required to be and is not comprised of a majority of independent directors. However, our board of directors has determined that half of our directors, specifically David P. Conner, William M. Friedrich, Dennis M. Houston, Donald J. Kintzer and Anthony S. Papadimitriou satisfy the independence standards established by the NYSE as applicable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and Compensation Committee</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Pursuant to NYSE Rules 303A.04 and 303A.05, the NYSE requires that a listed U.S. company have a nominating/corporate governance committee and a compensation committee, each composed entirely of independent directors. As permitted under Bermuda law, we have one or more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non-independent directors serving as committee members on our compensation committee and our corporate governance and nominating committee.</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NYSE Rules 303A.02 and 303A.05 contain independence requirements for compensation committee directors and compensation committee advisers for U.S. listed companies, as required by the Dodd-Frank Wall Street Reform and Consumer Protection Act of 2010. Bermuda law does not have similar requirements therefore we may not adhere to these new requirements.</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pages F-1 through F-73 included herein by reference.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p>
      <w:pPr>
        <w:jc w:val="right"/>
        <w:ind w:right="3740"/>
        <w:spacing w:after="0"/>
        <w:tabs>
          <w:tab w:leader="none" w:pos="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1.1</w:t>
      </w:r>
    </w:p>
    <w:p>
      <w:pPr>
        <w:spacing w:after="0" w:line="31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1.2</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1.3</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2.1</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4.1</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Amended Memorandum of Association of GasLog Ltd.</w:t>
        </w:r>
      </w:hyperlink>
      <w:r>
        <w:rPr>
          <w:rFonts w:ascii="Arial" w:cs="Arial" w:eastAsia="Arial" w:hAnsi="Arial"/>
          <w:sz w:val="29"/>
          <w:szCs w:val="29"/>
          <w:u w:val="single" w:color="auto"/>
          <w:color w:val="0000EE"/>
          <w:vertAlign w:val="superscript"/>
        </w:rPr>
        <w:t>(1)</w:t>
      </w:r>
    </w:p>
    <w:p>
      <w:pPr>
        <w:spacing w:after="0" w:line="159" w:lineRule="exact"/>
        <w:rPr>
          <w:sz w:val="20"/>
          <w:szCs w:val="20"/>
          <w:color w:val="auto"/>
        </w:rPr>
      </w:pPr>
    </w:p>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Bye-laws of GasLog Ltd.</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Amendment to the Bye-laws of GasLog Ltd.</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Specimen Share Certificate</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Form of Registration Rights Agreement</w:t>
        </w:r>
      </w:hyperlink>
      <w:r>
        <w:rPr>
          <w:rFonts w:ascii="Arial" w:cs="Arial" w:eastAsia="Arial" w:hAnsi="Arial"/>
          <w:sz w:val="29"/>
          <w:szCs w:val="29"/>
          <w:u w:val="single" w:color="auto"/>
          <w:color w:val="0000EE"/>
          <w:vertAlign w:val="superscript"/>
        </w:rPr>
        <w:t>(1)</w:t>
      </w:r>
    </w:p>
    <w:p>
      <w:pPr>
        <w:spacing w:after="0" w:line="165" w:lineRule="exact"/>
        <w:rPr>
          <w:sz w:val="20"/>
          <w:szCs w:val="20"/>
          <w:color w:val="auto"/>
        </w:rPr>
      </w:pPr>
    </w:p>
    <w:p>
      <w:pPr>
        <w:ind w:right="60"/>
        <w:spacing w:after="0" w:line="277" w:lineRule="auto"/>
        <w:rPr>
          <w:rFonts w:ascii="Arial" w:cs="Arial" w:eastAsia="Arial" w:hAnsi="Arial"/>
          <w:sz w:val="17"/>
          <w:szCs w:val="17"/>
          <w:u w:val="single" w:color="auto"/>
          <w:color w:val="0000EE"/>
        </w:rPr>
      </w:pPr>
      <w:hyperlink r:id="rId170">
        <w:r>
          <w:rPr>
            <w:rFonts w:ascii="Arial" w:cs="Arial" w:eastAsia="Arial" w:hAnsi="Arial"/>
            <w:sz w:val="17"/>
            <w:szCs w:val="17"/>
            <w:u w:val="single" w:color="auto"/>
            <w:color w:val="0000EE"/>
          </w:rPr>
          <w:t>Facility Agreement dated December 23, 2011, relating to a $435,000,000 loan facility among GAS-eight Ltd.,</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GAS-nine Ltd. and GAS-ten Ltd. as borrowers, DnB Bank ASA, Commonwealth Bank of Australia, Danish Ship</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Finance A/S, ING Bank N.V. and Skandinaviska Enskilda Banken AB (publ) as mandated lead arrangers, the</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financial institutions listed in Schedule 1 thereto as lenders, the financial institutions listed in Schedule 1 thereto as</w:t>
        </w:r>
      </w:hyperlink>
      <w:r>
        <w:rPr>
          <w:rFonts w:ascii="Arial" w:cs="Arial" w:eastAsia="Arial" w:hAnsi="Arial"/>
          <w:sz w:val="17"/>
          <w:szCs w:val="17"/>
          <w:u w:val="single" w:color="auto"/>
          <w:color w:val="0000EE"/>
        </w:rPr>
        <w:t xml:space="preserve"> </w:t>
      </w:r>
      <w:hyperlink r:id="rId170">
        <w:r>
          <w:rPr>
            <w:rFonts w:ascii="Arial" w:cs="Arial" w:eastAsia="Arial" w:hAnsi="Arial"/>
            <w:sz w:val="17"/>
            <w:szCs w:val="17"/>
            <w:u w:val="single" w:color="auto"/>
            <w:color w:val="0000EE"/>
          </w:rPr>
          <w:t>hedging providers and DnB Bank ASA as bookrunner, agent and security agent</w:t>
        </w:r>
        <w:r>
          <w:rPr>
            <w:rFonts w:ascii="Arial" w:cs="Arial" w:eastAsia="Arial" w:hAnsi="Arial"/>
            <w:sz w:val="28"/>
            <w:szCs w:val="28"/>
            <w:u w:val="single" w:color="auto"/>
            <w:color w:val="0000EE"/>
            <w:vertAlign w:val="superscript"/>
          </w:rPr>
          <w:t>(1)</w:t>
        </w:r>
        <w:r>
          <w:rPr>
            <w:rFonts w:ascii="Arial" w:cs="Arial" w:eastAsia="Arial" w:hAnsi="Arial"/>
            <w:sz w:val="17"/>
            <w:szCs w:val="17"/>
            <w:u w:val="single" w:color="auto"/>
            <w:color w:val="0000EE"/>
          </w:rPr>
          <w:t>*</w:t>
        </w:r>
      </w:hyperlink>
    </w:p>
    <w:p>
      <w:pPr>
        <w:spacing w:after="0" w:line="90" w:lineRule="exact"/>
        <w:rPr>
          <w:rFonts w:ascii="Arial" w:cs="Arial" w:eastAsia="Arial" w:hAnsi="Arial"/>
          <w:sz w:val="17"/>
          <w:szCs w:val="17"/>
          <w:u w:val="single" w:color="auto"/>
          <w:color w:val="0000EE"/>
        </w:rPr>
      </w:pPr>
    </w:p>
    <w:p>
      <w:pPr>
        <w:sectPr>
          <w:pgSz w:w="11900" w:h="16838" w:orient="portrait"/>
          <w:cols w:equalWidth="0" w:num="2">
            <w:col w:w="1980" w:space="160"/>
            <w:col w:w="8140"/>
          </w:cols>
          <w:pgMar w:left="240" w:top="131" w:right="1379" w:bottom="1440" w:gutter="0" w:footer="0" w:header="0"/>
          <w:type w:val="continuous"/>
        </w:sectPr>
      </w:pPr>
    </w:p>
    <w:p>
      <w:pPr>
        <w:ind w:left="1760"/>
        <w:spacing w:after="0"/>
        <w:rPr>
          <w:sz w:val="20"/>
          <w:szCs w:val="20"/>
          <w:color w:val="auto"/>
        </w:rPr>
      </w:pPr>
      <w:r>
        <w:rPr>
          <w:rFonts w:ascii="Arial" w:cs="Arial" w:eastAsia="Arial" w:hAnsi="Arial"/>
          <w:sz w:val="15"/>
          <w:szCs w:val="15"/>
          <w:color w:val="auto"/>
        </w:rPr>
        <w:t>4.3</w:t>
      </w:r>
    </w:p>
    <w:p>
      <w:pPr>
        <w:spacing w:after="0" w:line="200" w:lineRule="exact"/>
        <w:rPr>
          <w:rFonts w:ascii="Arial" w:cs="Arial" w:eastAsia="Arial" w:hAnsi="Arial"/>
          <w:sz w:val="17"/>
          <w:szCs w:val="17"/>
          <w:u w:val="single" w:color="auto"/>
          <w:color w:val="0000EE"/>
        </w:rPr>
      </w:pPr>
    </w:p>
    <w:p>
      <w:pPr>
        <w:spacing w:after="0" w:line="343" w:lineRule="exact"/>
        <w:rPr>
          <w:rFonts w:ascii="Arial" w:cs="Arial" w:eastAsia="Arial" w:hAnsi="Arial"/>
          <w:sz w:val="17"/>
          <w:szCs w:val="17"/>
          <w:u w:val="single" w:color="auto"/>
          <w:color w:val="0000EE"/>
        </w:rPr>
      </w:pPr>
    </w:p>
    <w:p>
      <w:pPr>
        <w:ind w:left="1760"/>
        <w:spacing w:after="0"/>
        <w:rPr>
          <w:sz w:val="20"/>
          <w:szCs w:val="20"/>
          <w:color w:val="auto"/>
        </w:rPr>
      </w:pPr>
      <w:r>
        <w:rPr>
          <w:rFonts w:ascii="Arial" w:cs="Arial" w:eastAsia="Arial" w:hAnsi="Arial"/>
          <w:sz w:val="15"/>
          <w:szCs w:val="15"/>
          <w:color w:val="auto"/>
        </w:rPr>
        <w:t>4.4</w:t>
      </w:r>
    </w:p>
    <w:p>
      <w:pPr>
        <w:spacing w:after="0" w:line="200" w:lineRule="exact"/>
        <w:rPr>
          <w:rFonts w:ascii="Arial" w:cs="Arial" w:eastAsia="Arial" w:hAnsi="Arial"/>
          <w:sz w:val="17"/>
          <w:szCs w:val="17"/>
          <w:u w:val="single" w:color="auto"/>
          <w:color w:val="0000EE"/>
        </w:rPr>
      </w:pPr>
    </w:p>
    <w:p>
      <w:pPr>
        <w:spacing w:after="0" w:line="343" w:lineRule="exact"/>
        <w:rPr>
          <w:rFonts w:ascii="Arial" w:cs="Arial" w:eastAsia="Arial" w:hAnsi="Arial"/>
          <w:sz w:val="17"/>
          <w:szCs w:val="17"/>
          <w:u w:val="single" w:color="auto"/>
          <w:color w:val="0000EE"/>
        </w:rPr>
      </w:pPr>
    </w:p>
    <w:p>
      <w:pPr>
        <w:ind w:left="1760"/>
        <w:spacing w:after="0"/>
        <w:rPr>
          <w:sz w:val="20"/>
          <w:szCs w:val="20"/>
          <w:color w:val="auto"/>
        </w:rPr>
      </w:pPr>
      <w:r>
        <w:rPr>
          <w:rFonts w:ascii="Arial" w:cs="Arial" w:eastAsia="Arial" w:hAnsi="Arial"/>
          <w:sz w:val="15"/>
          <w:szCs w:val="15"/>
          <w:color w:val="auto"/>
        </w:rPr>
        <w:t>4.5</w:t>
      </w:r>
    </w:p>
    <w:p>
      <w:pPr>
        <w:spacing w:after="0" w:line="327" w:lineRule="exact"/>
        <w:rPr>
          <w:rFonts w:ascii="Arial" w:cs="Arial" w:eastAsia="Arial" w:hAnsi="Arial"/>
          <w:sz w:val="17"/>
          <w:szCs w:val="17"/>
          <w:u w:val="single" w:color="auto"/>
          <w:color w:val="0000EE"/>
        </w:rPr>
      </w:pPr>
    </w:p>
    <w:p>
      <w:pPr>
        <w:ind w:left="1760"/>
        <w:spacing w:after="0"/>
        <w:rPr>
          <w:sz w:val="20"/>
          <w:szCs w:val="20"/>
          <w:color w:val="auto"/>
        </w:rPr>
      </w:pPr>
      <w:r>
        <w:rPr>
          <w:rFonts w:ascii="Arial" w:cs="Arial" w:eastAsia="Arial" w:hAnsi="Arial"/>
          <w:sz w:val="15"/>
          <w:szCs w:val="15"/>
          <w:color w:val="auto"/>
        </w:rPr>
        <w:t>4.6</w:t>
      </w:r>
    </w:p>
    <w:p>
      <w:pPr>
        <w:spacing w:after="0" w:line="327" w:lineRule="exact"/>
        <w:rPr>
          <w:rFonts w:ascii="Arial" w:cs="Arial" w:eastAsia="Arial" w:hAnsi="Arial"/>
          <w:sz w:val="17"/>
          <w:szCs w:val="17"/>
          <w:u w:val="single" w:color="auto"/>
          <w:color w:val="0000EE"/>
        </w:rPr>
      </w:pPr>
    </w:p>
    <w:p>
      <w:pPr>
        <w:ind w:left="1760"/>
        <w:spacing w:after="0"/>
        <w:rPr>
          <w:sz w:val="20"/>
          <w:szCs w:val="20"/>
          <w:color w:val="auto"/>
        </w:rPr>
      </w:pPr>
      <w:r>
        <w:rPr>
          <w:rFonts w:ascii="Arial" w:cs="Arial" w:eastAsia="Arial" w:hAnsi="Arial"/>
          <w:sz w:val="15"/>
          <w:szCs w:val="15"/>
          <w:color w:val="auto"/>
        </w:rPr>
        <w:t>4.7</w:t>
      </w:r>
    </w:p>
    <w:p>
      <w:pPr>
        <w:spacing w:after="0" w:line="327" w:lineRule="exact"/>
        <w:rPr>
          <w:rFonts w:ascii="Arial" w:cs="Arial" w:eastAsia="Arial" w:hAnsi="Arial"/>
          <w:sz w:val="17"/>
          <w:szCs w:val="17"/>
          <w:u w:val="single" w:color="auto"/>
          <w:color w:val="0000EE"/>
        </w:rPr>
      </w:pPr>
    </w:p>
    <w:p>
      <w:pPr>
        <w:ind w:left="1760"/>
        <w:spacing w:after="0"/>
        <w:rPr>
          <w:sz w:val="20"/>
          <w:szCs w:val="20"/>
          <w:color w:val="auto"/>
        </w:rPr>
      </w:pPr>
      <w:r>
        <w:rPr>
          <w:rFonts w:ascii="Arial" w:cs="Arial" w:eastAsia="Arial" w:hAnsi="Arial"/>
          <w:sz w:val="15"/>
          <w:szCs w:val="15"/>
          <w:color w:val="auto"/>
        </w:rPr>
        <w:t>4.8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160"/>
        <w:spacing w:after="0" w:line="282" w:lineRule="auto"/>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Master Time Charter Party among GAS-one Ltd., GAS-two Ltd., GAS-three Ltd., GAS-four Ltd., GAS-five Ltd.,</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GAS-six Ltd. and Methane Services Limited, dated May 9, 2011</w:t>
        </w:r>
        <w:r>
          <w:rPr>
            <w:rFonts w:ascii="Arial" w:cs="Arial" w:eastAsia="Arial" w:hAnsi="Arial"/>
            <w:sz w:val="29"/>
            <w:szCs w:val="29"/>
            <w:u w:val="single" w:color="auto"/>
            <w:color w:val="0000EE"/>
            <w:vertAlign w:val="superscript"/>
          </w:rPr>
          <w:t>(1)</w:t>
        </w:r>
        <w:r>
          <w:rPr>
            <w:rFonts w:ascii="Arial" w:cs="Arial" w:eastAsia="Arial" w:hAnsi="Arial"/>
            <w:sz w:val="18"/>
            <w:szCs w:val="18"/>
            <w:u w:val="single" w:color="auto"/>
            <w:color w:val="0000EE"/>
          </w:rPr>
          <w:t>*</w:t>
        </w:r>
      </w:hyperlink>
    </w:p>
    <w:p>
      <w:pPr>
        <w:spacing w:after="0" w:line="81" w:lineRule="exact"/>
        <w:rPr>
          <w:sz w:val="20"/>
          <w:szCs w:val="20"/>
          <w:color w:val="auto"/>
        </w:rPr>
      </w:pPr>
    </w:p>
    <w:p>
      <w:pPr>
        <w:ind w:right="440"/>
        <w:spacing w:after="0" w:line="333" w:lineRule="auto"/>
        <w:rPr>
          <w:rFonts w:ascii="Arial" w:cs="Arial" w:eastAsia="Arial" w:hAnsi="Arial"/>
          <w:sz w:val="16"/>
          <w:szCs w:val="16"/>
          <w:u w:val="single" w:color="auto"/>
          <w:color w:val="0000EE"/>
        </w:rPr>
      </w:pPr>
      <w:hyperlink r:id="rId172">
        <w:r>
          <w:rPr>
            <w:rFonts w:ascii="Arial" w:cs="Arial" w:eastAsia="Arial" w:hAnsi="Arial"/>
            <w:sz w:val="16"/>
            <w:szCs w:val="16"/>
            <w:u w:val="single" w:color="auto"/>
            <w:color w:val="0000EE"/>
          </w:rPr>
          <w:t>Appendix to the Private Agreement of Professional Hiring (English translation), dated December 1, 2010 and</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October 1, 2011, between Nea Dimitra Ktimatikh Kai Emporikh S.A. and GasLog LNG Services Ltd.</w:t>
        </w:r>
        <w:r>
          <w:rPr>
            <w:rFonts w:ascii="Arial" w:cs="Arial" w:eastAsia="Arial" w:hAnsi="Arial"/>
            <w:sz w:val="26"/>
            <w:szCs w:val="26"/>
            <w:u w:val="single" w:color="auto"/>
            <w:color w:val="0000EE"/>
            <w:vertAlign w:val="superscript"/>
          </w:rPr>
          <w:t>(1)</w:t>
        </w:r>
      </w:hyperlink>
    </w:p>
    <w:p>
      <w:pPr>
        <w:spacing w:after="0" w:line="47" w:lineRule="exact"/>
        <w:rPr>
          <w:sz w:val="20"/>
          <w:szCs w:val="20"/>
          <w:color w:val="auto"/>
        </w:rPr>
      </w:pPr>
    </w:p>
    <w:p>
      <w:pPr>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Form of Indemnification Agreement for the Company's directors and certain officers</w:t>
        </w:r>
      </w:hyperlink>
      <w:r>
        <w:rPr>
          <w:rFonts w:ascii="Arial" w:cs="Arial" w:eastAsia="Arial" w:hAnsi="Arial"/>
          <w:sz w:val="29"/>
          <w:szCs w:val="29"/>
          <w:u w:val="single" w:color="auto"/>
          <w:color w:val="0000EE"/>
          <w:vertAlign w:val="superscript"/>
        </w:rPr>
        <w:t>(5)</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Form of Restrictive Covenant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GasLog Ltd. 2013 Omnibus Incentive Compensation Plan</w:t>
        </w:r>
      </w:hyperlink>
      <w:r>
        <w:rPr>
          <w:rFonts w:ascii="Arial" w:cs="Arial" w:eastAsia="Arial" w:hAnsi="Arial"/>
          <w:sz w:val="29"/>
          <w:szCs w:val="29"/>
          <w:u w:val="single" w:color="auto"/>
          <w:color w:val="0000EE"/>
          <w:vertAlign w:val="superscript"/>
        </w:rPr>
        <w:t>(3)</w:t>
      </w:r>
    </w:p>
    <w:p>
      <w:pPr>
        <w:spacing w:after="0" w:line="165" w:lineRule="exact"/>
        <w:rPr>
          <w:sz w:val="20"/>
          <w:szCs w:val="20"/>
          <w:color w:val="auto"/>
        </w:rPr>
      </w:pPr>
    </w:p>
    <w:p>
      <w:pPr>
        <w:spacing w:after="0" w:line="275" w:lineRule="auto"/>
        <w:rPr>
          <w:rFonts w:ascii="Arial" w:cs="Arial" w:eastAsia="Arial" w:hAnsi="Arial"/>
          <w:sz w:val="17"/>
          <w:szCs w:val="17"/>
          <w:u w:val="single" w:color="auto"/>
          <w:color w:val="0000EE"/>
        </w:rPr>
      </w:pPr>
      <w:hyperlink r:id="rId176">
        <w:r>
          <w:rPr>
            <w:rFonts w:ascii="Arial" w:cs="Arial" w:eastAsia="Arial" w:hAnsi="Arial"/>
            <w:sz w:val="17"/>
            <w:szCs w:val="17"/>
            <w:u w:val="single" w:color="auto"/>
            <w:color w:val="0000EE"/>
          </w:rPr>
          <w:t>Facility Agreement for up to $450,000,0000 Loan Facility dated November 12, 2014 among GAS-three Ltd., GAS-</w:t>
        </w:r>
      </w:hyperlink>
      <w:hyperlink r:id="rId176">
        <w:r>
          <w:rPr>
            <w:rFonts w:ascii="Arial" w:cs="Arial" w:eastAsia="Arial" w:hAnsi="Arial"/>
            <w:sz w:val="17"/>
            <w:szCs w:val="17"/>
            <w:u w:val="single" w:color="auto"/>
            <w:color w:val="0000EE"/>
          </w:rPr>
          <w:t>four Ltd., GAS-five Ltd., GAS-sixteen Ltd. and GAS-seventeen Ltd. as borrowers, Citibank, N.A., London Branch,</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Nordea Bank Finland Plc, London Branch, DVB Bank America N.V., ABN Amro Bank N.V., Skandinaviska</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Enskilda Banken AB (Publ) and BNP Paribas, as mandated lead arrangers, the financial institutions listed in</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Schedule 1 thereto as lenders, Citibank, N.A., London Branch as bookrunner and security agent, and Citibank</w:t>
        </w:r>
      </w:hyperlink>
      <w:r>
        <w:rPr>
          <w:rFonts w:ascii="Arial" w:cs="Arial" w:eastAsia="Arial" w:hAnsi="Arial"/>
          <w:sz w:val="17"/>
          <w:szCs w:val="17"/>
          <w:u w:val="single" w:color="auto"/>
          <w:color w:val="0000EE"/>
        </w:rPr>
        <w:t xml:space="preserve"> </w:t>
      </w:r>
      <w:hyperlink r:id="rId176">
        <w:r>
          <w:rPr>
            <w:rFonts w:ascii="Arial" w:cs="Arial" w:eastAsia="Arial" w:hAnsi="Arial"/>
            <w:sz w:val="17"/>
            <w:szCs w:val="17"/>
            <w:u w:val="single" w:color="auto"/>
            <w:color w:val="0000EE"/>
          </w:rPr>
          <w:t>International Limited as agent and security trustee</w:t>
        </w:r>
        <w:r>
          <w:rPr>
            <w:rFonts w:ascii="Arial" w:cs="Arial" w:eastAsia="Arial" w:hAnsi="Arial"/>
            <w:sz w:val="28"/>
            <w:szCs w:val="28"/>
            <w:u w:val="single" w:color="auto"/>
            <w:color w:val="0000EE"/>
            <w:vertAlign w:val="superscript"/>
          </w:rPr>
          <w:t>(4)</w:t>
        </w:r>
        <w:r>
          <w:rPr>
            <w:rFonts w:ascii="Arial" w:cs="Arial" w:eastAsia="Arial" w:hAnsi="Arial"/>
            <w:sz w:val="17"/>
            <w:szCs w:val="17"/>
            <w:u w:val="single" w:color="auto"/>
            <w:color w:val="0000EE"/>
          </w:rPr>
          <w:t>*</w:t>
        </w:r>
      </w:hyperlink>
    </w:p>
    <w:p>
      <w:pPr>
        <w:spacing w:after="0" w:line="91" w:lineRule="exact"/>
        <w:rPr>
          <w:rFonts w:ascii="Arial" w:cs="Arial" w:eastAsia="Arial" w:hAnsi="Arial"/>
          <w:sz w:val="17"/>
          <w:szCs w:val="17"/>
          <w:u w:val="single" w:color="auto"/>
          <w:color w:val="0000EE"/>
        </w:rPr>
      </w:pPr>
    </w:p>
    <w:p>
      <w:pPr>
        <w:sectPr>
          <w:pgSz w:w="11900" w:h="16838" w:orient="portrait"/>
          <w:cols w:equalWidth="0" w:num="2">
            <w:col w:w="1980" w:space="160"/>
            <w:col w:w="8140"/>
          </w:cols>
          <w:pgMar w:left="240" w:top="131" w:right="1379" w:bottom="1440" w:gutter="0" w:footer="0" w:header="0"/>
          <w:type w:val="continuous"/>
        </w:sectPr>
      </w:pPr>
    </w:p>
    <w:p>
      <w:pPr>
        <w:ind w:left="1760"/>
        <w:spacing w:after="0"/>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4.9</w:t>
      </w:r>
      <w:r>
        <w:rPr>
          <w:sz w:val="20"/>
          <w:szCs w:val="20"/>
          <w:color w:val="auto"/>
        </w:rPr>
        <w:tab/>
      </w:r>
      <w:hyperlink r:id="rId177">
        <w:r>
          <w:rPr>
            <w:rFonts w:ascii="Arial" w:cs="Arial" w:eastAsia="Arial" w:hAnsi="Arial"/>
            <w:sz w:val="15"/>
            <w:szCs w:val="15"/>
            <w:u w:val="single" w:color="auto"/>
            <w:color w:val="0000EE"/>
          </w:rPr>
          <w:t>Corporate Guarantee between GasLog Partners LP and Citibank, N.A., London Branch, dated November 12,</w:t>
        </w:r>
      </w:hyperlink>
    </w:p>
    <w:p>
      <w:pPr>
        <w:spacing w:after="0" w:line="15" w:lineRule="exact"/>
        <w:rPr>
          <w:rFonts w:ascii="Arial" w:cs="Arial" w:eastAsia="Arial" w:hAnsi="Arial"/>
          <w:sz w:val="17"/>
          <w:szCs w:val="17"/>
          <w:u w:val="single" w:color="auto"/>
          <w:color w:val="0000EE"/>
        </w:rPr>
      </w:pPr>
    </w:p>
    <w:p>
      <w:pPr>
        <w:ind w:left="2140"/>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2014</w:t>
        </w:r>
        <w:r>
          <w:rPr>
            <w:rFonts w:ascii="Arial" w:cs="Arial" w:eastAsia="Arial" w:hAnsi="Arial"/>
            <w:sz w:val="29"/>
            <w:szCs w:val="29"/>
            <w:u w:val="single" w:color="auto"/>
            <w:color w:val="0000EE"/>
            <w:vertAlign w:val="superscript"/>
          </w:rPr>
          <w:t>(4)</w:t>
        </w:r>
      </w:hyperlink>
    </w:p>
    <w:p>
      <w:pPr>
        <w:spacing w:after="0" w:line="133" w:lineRule="exact"/>
        <w:rPr>
          <w:rFonts w:ascii="Arial" w:cs="Arial" w:eastAsia="Arial" w:hAnsi="Arial"/>
          <w:sz w:val="17"/>
          <w:szCs w:val="17"/>
          <w:u w:val="single" w:color="auto"/>
          <w:color w:val="0000EE"/>
        </w:rPr>
      </w:pPr>
    </w:p>
    <w:p>
      <w:pPr>
        <w:ind w:left="5580"/>
        <w:spacing w:after="0"/>
        <w:rPr>
          <w:sz w:val="20"/>
          <w:szCs w:val="20"/>
          <w:color w:val="auto"/>
        </w:rPr>
      </w:pPr>
      <w:r>
        <w:rPr>
          <w:rFonts w:ascii="Arial" w:cs="Arial" w:eastAsia="Arial" w:hAnsi="Arial"/>
          <w:sz w:val="18"/>
          <w:szCs w:val="18"/>
          <w:color w:val="auto"/>
        </w:rPr>
        <w:t>136</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hanging="468"/>
        <w:spacing w:after="0" w:line="281"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180">
        <w:r>
          <w:rPr>
            <w:rFonts w:ascii="Arial" w:cs="Arial" w:eastAsia="Arial" w:hAnsi="Arial"/>
            <w:sz w:val="16"/>
            <w:szCs w:val="16"/>
            <w:u w:val="single" w:color="auto"/>
            <w:color w:val="0000EE"/>
          </w:rPr>
          <w:t>Facilities Agreement for $1,311,356,340 Loan Facilities dated October 16, 2015 between GAS-eleven Ltd., GAS-</w:t>
        </w:r>
      </w:hyperlink>
      <w:hyperlink r:id="rId180">
        <w:r>
          <w:rPr>
            <w:rFonts w:ascii="Arial" w:cs="Arial" w:eastAsia="Arial" w:hAnsi="Arial"/>
            <w:sz w:val="16"/>
            <w:szCs w:val="16"/>
            <w:u w:val="single" w:color="auto"/>
            <w:color w:val="0000EE"/>
          </w:rPr>
          <w:t>twelve Ltd., GAS-thirteen Ltd., GAS-fourteen Ltd., GAS-twenty two Ltd., GAS-twenty three Ltd., GAS-twenty</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four Ltd., GAS-twenty five Ltd., as borrowers, Citibank, N.A., London Branch, Nordea Bank AB, London Branch,</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The Export-Import Bank of Korea, Bank of America, National Association, BNP Paribas, Credit Agricole</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Corporate and Investment Bank, Credit Suisse AG, HSBC Bank plc, ING Bank N.V., London Branch, KEB Hana</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Bank, London Branch, KfW IPEX-Bank GmbH, National Australia Bank Limited, Oversea-Chinese Banking</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Corporation Limited, Societe Generale and The Korea Development Bank as mandated lead arrangers with Nordea</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Bank AB, London Branch as agent, security agent, global co-ordinator and bookrunner and Citibank N.A., London</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Branch as export credit agent, global co-ordinator, bookrunner and export credit agent co-ordinator, guaranteed by</w:t>
        </w:r>
      </w:hyperlink>
    </w:p>
    <w:p>
      <w:pPr>
        <w:spacing w:after="0" w:line="4" w:lineRule="exact"/>
        <w:rPr>
          <w:rFonts w:ascii="Arial" w:cs="Arial" w:eastAsia="Arial" w:hAnsi="Arial"/>
          <w:sz w:val="16"/>
          <w:szCs w:val="16"/>
          <w:u w:val="single" w:color="auto"/>
          <w:color w:val="0000EE"/>
        </w:rPr>
      </w:pPr>
    </w:p>
    <w:p>
      <w:pPr>
        <w:ind w:left="2140"/>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GasLog Ltd. and GasLog Carriers Ltd.</w:t>
        </w:r>
        <w:r>
          <w:rPr>
            <w:rFonts w:ascii="Arial" w:cs="Arial" w:eastAsia="Arial" w:hAnsi="Arial"/>
            <w:sz w:val="29"/>
            <w:szCs w:val="29"/>
            <w:u w:val="single" w:color="auto"/>
            <w:color w:val="0000EE"/>
            <w:vertAlign w:val="superscript"/>
          </w:rPr>
          <w:t>(5)</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40" w:right="240" w:hanging="462"/>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181">
        <w:r>
          <w:rPr>
            <w:rFonts w:ascii="Arial" w:cs="Arial" w:eastAsia="Arial" w:hAnsi="Arial"/>
            <w:sz w:val="16"/>
            <w:szCs w:val="16"/>
            <w:u w:val="single" w:color="auto"/>
            <w:color w:val="0000EE"/>
          </w:rPr>
          <w:t>Senior Facility Agreement dated February 18, 2016, relating to a $396,500,000 loan facility among GAS-</w:t>
        </w:r>
      </w:hyperlink>
      <w:hyperlink r:id="rId181">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Australia, ING Bank N.V., London Branch, Credit Agricole Corporate and Investment Bank, National Australia</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7"/>
          <w:szCs w:val="17"/>
          <w:u w:val="single" w:color="auto"/>
          <w:color w:val="0000EE"/>
        </w:rPr>
      </w:pPr>
      <w:hyperlink r:id="rId181">
        <w:r>
          <w:rPr>
            <w:rFonts w:ascii="Arial" w:cs="Arial" w:eastAsia="Arial" w:hAnsi="Arial"/>
            <w:sz w:val="17"/>
            <w:szCs w:val="17"/>
            <w:u w:val="single" w:color="auto"/>
            <w:color w:val="0000EE"/>
          </w:rPr>
          <w:t>Bank Limited as original lenders and DNB Bank ASA, London Branch as agent and security agent.</w:t>
        </w:r>
        <w:r>
          <w:rPr>
            <w:rFonts w:ascii="Arial" w:cs="Arial" w:eastAsia="Arial" w:hAnsi="Arial"/>
            <w:sz w:val="28"/>
            <w:szCs w:val="28"/>
            <w:u w:val="single" w:color="auto"/>
            <w:color w:val="0000EE"/>
            <w:vertAlign w:val="superscript"/>
          </w:rPr>
          <w:t>(5)</w:t>
        </w:r>
        <w:r>
          <w:rPr>
            <w:rFonts w:ascii="Arial" w:cs="Arial" w:eastAsia="Arial" w:hAnsi="Arial"/>
            <w:sz w:val="17"/>
            <w:szCs w:val="17"/>
            <w:u w:val="single" w:color="auto"/>
            <w:color w:val="0000EE"/>
          </w:rPr>
          <w:t>*</w:t>
        </w:r>
      </w:hyperlink>
    </w:p>
    <w:p>
      <w:pPr>
        <w:spacing w:after="0" w:line="171" w:lineRule="exact"/>
        <w:rPr>
          <w:rFonts w:ascii="Arial" w:cs="Arial" w:eastAsia="Arial" w:hAnsi="Arial"/>
          <w:sz w:val="16"/>
          <w:szCs w:val="16"/>
          <w:u w:val="single" w:color="auto"/>
          <w:color w:val="0000EE"/>
        </w:rPr>
      </w:pPr>
    </w:p>
    <w:p>
      <w:pPr>
        <w:ind w:left="2140" w:right="100" w:hanging="468"/>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182">
        <w:r>
          <w:rPr>
            <w:rFonts w:ascii="Arial" w:cs="Arial" w:eastAsia="Arial" w:hAnsi="Arial"/>
            <w:sz w:val="16"/>
            <w:szCs w:val="16"/>
            <w:u w:val="single" w:color="auto"/>
            <w:color w:val="0000EE"/>
          </w:rPr>
          <w:t>Junior Facility Agreement dated February 18, 2016, relating to a $180,000,000 loan facility among GAS-</w:t>
        </w:r>
      </w:hyperlink>
      <w:hyperlink r:id="rId182">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Australia, ING Bank N.V., London Branch, as original lenders and DNB Bank ASA, London Branch as agent and</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security agent.</w:t>
        </w:r>
        <w:r>
          <w:rPr>
            <w:rFonts w:ascii="Arial" w:cs="Arial" w:eastAsia="Arial" w:hAnsi="Arial"/>
            <w:sz w:val="29"/>
            <w:szCs w:val="29"/>
            <w:u w:val="single" w:color="auto"/>
            <w:color w:val="0000EE"/>
            <w:vertAlign w:val="superscript"/>
          </w:rPr>
          <w:t>(5)</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40" w:right="100" w:hanging="468"/>
        <w:spacing w:after="0" w:line="33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183">
        <w:r>
          <w:rPr>
            <w:rFonts w:ascii="Arial" w:cs="Arial" w:eastAsia="Arial" w:hAnsi="Arial"/>
            <w:sz w:val="16"/>
            <w:szCs w:val="16"/>
            <w:u w:val="single" w:color="auto"/>
            <w:color w:val="0000EE"/>
          </w:rPr>
          <w:t>Form of Corporate Guarantee between GasLog Ltd. and DNB Bank ASA, London Branch (provided in respect of</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the Junior Facility Agreement and the Senior Facility Agreement, each dated February 18, 2016).</w:t>
        </w:r>
        <w:r>
          <w:rPr>
            <w:rFonts w:ascii="Arial" w:cs="Arial" w:eastAsia="Arial" w:hAnsi="Arial"/>
            <w:sz w:val="26"/>
            <w:szCs w:val="26"/>
            <w:u w:val="single" w:color="auto"/>
            <w:color w:val="0000EE"/>
            <w:vertAlign w:val="superscript"/>
          </w:rPr>
          <w:t>(5)</w:t>
        </w:r>
      </w:hyperlink>
    </w:p>
    <w:p>
      <w:pPr>
        <w:spacing w:after="0" w:line="46" w:lineRule="exact"/>
        <w:rPr>
          <w:sz w:val="20"/>
          <w:szCs w:val="20"/>
          <w:color w:val="auto"/>
        </w:rPr>
      </w:pPr>
    </w:p>
    <w:p>
      <w:pPr>
        <w:jc w:val="right"/>
        <w:ind w:left="1680" w:right="300"/>
        <w:spacing w:after="0" w:line="333"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4.14  </w:t>
      </w:r>
      <w:hyperlink r:id="rId184">
        <w:r>
          <w:rPr>
            <w:rFonts w:ascii="Arial" w:cs="Arial" w:eastAsia="Arial" w:hAnsi="Arial"/>
            <w:sz w:val="16"/>
            <w:szCs w:val="16"/>
            <w:u w:val="single" w:color="auto"/>
            <w:color w:val="0000EE"/>
          </w:rPr>
          <w:t>Form of Corporate Guarantee between GasLog Partners LP and DNB Bank ASA, London Branch (provided in</w:t>
        </w:r>
      </w:hyperlink>
      <w:r>
        <w:rPr>
          <w:rFonts w:ascii="Arial" w:cs="Arial" w:eastAsia="Arial" w:hAnsi="Arial"/>
          <w:sz w:val="16"/>
          <w:szCs w:val="16"/>
          <w:color w:val="auto"/>
        </w:rPr>
        <w:t xml:space="preserve"> </w:t>
      </w:r>
      <w:hyperlink r:id="rId184">
        <w:r>
          <w:rPr>
            <w:rFonts w:ascii="Arial" w:cs="Arial" w:eastAsia="Arial" w:hAnsi="Arial"/>
            <w:sz w:val="16"/>
            <w:szCs w:val="16"/>
            <w:u w:val="single" w:color="auto"/>
            <w:color w:val="0000EE"/>
          </w:rPr>
          <w:t>respect of the Junior Facility Agreement and the Senior Facility Agreement, each dated February 18, 2016).</w:t>
        </w:r>
        <w:r>
          <w:rPr>
            <w:rFonts w:ascii="Arial" w:cs="Arial" w:eastAsia="Arial" w:hAnsi="Arial"/>
            <w:sz w:val="26"/>
            <w:szCs w:val="26"/>
            <w:u w:val="single" w:color="auto"/>
            <w:color w:val="0000EE"/>
            <w:vertAlign w:val="superscript"/>
          </w:rPr>
          <w:t>(5)</w:t>
        </w:r>
      </w:hyperlink>
    </w:p>
    <w:p>
      <w:pPr>
        <w:spacing w:after="0" w:line="46" w:lineRule="exact"/>
        <w:rPr>
          <w:sz w:val="20"/>
          <w:szCs w:val="20"/>
          <w:color w:val="auto"/>
        </w:rPr>
      </w:pPr>
    </w:p>
    <w:p>
      <w:pPr>
        <w:ind w:left="2140" w:right="40" w:hanging="468"/>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4.15</w:t>
      </w:r>
      <w:r>
        <w:rPr>
          <w:sz w:val="20"/>
          <w:szCs w:val="20"/>
          <w:color w:val="auto"/>
        </w:rPr>
        <w:tab/>
      </w:r>
      <w:hyperlink r:id="rId185">
        <w:r>
          <w:rPr>
            <w:rFonts w:ascii="Arial" w:cs="Arial" w:eastAsia="Arial" w:hAnsi="Arial"/>
            <w:sz w:val="16"/>
            <w:szCs w:val="16"/>
            <w:u w:val="single" w:color="auto"/>
            <w:color w:val="0000EE"/>
          </w:rPr>
          <w:t>Facilities Agreement dated July 19, 2016, relating to $1,050,000,000 Term Loan and Revolving Credit Facilities</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among GAS-one Ltd., GAS-two Ltd., GAS-six Ltd., GAS-seven Ltd., GAS-eight Ltd., GAS-nine Ltd., GAS-</w:t>
        </w:r>
      </w:hyperlink>
      <w:hyperlink r:id="rId185">
        <w:r>
          <w:rPr>
            <w:rFonts w:ascii="Arial" w:cs="Arial" w:eastAsia="Arial" w:hAnsi="Arial"/>
            <w:sz w:val="16"/>
            <w:szCs w:val="16"/>
            <w:u w:val="single" w:color="auto"/>
            <w:color w:val="0000EE"/>
          </w:rPr>
          <w:t>ten Ltd. and GAS-fifteen Ltd. as borrowers, Citigroup Global Market Limited, Credit Suisse AG, Nordea Bank</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AB, London Branch, Skandinaviska Enskilda Banken AB (publ), HSBC Bank plc, ING Bank N.V., London</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Branch, Danmarks Skibskredit A/S and The Korea Development Bank as mandated lead arrangers and DVB Bank</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America N.V. as arranger with Nordea Bank AB, London Branch as agent and security agent.</w:t>
        </w:r>
        <w:r>
          <w:rPr>
            <w:rFonts w:ascii="Arial" w:cs="Arial" w:eastAsia="Arial" w:hAnsi="Arial"/>
            <w:sz w:val="29"/>
            <w:szCs w:val="29"/>
            <w:u w:val="single" w:color="auto"/>
            <w:color w:val="0000EE"/>
            <w:vertAlign w:val="superscript"/>
          </w:rPr>
          <w:t>(6)</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1760"/>
        <w:spacing w:after="0"/>
        <w:tabs>
          <w:tab w:leader="none" w:pos="21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List of Subsidiaries of GasLog Ltd.</w:t>
      </w:r>
    </w:p>
    <w:p>
      <w:pPr>
        <w:spacing w:after="0" w:line="252" w:lineRule="exact"/>
        <w:rPr>
          <w:rFonts w:ascii="Arial" w:cs="Arial" w:eastAsia="Arial" w:hAnsi="Arial"/>
          <w:sz w:val="16"/>
          <w:szCs w:val="16"/>
          <w:u w:val="single" w:color="auto"/>
          <w:color w:val="0000EE"/>
        </w:rPr>
      </w:pPr>
    </w:p>
    <w:p>
      <w:pPr>
        <w:ind w:left="1680"/>
        <w:spacing w:after="0"/>
        <w:tabs>
          <w:tab w:leader="none" w:pos="2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0000EE"/>
        </w:rPr>
        <w:t>Rule 13a-14(a)/15d-14(a) Certification of GasLog Ltd.'s Chief Executive Officer</w:t>
      </w:r>
    </w:p>
    <w:p>
      <w:pPr>
        <w:spacing w:after="0" w:line="252" w:lineRule="exact"/>
        <w:rPr>
          <w:rFonts w:ascii="Arial" w:cs="Arial" w:eastAsia="Arial" w:hAnsi="Arial"/>
          <w:sz w:val="16"/>
          <w:szCs w:val="16"/>
          <w:u w:val="single" w:color="auto"/>
          <w:color w:val="0000EE"/>
        </w:rPr>
      </w:pPr>
    </w:p>
    <w:p>
      <w:pPr>
        <w:ind w:left="1680"/>
        <w:spacing w:after="0"/>
        <w:tabs>
          <w:tab w:leader="none" w:pos="21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0000EE"/>
        </w:rPr>
        <w:t>Rule 13a-14(a)/15d-14(a) Certification of GasLog Ltd.'s Chief Financial Officer</w:t>
      </w:r>
    </w:p>
    <w:p>
      <w:pPr>
        <w:spacing w:after="0" w:line="225"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137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8"/>
              </w:rPr>
              <w:t>Exhibit No.</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gridSpan w:val="5"/>
          </w:tcPr>
          <w:p>
            <w:pPr>
              <w:ind w:left="200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13.1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gridSpan w:val="7"/>
          </w:tcPr>
          <w:p>
            <w:pPr>
              <w:spacing w:after="0" w:line="170" w:lineRule="exact"/>
              <w:rPr>
                <w:sz w:val="20"/>
                <w:szCs w:val="20"/>
                <w:color w:val="auto"/>
              </w:rPr>
            </w:pPr>
            <w:r>
              <w:rPr>
                <w:rFonts w:ascii="Arial" w:cs="Arial" w:eastAsia="Arial" w:hAnsi="Arial"/>
                <w:sz w:val="18"/>
                <w:szCs w:val="18"/>
                <w:color w:val="0000EE"/>
                <w:w w:val="89"/>
              </w:rPr>
              <w:t>GasLog Ltd. Certification of Paul Wogan, Chief Executive Officer, pursuant to 18 U.S.C. Section 1350, as adopted</w:t>
            </w: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pursuant to Section 906 of the U.S. Sarbanes-Oxley Act of 2002</w:t>
            </w:r>
          </w:p>
        </w:tc>
        <w:tc>
          <w:tcPr>
            <w:tcW w:w="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0000EE"/>
                <w:w w:val="94"/>
              </w:rPr>
              <w:t>GasLog Ltd. Certification of Alastair Maxwell, Chief Financial Officer, pursuant to 18 U.S.C. Section 1350, as</w:t>
            </w: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7"/>
              </w:rPr>
              <w:t>adopted pursuant to Section 906 of the U.S. Sarbanes-Oxley Act of 2002</w:t>
            </w:r>
          </w:p>
        </w:tc>
        <w:tc>
          <w:tcPr>
            <w:tcW w:w="2680" w:type="dxa"/>
            <w:vAlign w:val="bottom"/>
            <w:tcBorders>
              <w:top w:val="single" w:sz="8" w:color="0000EE"/>
            </w:tcBorders>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Consent of Deloitte LLP</w:t>
            </w:r>
          </w:p>
        </w:tc>
        <w:tc>
          <w:tcPr>
            <w:tcW w:w="6400" w:type="dxa"/>
            <w:vAlign w:val="bottom"/>
            <w:gridSpan w:val="5"/>
          </w:tcPr>
          <w:p>
            <w:pPr>
              <w:spacing w:after="0"/>
              <w:rPr>
                <w:sz w:val="24"/>
                <w:szCs w:val="24"/>
                <w:color w:val="auto"/>
              </w:rPr>
            </w:pPr>
          </w:p>
        </w:tc>
      </w:tr>
      <w:tr>
        <w:trPr>
          <w:trHeight w:val="478"/>
        </w:trPr>
        <w:tc>
          <w:tcPr>
            <w:tcW w:w="840" w:type="dxa"/>
            <w:vAlign w:val="bottom"/>
          </w:tcPr>
          <w:p>
            <w:pPr>
              <w:jc w:val="right"/>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auto"/>
              </w:rPr>
              <w:t>XBRL Taxonomy Extension Scheme Calculation Linkbase</w:t>
            </w: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auto"/>
              </w:rPr>
              <w:t>XBRL Taxonomy Extension Scheme Definition Linkbase</w:t>
            </w: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auto"/>
              </w:rPr>
              <w:t>XBRL Taxonomy Extension Scheme Label Linkbase</w:t>
            </w: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auto"/>
              </w:rPr>
              <w:t>XBRL Taxonomy Extension Scheme Presentation Linkbase</w:t>
            </w:r>
          </w:p>
        </w:tc>
      </w:tr>
      <w:tr>
        <w:trPr>
          <w:trHeight w:val="110"/>
        </w:trPr>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92" w:lineRule="exact"/>
        <w:rPr>
          <w:sz w:val="20"/>
          <w:szCs w:val="20"/>
          <w:color w:val="auto"/>
        </w:rPr>
      </w:pPr>
    </w:p>
    <w:p>
      <w:pPr>
        <w:ind w:left="1680" w:right="480" w:hanging="531"/>
        <w:spacing w:after="0" w:line="239" w:lineRule="auto"/>
        <w:tabs>
          <w:tab w:leader="none" w:pos="1680" w:val="left"/>
        </w:tabs>
        <w:numPr>
          <w:ilvl w:val="0"/>
          <w:numId w:val="97"/>
        </w:numPr>
        <w:rPr>
          <w:rFonts w:ascii="Arial" w:cs="Arial" w:eastAsia="Arial" w:hAnsi="Arial"/>
          <w:sz w:val="11"/>
          <w:szCs w:val="11"/>
          <w:color w:val="auto"/>
        </w:rPr>
      </w:pPr>
      <w:r>
        <w:rPr>
          <w:rFonts w:ascii="Arial" w:cs="Arial" w:eastAsia="Arial" w:hAnsi="Arial"/>
          <w:sz w:val="14"/>
          <w:szCs w:val="14"/>
          <w:color w:val="auto"/>
        </w:rPr>
        <w:t>Previously filed as an exhibit to GasLog Ltd.'s Registration Statement on Form F-1 (File No. 333-179034), declared effective by the SEC on March 29, 2012, and hereby incorporated by reference to such Registration Statement.</w:t>
      </w:r>
    </w:p>
    <w:p>
      <w:pPr>
        <w:spacing w:after="0" w:line="111" w:lineRule="exact"/>
        <w:rPr>
          <w:rFonts w:ascii="Arial" w:cs="Arial" w:eastAsia="Arial" w:hAnsi="Arial"/>
          <w:sz w:val="11"/>
          <w:szCs w:val="11"/>
          <w:color w:val="auto"/>
        </w:rPr>
      </w:pPr>
    </w:p>
    <w:p>
      <w:pPr>
        <w:ind w:left="1680" w:right="260" w:hanging="531"/>
        <w:spacing w:after="0" w:line="239" w:lineRule="auto"/>
        <w:tabs>
          <w:tab w:leader="none" w:pos="1680" w:val="left"/>
        </w:tabs>
        <w:numPr>
          <w:ilvl w:val="0"/>
          <w:numId w:val="97"/>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May 24, 2013, and hereby incorporated by reference to such Report.</w:t>
      </w:r>
    </w:p>
    <w:p>
      <w:pPr>
        <w:spacing w:after="0" w:line="111" w:lineRule="exact"/>
        <w:rPr>
          <w:rFonts w:ascii="Arial" w:cs="Arial" w:eastAsia="Arial" w:hAnsi="Arial"/>
          <w:sz w:val="11"/>
          <w:szCs w:val="11"/>
          <w:color w:val="auto"/>
        </w:rPr>
      </w:pPr>
    </w:p>
    <w:p>
      <w:pPr>
        <w:ind w:left="1680" w:right="140" w:hanging="531"/>
        <w:spacing w:after="0" w:line="239" w:lineRule="auto"/>
        <w:tabs>
          <w:tab w:leader="none" w:pos="1680" w:val="left"/>
        </w:tabs>
        <w:numPr>
          <w:ilvl w:val="0"/>
          <w:numId w:val="97"/>
        </w:numPr>
        <w:rPr>
          <w:rFonts w:ascii="Arial" w:cs="Arial" w:eastAsia="Arial" w:hAnsi="Arial"/>
          <w:sz w:val="11"/>
          <w:szCs w:val="11"/>
          <w:color w:val="auto"/>
        </w:rPr>
      </w:pPr>
      <w:r>
        <w:rPr>
          <w:rFonts w:ascii="Arial" w:cs="Arial" w:eastAsia="Arial" w:hAnsi="Arial"/>
          <w:sz w:val="14"/>
          <w:szCs w:val="14"/>
          <w:color w:val="auto"/>
        </w:rPr>
        <w:t>Previously filed as an exhibit to GasLog Ltd.'s Registration Statement on Form S-8 (File No. 333-187020), filed with the SEC on March 4, 2013, or an amendment thereto, and hereby incorporated by reference to such Registration Statement.</w:t>
      </w:r>
    </w:p>
    <w:p>
      <w:pPr>
        <w:spacing w:after="0" w:line="111" w:lineRule="exact"/>
        <w:rPr>
          <w:rFonts w:ascii="Arial" w:cs="Arial" w:eastAsia="Arial" w:hAnsi="Arial"/>
          <w:sz w:val="11"/>
          <w:szCs w:val="11"/>
          <w:color w:val="auto"/>
        </w:rPr>
      </w:pPr>
    </w:p>
    <w:p>
      <w:pPr>
        <w:ind w:left="1680" w:right="100" w:hanging="531"/>
        <w:spacing w:after="0" w:line="239" w:lineRule="auto"/>
        <w:tabs>
          <w:tab w:leader="none" w:pos="1680" w:val="left"/>
        </w:tabs>
        <w:numPr>
          <w:ilvl w:val="0"/>
          <w:numId w:val="97"/>
        </w:numPr>
        <w:rPr>
          <w:rFonts w:ascii="Arial" w:cs="Arial" w:eastAsia="Arial" w:hAnsi="Arial"/>
          <w:sz w:val="11"/>
          <w:szCs w:val="11"/>
          <w:color w:val="auto"/>
        </w:rPr>
      </w:pPr>
      <w:r>
        <w:rPr>
          <w:rFonts w:ascii="Arial" w:cs="Arial" w:eastAsia="Arial" w:hAnsi="Arial"/>
          <w:sz w:val="14"/>
          <w:szCs w:val="14"/>
          <w:color w:val="auto"/>
        </w:rPr>
        <w:t>Previously filed as an exhibit to GasLog Partners LP's Annual Report on Form 20-F (File No. 001-36433), filed with the SEC on February 17, 2015, and hereby incorporated by reference to such Report.</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97"/>
        </w:numPr>
        <w:rPr>
          <w:rFonts w:ascii="Arial" w:cs="Arial" w:eastAsia="Arial" w:hAnsi="Arial"/>
          <w:sz w:val="11"/>
          <w:szCs w:val="11"/>
          <w:color w:val="auto"/>
        </w:rPr>
      </w:pPr>
      <w:r>
        <w:rPr>
          <w:rFonts w:ascii="Arial" w:cs="Arial" w:eastAsia="Arial" w:hAnsi="Arial"/>
          <w:sz w:val="14"/>
          <w:szCs w:val="14"/>
          <w:color w:val="auto"/>
        </w:rPr>
        <w:t>Previously filed as an exhibit to GasLog Ltd.'s Annual Report on Form 20-F (file No. 001-35466), filed with the SEC on March 14, 2016, and hereby incorporated by reference to such Report.</w:t>
      </w:r>
    </w:p>
    <w:p>
      <w:pPr>
        <w:spacing w:after="0" w:line="111" w:lineRule="exact"/>
        <w:rPr>
          <w:rFonts w:ascii="Arial" w:cs="Arial" w:eastAsia="Arial" w:hAnsi="Arial"/>
          <w:sz w:val="11"/>
          <w:szCs w:val="11"/>
          <w:color w:val="auto"/>
        </w:rPr>
      </w:pPr>
    </w:p>
    <w:p>
      <w:pPr>
        <w:ind w:left="1680" w:right="220" w:hanging="531"/>
        <w:spacing w:after="0" w:line="239" w:lineRule="auto"/>
        <w:tabs>
          <w:tab w:leader="none" w:pos="1680" w:val="left"/>
        </w:tabs>
        <w:numPr>
          <w:ilvl w:val="0"/>
          <w:numId w:val="97"/>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August 4, 2016 and hereby incorporated by reference to such Report.</w:t>
      </w:r>
    </w:p>
    <w:p>
      <w:pPr>
        <w:spacing w:after="0" w:line="112" w:lineRule="exact"/>
        <w:rPr>
          <w:sz w:val="20"/>
          <w:szCs w:val="20"/>
          <w:color w:val="auto"/>
        </w:rPr>
      </w:pPr>
    </w:p>
    <w:p>
      <w:pPr>
        <w:ind w:left="1680" w:hanging="531"/>
        <w:spacing w:after="0"/>
        <w:tabs>
          <w:tab w:leader="none" w:pos="16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Confidential material has been redacted and complete exhibits have been separately filed with the Securities and Exchange Commission.</w:t>
      </w:r>
    </w:p>
    <w:p>
      <w:pPr>
        <w:spacing w:after="0" w:line="203" w:lineRule="exact"/>
        <w:rPr>
          <w:rFonts w:ascii="Arial" w:cs="Arial" w:eastAsia="Arial" w:hAnsi="Arial"/>
          <w:sz w:val="14"/>
          <w:szCs w:val="14"/>
          <w:color w:val="auto"/>
        </w:rPr>
      </w:pPr>
    </w:p>
    <w:p>
      <w:pPr>
        <w:ind w:left="1680" w:right="120"/>
        <w:spacing w:after="0" w:line="239" w:lineRule="auto"/>
        <w:rPr>
          <w:rFonts w:ascii="Arial" w:cs="Arial" w:eastAsia="Arial" w:hAnsi="Arial"/>
          <w:sz w:val="14"/>
          <w:szCs w:val="14"/>
          <w:color w:val="auto"/>
        </w:rPr>
      </w:pPr>
      <w:r>
        <w:rPr>
          <w:rFonts w:ascii="Arial" w:cs="Arial" w:eastAsia="Arial" w:hAnsi="Arial"/>
          <w:sz w:val="14"/>
          <w:szCs w:val="14"/>
          <w:color w:val="auto"/>
        </w:rPr>
        <w:t>The registrant hereby agrees to furnish to the SEC upon request a copy of any instrument relating to long-term debt that does not exceed 10% of the total assets of the Company and its subsidiaries.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GASLOG LTD.,</w:t>
            </w:r>
          </w:p>
        </w:tc>
      </w:tr>
      <w:tr>
        <w:trPr>
          <w:trHeight w:val="459"/>
        </w:trPr>
        <w:tc>
          <w:tcPr>
            <w:tcW w:w="5080" w:type="dxa"/>
            <w:vAlign w:val="bottom"/>
            <w:gridSpan w:val="3"/>
          </w:tcPr>
          <w:p>
            <w:pPr>
              <w:spacing w:after="0"/>
              <w:rPr>
                <w:sz w:val="20"/>
                <w:szCs w:val="20"/>
                <w:color w:val="auto"/>
              </w:rPr>
            </w:pPr>
            <w:r>
              <w:rPr>
                <w:rFonts w:ascii="Arial" w:cs="Arial" w:eastAsia="Arial" w:hAnsi="Arial"/>
                <w:sz w:val="18"/>
                <w:szCs w:val="18"/>
                <w:color w:val="auto"/>
              </w:rPr>
              <w:t>By  /s/ PAUL A. WOGAN</w:t>
            </w:r>
          </w:p>
        </w:tc>
      </w:tr>
      <w:tr>
        <w:trPr>
          <w:trHeight w:val="97"/>
        </w:trPr>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282"/>
        </w:trPr>
        <w:tc>
          <w:tcPr>
            <w:tcW w:w="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tcPr>
          <w:p>
            <w:pPr>
              <w:ind w:left="100"/>
              <w:spacing w:after="0"/>
              <w:rPr>
                <w:sz w:val="20"/>
                <w:szCs w:val="20"/>
                <w:color w:val="auto"/>
              </w:rPr>
            </w:pPr>
            <w:r>
              <w:rPr>
                <w:rFonts w:ascii="Arial" w:cs="Arial" w:eastAsia="Arial" w:hAnsi="Arial"/>
                <w:sz w:val="18"/>
                <w:szCs w:val="18"/>
                <w:color w:val="auto"/>
              </w:rPr>
              <w:t>Paul A. Wogan</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60" w:type="dxa"/>
            <w:vAlign w:val="bottom"/>
            <w:gridSpan w:val="8"/>
            <w:vMerge w:val="restart"/>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Report of Independent Registered Public Accounting Firm—Deloitte LLP</w:t>
              </w:r>
            </w:hyperlink>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8">
              <w:r>
                <w:rPr>
                  <w:rFonts w:ascii="Arial" w:cs="Arial" w:eastAsia="Arial" w:hAnsi="Arial"/>
                  <w:sz w:val="18"/>
                  <w:szCs w:val="18"/>
                  <w:color w:val="0000EE"/>
                  <w:w w:val="87"/>
                </w:rPr>
                <w:t>Consolidated statements of financial position as of December 31, 2016 and 2017</w:t>
              </w:r>
            </w:hyperlink>
          </w:p>
        </w:tc>
        <w:tc>
          <w:tcPr>
            <w:tcW w:w="28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48">
              <w:r>
                <w:rPr>
                  <w:rFonts w:ascii="Arial" w:cs="Arial" w:eastAsia="Arial" w:hAnsi="Arial"/>
                  <w:sz w:val="18"/>
                  <w:szCs w:val="18"/>
                  <w:color w:val="0000EE"/>
                  <w:w w:val="81"/>
                </w:rPr>
                <w:t>F-3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8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49">
              <w:r>
                <w:rPr>
                  <w:rFonts w:ascii="Arial" w:cs="Arial" w:eastAsia="Arial" w:hAnsi="Arial"/>
                  <w:sz w:val="18"/>
                  <w:szCs w:val="18"/>
                  <w:color w:val="0000EE"/>
                  <w:w w:val="87"/>
                </w:rPr>
                <w:t>Consolidated statements of profit or loss for the years ended December 31, 2015, 2016 and 2017</w:t>
              </w:r>
            </w:hyperlink>
          </w:p>
        </w:tc>
        <w:tc>
          <w:tcPr>
            <w:tcW w:w="17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49">
              <w:r>
                <w:rPr>
                  <w:rFonts w:ascii="Arial" w:cs="Arial" w:eastAsia="Arial" w:hAnsi="Arial"/>
                  <w:sz w:val="18"/>
                  <w:szCs w:val="18"/>
                  <w:color w:val="0000EE"/>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8"/>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Consolidated statements of comprehensive income or loss for the years ended December 31, 2015, 2016 and 2017</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02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w:anchor="page151">
              <w:r>
                <w:rPr>
                  <w:rFonts w:ascii="Arial" w:cs="Arial" w:eastAsia="Arial" w:hAnsi="Arial"/>
                  <w:sz w:val="18"/>
                  <w:szCs w:val="18"/>
                  <w:color w:val="0000EE"/>
                  <w:w w:val="97"/>
                </w:rPr>
                <w:t>Consolidated statements of changes in equity for the years ended December 31, 2015, 2016 and 2017</w:t>
              </w:r>
            </w:hyperlink>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51">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52">
              <w:r>
                <w:rPr>
                  <w:rFonts w:ascii="Arial" w:cs="Arial" w:eastAsia="Arial" w:hAnsi="Arial"/>
                  <w:sz w:val="18"/>
                  <w:szCs w:val="18"/>
                  <w:color w:val="0000EE"/>
                  <w:w w:val="87"/>
                </w:rPr>
                <w:t>Consolidated statements of cash flows for the years ended December 31, 2015, 2016 and 2017</w:t>
              </w:r>
            </w:hyperlink>
          </w:p>
        </w:tc>
        <w:tc>
          <w:tcPr>
            <w:tcW w:w="480" w:type="dxa"/>
            <w:vAlign w:val="bottom"/>
            <w:tcBorders>
              <w:top w:val="single" w:sz="8" w:color="0000EE"/>
            </w:tcBorders>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1"/>
              </w:rPr>
            </w:pPr>
            <w:hyperlink w:anchor="page152">
              <w:r>
                <w:rPr>
                  <w:rFonts w:ascii="Arial" w:cs="Arial" w:eastAsia="Arial" w:hAnsi="Arial"/>
                  <w:sz w:val="18"/>
                  <w:szCs w:val="18"/>
                  <w:color w:val="0000EE"/>
                  <w:w w:val="81"/>
                </w:rPr>
                <w:t>F-7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Notes to the consolidated financial statements</w:t>
              </w:r>
            </w:hyperlink>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3240" w:type="dxa"/>
            <w:vAlign w:val="bottom"/>
            <w:tcBorders>
              <w:top w:val="single" w:sz="8" w:color="0000EE"/>
            </w:tcBorders>
          </w:tcPr>
          <w:p>
            <w:pPr>
              <w:spacing w:after="0"/>
              <w:rPr>
                <w:sz w:val="24"/>
                <w:szCs w:val="24"/>
                <w:color w:val="auto"/>
              </w:rPr>
            </w:pPr>
          </w:p>
        </w:tc>
        <w:tc>
          <w:tcPr>
            <w:tcW w:w="5320" w:type="dxa"/>
            <w:vAlign w:val="bottom"/>
            <w:gridSpan w:val="7"/>
          </w:tcPr>
          <w:p>
            <w:pPr>
              <w:ind w:left="1220"/>
              <w:spacing w:after="0"/>
              <w:rPr>
                <w:sz w:val="20"/>
                <w:szCs w:val="20"/>
                <w:color w:val="auto"/>
              </w:rPr>
            </w:pPr>
            <w:r>
              <w:rPr>
                <w:rFonts w:ascii="Arial" w:cs="Arial" w:eastAsia="Arial" w:hAnsi="Arial"/>
                <w:sz w:val="18"/>
                <w:szCs w:val="18"/>
                <w:color w:val="auto"/>
              </w:rPr>
              <w:t>F-1</w:t>
            </w: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audited the accompanying consolidated statements of financial position of GasLog Ltd. and subsidiaries (the "Company") as of December 31, 2017 and 2016, the related consolidated statements of profit or loss, comprehensive income or loss, changes in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International Financial Reporting Standards as issued by the International Accounting Standards Board.</w:t>
      </w:r>
    </w:p>
    <w:p>
      <w:pPr>
        <w:spacing w:after="0" w:line="19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Note</w:t>
            </w:r>
          </w:p>
        </w:tc>
        <w:tc>
          <w:tcPr>
            <w:tcW w:w="10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9,511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Investment in associates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6,265</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20,800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12,045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10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1,824</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16,012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Tangible fixed assets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3,889,047</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3,772,566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Vessels under construction</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96,356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166,655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Vessel held under finance lease</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6</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222,004</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214,329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non-current assets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4,244,908</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4,217,820</w:t>
            </w:r>
          </w:p>
        </w:tc>
        <w:tc>
          <w:tcPr>
            <w:tcW w:w="160" w:type="dxa"/>
            <w:vAlign w:val="bottom"/>
            <w:shd w:val="clear" w:color="auto" w:fill="CCEEFF"/>
          </w:tcPr>
          <w:p>
            <w:pPr>
              <w:spacing w:after="0"/>
              <w:rPr>
                <w:sz w:val="12"/>
                <w:szCs w:val="12"/>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and other receivables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9,256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Dividends receivable and other amounts due from related parties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20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3,065</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8,666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8,461</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6,839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Prepayments and other current assets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Short-term investments</w:t>
            </w:r>
          </w:p>
        </w:tc>
        <w:tc>
          <w:tcPr>
            <w:tcW w:w="3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227,024</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384,092</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270,256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417,071</w:t>
            </w:r>
          </w:p>
        </w:tc>
        <w:tc>
          <w:tcPr>
            <w:tcW w:w="160" w:type="dxa"/>
            <w:vAlign w:val="bottom"/>
            <w:shd w:val="clear" w:color="auto" w:fill="CCEEFF"/>
          </w:tcPr>
          <w:p>
            <w:pPr>
              <w:spacing w:after="0"/>
              <w:rPr>
                <w:sz w:val="12"/>
                <w:szCs w:val="12"/>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4,515,164</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4,634,891</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Equity and liabilities</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Preference Shares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Share capital</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11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810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Contributed surplus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966,974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911,766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12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10,160</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18,347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shares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11</w:t>
            </w:r>
          </w:p>
        </w:tc>
        <w:tc>
          <w:tcPr>
            <w:tcW w:w="12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(10,861)</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(6,960)</w:t>
            </w: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(21,486)</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(5,980)</w:t>
            </w: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Equity attributable to owners of the Group</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945,643</w:t>
            </w:r>
          </w:p>
        </w:tc>
        <w:tc>
          <w:tcPr>
            <w:tcW w:w="1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918,029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4</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564,039</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845,105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1,509,682</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1,763,134</w:t>
            </w:r>
          </w:p>
        </w:tc>
        <w:tc>
          <w:tcPr>
            <w:tcW w:w="160" w:type="dxa"/>
            <w:vAlign w:val="bottom"/>
            <w:shd w:val="clear" w:color="auto" w:fill="CCEEFF"/>
          </w:tcPr>
          <w:p>
            <w:pPr>
              <w:spacing w:after="0"/>
              <w:rPr>
                <w:sz w:val="12"/>
                <w:szCs w:val="12"/>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Current liabilities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accounts payable</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7,255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Ship management creditors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2,394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due to related parties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25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7,854</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1,815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payables and accruals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93,386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93,418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Borrowings, current portion</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13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147,448</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179,367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Finance lease liability, current portion</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6,302</w:t>
            </w:r>
          </w:p>
        </w:tc>
        <w:tc>
          <w:tcPr>
            <w:tcW w:w="160" w:type="dxa"/>
            <w:vAlign w:val="bottom"/>
            <w:shd w:val="clear" w:color="auto" w:fill="CCEEFF"/>
          </w:tcPr>
          <w:p>
            <w:pPr>
              <w:spacing w:after="0"/>
              <w:rPr>
                <w:sz w:val="12"/>
                <w:szCs w:val="12"/>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262,835</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294,857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Non-current liabilities</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9"/>
              </w:rPr>
              <w:t>25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22,485</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non-current portion</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2,504,578</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2,368,189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Finance lease liability, non-current portion</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214,455</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207,126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w:t>
            </w:r>
          </w:p>
        </w:tc>
        <w:tc>
          <w:tcPr>
            <w:tcW w:w="160" w:type="dxa"/>
            <w:vAlign w:val="bottom"/>
            <w:shd w:val="clear" w:color="auto" w:fill="CCEEFF"/>
          </w:tcPr>
          <w:p>
            <w:pPr>
              <w:spacing w:after="0"/>
              <w:rPr>
                <w:sz w:val="12"/>
                <w:szCs w:val="12"/>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2,742,647</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2,576,900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equity and liabilities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4,515,164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4,634,891</w:t>
            </w:r>
          </w:p>
        </w:tc>
        <w:tc>
          <w:tcPr>
            <w:tcW w:w="1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share data)</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415,078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466,059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525,229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(98,552)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(112,632)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(122,486)</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(14,290)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Depreciation</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(106,641)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(122,957)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(137,187)</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(41,282)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(39,850)</w:t>
            </w: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154,313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(91,956)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(137,316)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(139,181)</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Financial income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(Loss)/gain on swaps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(10,332)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(100,645)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(148,593)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(133,347)</w:t>
            </w: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28,051</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Attributable to:</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Owners of the Group</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(21,486)</w:t>
            </w:r>
          </w:p>
        </w:tc>
        <w:tc>
          <w:tcPr>
            <w:tcW w:w="760" w:type="dxa"/>
            <w:vAlign w:val="bottom"/>
          </w:tcPr>
          <w:p>
            <w:pPr>
              <w:jc w:val="right"/>
              <w:spacing w:after="0"/>
              <w:rPr>
                <w:sz w:val="20"/>
                <w:szCs w:val="20"/>
                <w:color w:val="auto"/>
              </w:rPr>
            </w:pPr>
            <w:r>
              <w:rPr>
                <w:rFonts w:ascii="Arial" w:cs="Arial" w:eastAsia="Arial" w:hAnsi="Arial"/>
                <w:sz w:val="18"/>
                <w:szCs w:val="18"/>
                <w:color w:val="auto"/>
              </w:rPr>
              <w:t>15,506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53,668</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28,051</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Earnings/(loss) per share—basic and diluted</w:t>
            </w:r>
          </w:p>
        </w:tc>
        <w:tc>
          <w:tcPr>
            <w:tcW w:w="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28</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(0.39)</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0.07</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53,668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28,051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not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Actuarial gain/(loss)</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1"/>
              </w:rPr>
              <w:t>Effective portion of changes in fair value of cash flow hedges, net of amounts recycled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to profit or loss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25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(6,522)</w:t>
            </w:r>
          </w:p>
        </w:tc>
        <w:tc>
          <w:tcPr>
            <w:tcW w:w="620" w:type="dxa"/>
            <w:vAlign w:val="bottom"/>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year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16,969</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54,135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Owners of the Group</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49,537</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54,135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Preference</w:t>
            </w:r>
          </w:p>
        </w:tc>
        <w:tc>
          <w:tcPr>
            <w:tcW w:w="1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Contributed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Treasury</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earnings/</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Non-</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Surplus</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3"/>
              </w:rPr>
              <w:t>Reserves</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to owners of</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controlling</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(Note 11)</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(Note 11)</w:t>
            </w:r>
          </w:p>
        </w:tc>
        <w:tc>
          <w:tcPr>
            <w:tcW w:w="1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(Note 11)</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(Note 12)</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(Note 11)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deficit)</w:t>
            </w:r>
          </w:p>
        </w:tc>
        <w:tc>
          <w:tcPr>
            <w:tcW w:w="6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the Group</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interests</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 January 1,</w:t>
            </w: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923,470</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(12,002)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(12,576)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29,689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929,391</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323,646</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1,253,037</w:t>
            </w:r>
          </w:p>
        </w:tc>
        <w:tc>
          <w:tcPr>
            <w:tcW w:w="160" w:type="dxa"/>
            <w:vAlign w:val="bottom"/>
            <w:shd w:val="clear" w:color="auto" w:fill="CCEEFF"/>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Net proceeds from issuance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of Preference 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(Note 4)</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110,607</w:t>
            </w:r>
          </w:p>
        </w:tc>
        <w:tc>
          <w:tcPr>
            <w:tcW w:w="16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110,653</w:t>
            </w:r>
          </w:p>
        </w:tc>
        <w:tc>
          <w:tcPr>
            <w:tcW w:w="16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110,653</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 from GasLog</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Partners' public offering</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(Note 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171,831</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171,831</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Dividend paid (common and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Preference 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(Note 12)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(13,785)</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(38,672)</w:t>
            </w:r>
          </w:p>
        </w:tc>
        <w:tc>
          <w:tcPr>
            <w:tcW w:w="9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(52,457)</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(32,070)</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(84,527)</w:t>
            </w:r>
          </w:p>
        </w:tc>
      </w:tr>
      <w:tr>
        <w:trPr>
          <w:trHeight w:val="138"/>
        </w:trPr>
        <w:tc>
          <w:tcPr>
            <w:tcW w:w="20" w:type="dxa"/>
            <w:vAlign w:val="bottom"/>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 compensation,</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of accrued dividend</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(Note 21)</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2,791</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2,791</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2,791</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Settlement of share-based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(85)</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 for the year</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10,829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42,839</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53,668</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7"/>
              </w:rPr>
              <w:t>Other comprehensive income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for the year</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467</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467</w:t>
            </w:r>
          </w:p>
        </w:tc>
        <w:tc>
          <w:tcPr>
            <w:tcW w:w="16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467</w:t>
            </w:r>
          </w:p>
        </w:tc>
        <w:tc>
          <w:tcPr>
            <w:tcW w:w="1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comprehensive</w:t>
            </w: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income for the year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10,829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11,296</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42,839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54,135</w:t>
            </w:r>
          </w:p>
        </w:tc>
        <w:tc>
          <w:tcPr>
            <w:tcW w:w="160" w:type="dxa"/>
            <w:vAlign w:val="bottom"/>
            <w:shd w:val="clear" w:color="auto" w:fill="CCEEFF"/>
          </w:tcPr>
          <w:p>
            <w:pPr>
              <w:spacing w:after="0"/>
              <w:rPr>
                <w:sz w:val="14"/>
                <w:szCs w:val="14"/>
                <w:color w:val="auto"/>
              </w:rPr>
            </w:pPr>
          </w:p>
        </w:tc>
      </w:tr>
      <w:tr>
        <w:trPr>
          <w:trHeight w:val="129"/>
        </w:trPr>
        <w:tc>
          <w:tcPr>
            <w:tcW w:w="1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7"/>
              </w:rPr>
              <w:t>Balance as of December 31,</w:t>
            </w: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46</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1,020,292</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(8,829)</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(12,491)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1,846</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1,001,674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506,246</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1,507,920</w:t>
            </w:r>
          </w:p>
        </w:tc>
        <w:tc>
          <w:tcPr>
            <w:tcW w:w="1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8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Net proceeds from GasLog</w:t>
            </w: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Partners' public offering</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(Note 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52,299</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52,299</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Dividend paid (common and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Preference 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(Note 12)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(53,318)</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(1,846)</w:t>
            </w:r>
          </w:p>
        </w:tc>
        <w:tc>
          <w:tcPr>
            <w:tcW w:w="9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(55,164)</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(44,043)</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(99,207)</w:t>
            </w:r>
          </w:p>
        </w:tc>
      </w:tr>
      <w:tr>
        <w:trPr>
          <w:trHeight w:val="138"/>
        </w:trPr>
        <w:tc>
          <w:tcPr>
            <w:tcW w:w="20" w:type="dxa"/>
            <w:vAlign w:val="bottom"/>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 compensation,</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of accrued dividend</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(Note 21)</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3,597</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3,597</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3,597</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Settlement of share-based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(1,577)</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1,630</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(Loss)/profit for the year</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(21,486)</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(21,486)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49,537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28,051</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7"/>
              </w:rPr>
              <w:t>Other comprehensive income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for the year</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16,969</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16,969</w:t>
            </w:r>
          </w:p>
        </w:tc>
        <w:tc>
          <w:tcPr>
            <w:tcW w:w="16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16,969</w:t>
            </w:r>
          </w:p>
        </w:tc>
        <w:tc>
          <w:tcPr>
            <w:tcW w:w="1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comprehensive</w:t>
            </w: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w w:val="97"/>
              </w:rPr>
              <w:t>income/(loss) for the year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16,969</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(21,486)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(4,517)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49,537</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45,020</w:t>
            </w:r>
          </w:p>
        </w:tc>
        <w:tc>
          <w:tcPr>
            <w:tcW w:w="160" w:type="dxa"/>
            <w:vAlign w:val="bottom"/>
            <w:shd w:val="clear" w:color="auto" w:fill="CCEEFF"/>
          </w:tcPr>
          <w:p>
            <w:pPr>
              <w:spacing w:after="0"/>
              <w:rPr>
                <w:sz w:val="14"/>
                <w:szCs w:val="14"/>
                <w:color w:val="auto"/>
              </w:rPr>
            </w:pPr>
          </w:p>
        </w:tc>
      </w:tr>
      <w:tr>
        <w:trPr>
          <w:trHeight w:val="129"/>
        </w:trPr>
        <w:tc>
          <w:tcPr>
            <w:tcW w:w="1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7"/>
              </w:rPr>
              <w:t>Balance as of December 31,</w:t>
            </w: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46</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966,974</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10,160</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(10,861)</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(21,486)</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945,643</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564,039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1,509,682</w:t>
            </w:r>
          </w:p>
        </w:tc>
        <w:tc>
          <w:tcPr>
            <w:tcW w:w="1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8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Net proceeds from GasLog</w:t>
            </w: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Partners' public offerings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(Note 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278,226</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278,226</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Dividend paid (common and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Preference 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(Note 12)</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(55,208)</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(55,208)</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(65,863)</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(121,071)</w:t>
            </w:r>
          </w:p>
        </w:tc>
      </w:tr>
      <w:tr>
        <w:trPr>
          <w:trHeight w:val="138"/>
        </w:trPr>
        <w:tc>
          <w:tcPr>
            <w:tcW w:w="20" w:type="dxa"/>
            <w:vAlign w:val="bottom"/>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 compensation,</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of accrued dividend</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(Note 21)</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4,104</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4,104</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4,104</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Settlement of share-based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(2,952)</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3,901</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949</w:t>
            </w:r>
          </w:p>
        </w:tc>
        <w:tc>
          <w:tcPr>
            <w:tcW w:w="16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949</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 for the year</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15,506</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68,703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84,209</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w w:val="97"/>
              </w:rPr>
              <w:t>Other comprehensive income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for the year</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7,035</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7,035</w:t>
            </w:r>
          </w:p>
        </w:tc>
        <w:tc>
          <w:tcPr>
            <w:tcW w:w="16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7,035</w:t>
            </w:r>
          </w:p>
        </w:tc>
        <w:tc>
          <w:tcPr>
            <w:tcW w:w="1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comprehensive</w:t>
            </w: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income for the year</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7,035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15,506</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22,541</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68,703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91,244</w:t>
            </w:r>
          </w:p>
        </w:tc>
        <w:tc>
          <w:tcPr>
            <w:tcW w:w="160" w:type="dxa"/>
            <w:vAlign w:val="bottom"/>
            <w:shd w:val="clear" w:color="auto" w:fill="CCEEFF"/>
          </w:tcPr>
          <w:p>
            <w:pPr>
              <w:spacing w:after="0"/>
              <w:rPr>
                <w:sz w:val="14"/>
                <w:szCs w:val="14"/>
                <w:color w:val="auto"/>
              </w:rPr>
            </w:pPr>
          </w:p>
        </w:tc>
      </w:tr>
      <w:tr>
        <w:trPr>
          <w:trHeight w:val="129"/>
        </w:trPr>
        <w:tc>
          <w:tcPr>
            <w:tcW w:w="1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7"/>
              </w:rPr>
              <w:t>Balance as of December 31,</w:t>
            </w: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810</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46</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911,766</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18,347</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(6,960)</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(5,980)</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918,029</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845,105</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1,763,134</w:t>
            </w:r>
          </w:p>
        </w:tc>
        <w:tc>
          <w:tcPr>
            <w:tcW w:w="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Profit for the year</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53,668</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28,051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84,209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for:</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106,641</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122,957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137,187</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of profit of associate</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(1,422)</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(1,159)</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(427)</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(2,650)</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91,956</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137,316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139,181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Unrealized foreign exchange losses/(gains) on cash and cash equivalents and short-term investments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1,020</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(772)</w:t>
            </w:r>
          </w:p>
        </w:tc>
      </w:tr>
      <w:tr>
        <w:trPr>
          <w:trHeight w:val="138"/>
        </w:trPr>
        <w:tc>
          <w:tcPr>
            <w:tcW w:w="20" w:type="dxa"/>
            <w:vAlign w:val="bottom"/>
          </w:tcPr>
          <w:p>
            <w:pPr>
              <w:spacing w:after="0"/>
              <w:rPr>
                <w:sz w:val="11"/>
                <w:szCs w:val="11"/>
                <w:color w:val="auto"/>
              </w:rPr>
            </w:pPr>
          </w:p>
        </w:tc>
        <w:tc>
          <w:tcPr>
            <w:tcW w:w="6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Unrealized loss/(gain) on derivative financial instruments held for trading including ineffective portion of cash flow hedges</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92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(Note 25)</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(18,530)</w:t>
            </w: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(10,505)</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Recycled loss of cash flow hedges reclassified to profit or loss (Note 25)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1,290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23,514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4,368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defined benefit obligations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Share-based compensation (Note 21)</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2,872</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3,869</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4,565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255,466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354,424</w:t>
            </w:r>
          </w:p>
        </w:tc>
        <w:tc>
          <w:tcPr>
            <w:tcW w:w="16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b w:val="1"/>
                <w:bCs w:val="1"/>
                <w:color w:val="auto"/>
              </w:rPr>
              <w:t>Movements in operating assets and liabilities: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trade and other receivables including related parties, net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(7,601)</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Decrease/(increase) in prepayments and other assets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1,924</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(1,465)</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inventories</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(1,543)</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(Increase)/decrease in other non-current assets</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(23,172)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27,133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1,396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other non-current liabilities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(419)</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(Increase)/decrease in restricted cash</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accounts payable and other current liabilities</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9,654</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11,517</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160" w:type="dxa"/>
            <w:vAlign w:val="bottom"/>
            <w:shd w:val="clear" w:color="auto" w:fill="CCEEFF"/>
          </w:tcPr>
          <w:p>
            <w:pPr>
              <w:spacing w:after="0"/>
              <w:rPr>
                <w:sz w:val="12"/>
                <w:szCs w:val="12"/>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4"/>
                <w:szCs w:val="14"/>
                <w:color w:val="auto"/>
              </w:rPr>
              <w:t>Cash provided by operations</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w w:val="98"/>
              </w:rPr>
              <w:t>240,495</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335,320</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350,261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(78,916)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(78,788)</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(126,631)</w:t>
            </w: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161,579</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256,532</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223,630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Payments for tangible fixed assets and vessels under construction</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(728,446)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(761,513)</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(82,352)</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received from associate</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Return of contributed capital from associate (Note 5)</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investments</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(14,125)</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Purchase of short-term investments</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(74,592)</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(37,244)</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Maturity of short-term investments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97,007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55,244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Financial income received</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359</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721</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w w:val="90"/>
              </w:rPr>
              <w:t>(704,052)</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(771,242)</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(74,599)</w:t>
            </w: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bank loans and bonds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606,000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2,274,318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Proceeds from sale and finance leaseback</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217,000</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 loan and bond repayments</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(103,709)</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(1,983,576)</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(397,008)</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Payment of loan and bonds issuance costs</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(25,969)</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(44,125)</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(8,830)</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Preference Shares (net of underwriting discounts and commissions)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111,378</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Proceeds from GasLog Partners' common unit offerings (net of underwriting discounts and commissions)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172,875</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52,731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141,395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GasLog Partners' preference unit offerings (net of underwriting discounts and commissions)</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139,222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Payment of equity raising costs</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(1,839)</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(442)</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(2,032)</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for cross currency swaps' termination/modification</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(31,986)</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(20,603)</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Payment for NOK bonds repurchase at a premium</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(1,459)</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for interest rate swaps' termination</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(30,296)</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Proceeds from entering into interest rate swaps</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25,465</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options' exercise</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(84,527)</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(99,207)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(121,071)</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restricted cash</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(39,892)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62,718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Payments for vessel held under finance lease</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(714)</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finance lease liability</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(3,572)</w:t>
            </w: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provided by financing activities</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634,317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439,766</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7,265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Effects of exchange rate changes on cash and cash equivalents</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(830)</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(1,020)</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b w:val="1"/>
                <w:bCs w:val="1"/>
                <w:color w:val="auto"/>
              </w:rPr>
              <w:t>Increase/(decrease) in cash and cash equivalents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91,014</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(75,964)</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157,068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the year</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211,974</w:t>
            </w:r>
          </w:p>
        </w:tc>
        <w:tc>
          <w:tcPr>
            <w:tcW w:w="1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302,988</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227,024</w:t>
            </w:r>
          </w:p>
        </w:tc>
        <w:tc>
          <w:tcPr>
            <w:tcW w:w="160" w:type="dxa"/>
            <w:vAlign w:val="bottom"/>
            <w:shd w:val="clear" w:color="auto" w:fill="CCEEFF"/>
          </w:tcPr>
          <w:p>
            <w:pPr>
              <w:spacing w:after="0"/>
              <w:rPr>
                <w:sz w:val="12"/>
                <w:szCs w:val="12"/>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the year</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302,988</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227,024</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384,092</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Non-cash investing and financing activities</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Capital expenditures included in liabilities at the end of the year (Note 26)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12,576</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2,038</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3,016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raising costs included in liabilities at the end of the year (Note 26)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Loan issuance costs included in liabilities at the end of the year (Note 26)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1,526</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Receivables from stock options' exercise included in assets at the end of the year</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December 31, 2017, entities controlled by members of the Livanos family, including GasLog's chairman, are deemed to beneficially own approximately 40.12% of GasLog's issued and outstanding common shares. As a result of his ownership of GasLog's common shares, Mr. Livanos can effectively control the outcome of most matters on which GasLog's shareholders are entitled to vote.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12, 2014, GasLog Partners LP ("GasLog Partners" or the "Partnership"), a subsidiary of GasLog, completed its initial public offering (the "GasLog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Partners' IPO") with the sale and issuance of 9,660,000 common units (including 1,260,000 units in relation to the overallotment option exercised in full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resulting in net proceeds of $186,029 and representing a 48.2% ownership interest. Concurrently with the GasLog Partners' IPO, the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acquired from GasLog a 100% ownership interest in GAS-three Ltd., GAS-four Ltd. and GAS-five Ltd., the entities that own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Santiago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Sydney</w:t>
      </w:r>
      <w:r>
        <w:rPr>
          <w:rFonts w:ascii="Arial" w:cs="Arial" w:eastAsia="Arial" w:hAnsi="Arial"/>
          <w:sz w:val="15"/>
          <w:szCs w:val="15"/>
          <w:color w:val="auto"/>
        </w:rPr>
        <w:t>, in exchange for (i) 162,358 common units and 9,822,358 subordinated units issued to GasLog representing a 49.8% ownership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interest and all of the incentive distribution rights ("IDRs") that entitle GasLog to increasing percentages of the cash that the Partnership distributes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$0.43125 per unit per quarter, (ii) 400,913 general partner units issued to GasLog Partners GP LLC (the "general partner"), a wholly owned subsidiary of GasLog,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representing a 2.0% general partner interest and (iii) $65,695 of cash consideration paid directly to GasLog from the GasLog Partners' IPO proceeds.</w:t>
      </w:r>
    </w:p>
    <w:p>
      <w:pPr>
        <w:spacing w:after="0" w:line="242"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Since GasLog Partners' IPO, the Partnership acquired 100% of the ownership interests in the following GasLog subsidiaries that own the vessels listed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61"/>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Date Acquisition Completed</w:t>
            </w:r>
          </w:p>
        </w:tc>
        <w:tc>
          <w:tcPr>
            <w:tcW w:w="460" w:type="dxa"/>
            <w:vAlign w:val="bottom"/>
          </w:tcPr>
          <w:p>
            <w:pPr>
              <w:spacing w:after="0"/>
              <w:rPr>
                <w:sz w:val="14"/>
                <w:szCs w:val="14"/>
                <w:color w:val="auto"/>
              </w:rPr>
            </w:pP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Subsidiaries Acquired</w:t>
            </w:r>
          </w:p>
        </w:tc>
        <w:tc>
          <w:tcPr>
            <w:tcW w:w="180" w:type="dxa"/>
            <w:vAlign w:val="bottom"/>
          </w:tcPr>
          <w:p>
            <w:pPr>
              <w:spacing w:after="0"/>
              <w:rPr>
                <w:sz w:val="14"/>
                <w:szCs w:val="14"/>
                <w:color w:val="auto"/>
              </w:rPr>
            </w:pPr>
          </w:p>
        </w:tc>
        <w:tc>
          <w:tcPr>
            <w:tcW w:w="2360" w:type="dxa"/>
            <w:vAlign w:val="bottom"/>
          </w:tcPr>
          <w:p>
            <w:pPr>
              <w:ind w:left="660"/>
              <w:spacing w:after="0"/>
              <w:rPr>
                <w:sz w:val="20"/>
                <w:szCs w:val="20"/>
                <w:color w:val="auto"/>
              </w:rPr>
            </w:pPr>
            <w:r>
              <w:rPr>
                <w:rFonts w:ascii="Arial" w:cs="Arial" w:eastAsia="Arial" w:hAnsi="Arial"/>
                <w:sz w:val="14"/>
                <w:szCs w:val="14"/>
                <w:b w:val="1"/>
                <w:bCs w:val="1"/>
                <w:color w:val="auto"/>
              </w:rPr>
              <w:t>Vessels Purchased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Purchase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September 29, 2014</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GAS-sixteen Ltd. and GAS-</w:t>
            </w:r>
          </w:p>
        </w:tc>
        <w:tc>
          <w:tcPr>
            <w:tcW w:w="25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 xml:space="preserve">Methane Rita Andrea </w:t>
            </w:r>
            <w:r>
              <w:rPr>
                <w:rFonts w:ascii="Arial" w:cs="Arial" w:eastAsia="Arial" w:hAnsi="Arial"/>
                <w:sz w:val="18"/>
                <w:szCs w:val="18"/>
                <w:color w:val="auto"/>
              </w:rPr>
              <w:t>and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seventeen Ltd.</w:t>
            </w:r>
          </w:p>
        </w:tc>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Methane Jane Elizabeth</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328,000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2840" w:type="dxa"/>
            <w:vAlign w:val="bottom"/>
            <w:gridSpan w:val="2"/>
          </w:tcPr>
          <w:p>
            <w:pPr>
              <w:ind w:left="460"/>
              <w:spacing w:after="0"/>
              <w:rPr>
                <w:sz w:val="20"/>
                <w:szCs w:val="20"/>
                <w:color w:val="auto"/>
              </w:rPr>
            </w:pPr>
            <w:r>
              <w:rPr>
                <w:rFonts w:ascii="Arial" w:cs="Arial" w:eastAsia="Arial" w:hAnsi="Arial"/>
                <w:sz w:val="18"/>
                <w:szCs w:val="18"/>
                <w:color w:val="auto"/>
              </w:rPr>
              <w:t>GAS-nineteen Ltd., GAS-</w:t>
            </w:r>
          </w:p>
        </w:tc>
        <w:tc>
          <w:tcPr>
            <w:tcW w:w="2540" w:type="dxa"/>
            <w:vAlign w:val="bottom"/>
            <w:gridSpan w:val="2"/>
          </w:tcPr>
          <w:p>
            <w:pPr>
              <w:ind w:left="180"/>
              <w:spacing w:after="0"/>
              <w:rPr>
                <w:sz w:val="20"/>
                <w:szCs w:val="20"/>
                <w:color w:val="auto"/>
              </w:rPr>
            </w:pPr>
            <w:r>
              <w:rPr>
                <w:rFonts w:ascii="Arial" w:cs="Arial" w:eastAsia="Arial" w:hAnsi="Arial"/>
                <w:sz w:val="18"/>
                <w:szCs w:val="18"/>
                <w:i w:val="1"/>
                <w:iCs w:val="1"/>
                <w:color w:val="auto"/>
              </w:rPr>
              <w:t>Methane Alison Victoria,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2"/>
          </w:tcPr>
          <w:p>
            <w:pPr>
              <w:ind w:left="460"/>
              <w:spacing w:after="0"/>
              <w:rPr>
                <w:sz w:val="20"/>
                <w:szCs w:val="20"/>
                <w:color w:val="auto"/>
              </w:rPr>
            </w:pPr>
            <w:r>
              <w:rPr>
                <w:rFonts w:ascii="Arial" w:cs="Arial" w:eastAsia="Arial" w:hAnsi="Arial"/>
                <w:sz w:val="18"/>
                <w:szCs w:val="18"/>
                <w:color w:val="auto"/>
              </w:rPr>
              <w:t>twenty Ltd. and GAS-twenty</w:t>
            </w:r>
          </w:p>
        </w:tc>
        <w:tc>
          <w:tcPr>
            <w:tcW w:w="2540" w:type="dxa"/>
            <w:vAlign w:val="bottom"/>
            <w:gridSpan w:val="2"/>
          </w:tcPr>
          <w:p>
            <w:pPr>
              <w:ind w:left="180"/>
              <w:spacing w:after="0"/>
              <w:rPr>
                <w:sz w:val="20"/>
                <w:szCs w:val="20"/>
                <w:color w:val="auto"/>
              </w:rPr>
            </w:pPr>
            <w:r>
              <w:rPr>
                <w:rFonts w:ascii="Arial" w:cs="Arial" w:eastAsia="Arial" w:hAnsi="Arial"/>
                <w:sz w:val="18"/>
                <w:szCs w:val="18"/>
                <w:i w:val="1"/>
                <w:iCs w:val="1"/>
                <w:color w:val="auto"/>
                <w:w w:val="95"/>
              </w:rPr>
              <w:t xml:space="preserve">Methane Shirley Elisabeth </w:t>
            </w:r>
            <w:r>
              <w:rPr>
                <w:rFonts w:ascii="Arial" w:cs="Arial" w:eastAsia="Arial" w:hAnsi="Arial"/>
                <w:sz w:val="18"/>
                <w:szCs w:val="18"/>
                <w:color w:val="auto"/>
                <w:w w:val="95"/>
              </w:rPr>
              <w:t>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gridSpan w:val="2"/>
          </w:tcPr>
          <w:p>
            <w:pPr>
              <w:ind w:left="460"/>
              <w:spacing w:after="0"/>
              <w:rPr>
                <w:sz w:val="20"/>
                <w:szCs w:val="20"/>
                <w:color w:val="auto"/>
              </w:rPr>
            </w:pPr>
            <w:r>
              <w:rPr>
                <w:rFonts w:ascii="Arial" w:cs="Arial" w:eastAsia="Arial" w:hAnsi="Arial"/>
                <w:sz w:val="18"/>
                <w:szCs w:val="18"/>
                <w:color w:val="auto"/>
              </w:rPr>
              <w:t>one Ltd.</w:t>
            </w:r>
          </w:p>
        </w:tc>
        <w:tc>
          <w:tcPr>
            <w:tcW w:w="2540" w:type="dxa"/>
            <w:vAlign w:val="bottom"/>
            <w:gridSpan w:val="2"/>
          </w:tcPr>
          <w:p>
            <w:pPr>
              <w:ind w:left="180"/>
              <w:spacing w:after="0"/>
              <w:rPr>
                <w:sz w:val="20"/>
                <w:szCs w:val="20"/>
                <w:color w:val="auto"/>
              </w:rPr>
            </w:pPr>
            <w:r>
              <w:rPr>
                <w:rFonts w:ascii="Arial" w:cs="Arial" w:eastAsia="Arial" w:hAnsi="Arial"/>
                <w:sz w:val="18"/>
                <w:szCs w:val="18"/>
                <w:i w:val="1"/>
                <w:iCs w:val="1"/>
                <w:color w:val="auto"/>
              </w:rPr>
              <w:t>Methane Heather Sally</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483,000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2016</w:t>
            </w:r>
          </w:p>
        </w:tc>
        <w:tc>
          <w:tcPr>
            <w:tcW w:w="2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GAS-seven Ltd.</w:t>
            </w:r>
          </w:p>
        </w:tc>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GasLog Seattle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2840" w:type="dxa"/>
            <w:vAlign w:val="bottom"/>
            <w:gridSpan w:val="2"/>
          </w:tcPr>
          <w:p>
            <w:pPr>
              <w:ind w:left="460"/>
              <w:spacing w:after="0"/>
              <w:rPr>
                <w:sz w:val="20"/>
                <w:szCs w:val="20"/>
                <w:color w:val="auto"/>
              </w:rPr>
            </w:pPr>
            <w:r>
              <w:rPr>
                <w:rFonts w:ascii="Arial" w:cs="Arial" w:eastAsia="Arial" w:hAnsi="Arial"/>
                <w:sz w:val="18"/>
                <w:szCs w:val="18"/>
                <w:color w:val="auto"/>
              </w:rPr>
              <w:t>GAS-eleven Ltd.</w:t>
            </w:r>
          </w:p>
        </w:tc>
        <w:tc>
          <w:tcPr>
            <w:tcW w:w="2540" w:type="dxa"/>
            <w:vAlign w:val="bottom"/>
            <w:gridSpan w:val="2"/>
          </w:tcPr>
          <w:p>
            <w:pPr>
              <w:ind w:left="180"/>
              <w:spacing w:after="0"/>
              <w:rPr>
                <w:sz w:val="20"/>
                <w:szCs w:val="20"/>
                <w:color w:val="auto"/>
              </w:rPr>
            </w:pPr>
            <w:r>
              <w:rPr>
                <w:rFonts w:ascii="Arial" w:cs="Arial" w:eastAsia="Arial" w:hAnsi="Arial"/>
                <w:sz w:val="18"/>
                <w:szCs w:val="18"/>
                <w:i w:val="1"/>
                <w:iCs w:val="1"/>
                <w:color w:val="auto"/>
              </w:rPr>
              <w:t>GasLog Greece</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GAS-thirteen Ltd.</w:t>
            </w:r>
          </w:p>
        </w:tc>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GasLog Geneva</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October 20, 2017</w:t>
            </w:r>
          </w:p>
        </w:tc>
        <w:tc>
          <w:tcPr>
            <w:tcW w:w="2840" w:type="dxa"/>
            <w:vAlign w:val="bottom"/>
            <w:gridSpan w:val="2"/>
          </w:tcPr>
          <w:p>
            <w:pPr>
              <w:ind w:left="460"/>
              <w:spacing w:after="0"/>
              <w:rPr>
                <w:sz w:val="20"/>
                <w:szCs w:val="20"/>
                <w:color w:val="auto"/>
              </w:rPr>
            </w:pPr>
            <w:r>
              <w:rPr>
                <w:rFonts w:ascii="Arial" w:cs="Arial" w:eastAsia="Arial" w:hAnsi="Arial"/>
                <w:sz w:val="18"/>
                <w:szCs w:val="18"/>
                <w:color w:val="auto"/>
              </w:rPr>
              <w:t>GAS-eight Ltd.</w:t>
            </w:r>
          </w:p>
        </w:tc>
        <w:tc>
          <w:tcPr>
            <w:tcW w:w="2540" w:type="dxa"/>
            <w:vAlign w:val="bottom"/>
            <w:gridSpan w:val="2"/>
          </w:tcPr>
          <w:p>
            <w:pPr>
              <w:ind w:left="180"/>
              <w:spacing w:after="0"/>
              <w:rPr>
                <w:sz w:val="20"/>
                <w:szCs w:val="20"/>
                <w:color w:val="auto"/>
              </w:rPr>
            </w:pPr>
            <w:r>
              <w:rPr>
                <w:rFonts w:ascii="Arial" w:cs="Arial" w:eastAsia="Arial" w:hAnsi="Arial"/>
                <w:sz w:val="18"/>
                <w:szCs w:val="18"/>
                <w:i w:val="1"/>
                <w:iCs w:val="1"/>
                <w:color w:val="auto"/>
              </w:rPr>
              <w:t>Solaris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185,900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December 31, 2017, GasLog holds a 25.9% interest (including the 2% interest through general partner units) in GasLog Partners and, as a result of its ownership of the general partner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6"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accompanying consolidated financial statements include the financial statements of GasLog and its subsidiaries. Unless indicated otherwise, the subsidiaries listed below were 100% held (either directly or indirectly) by GasLog. As of December 31, 2017 the Group's structure is as follows: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capacity</w:t>
            </w: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incorporation</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activities</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76"/>
              </w:rPr>
              <w:t>Vessel</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GasLog Investments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7"/>
              </w:rPr>
              <w:t>BVI</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2003</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Holding company</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Carriers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February 2008</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Holding company</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w w:val="98"/>
              </w:rPr>
              <w:t>GasLog Shipping Company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2006</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Holding company</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Partners GP LLC</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Marshall Islands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Holding company</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tcPr>
          <w:p>
            <w:pPr>
              <w:spacing w:after="0" w:line="138" w:lineRule="exact"/>
              <w:rPr>
                <w:sz w:val="20"/>
                <w:szCs w:val="20"/>
                <w:color w:val="auto"/>
              </w:rPr>
            </w:pPr>
            <w:r>
              <w:rPr>
                <w:rFonts w:ascii="Arial" w:cs="Arial" w:eastAsia="Arial" w:hAnsi="Arial"/>
                <w:sz w:val="14"/>
                <w:szCs w:val="14"/>
                <w:color w:val="auto"/>
              </w:rPr>
              <w:t>GasLog Cyprus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Investments Ltd.</w:t>
            </w:r>
          </w:p>
        </w:tc>
        <w:tc>
          <w:tcPr>
            <w:tcW w:w="1020" w:type="dxa"/>
            <w:vAlign w:val="bottom"/>
          </w:tcPr>
          <w:p>
            <w:pPr>
              <w:jc w:val="center"/>
              <w:spacing w:after="0" w:line="159" w:lineRule="exact"/>
              <w:rPr>
                <w:sz w:val="20"/>
                <w:szCs w:val="20"/>
                <w:color w:val="auto"/>
              </w:rPr>
            </w:pPr>
            <w:r>
              <w:rPr>
                <w:rFonts w:ascii="Arial" w:cs="Arial" w:eastAsia="Arial" w:hAnsi="Arial"/>
                <w:sz w:val="14"/>
                <w:szCs w:val="14"/>
                <w:color w:val="auto"/>
                <w:w w:val="85"/>
              </w:rPr>
              <w:t>Cyprus</w:t>
            </w:r>
          </w:p>
        </w:tc>
        <w:tc>
          <w:tcPr>
            <w:tcW w:w="16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Arial" w:cs="Arial" w:eastAsia="Arial" w:hAnsi="Arial"/>
                <w:sz w:val="14"/>
                <w:szCs w:val="14"/>
                <w:color w:val="auto"/>
                <w:w w:val="86"/>
              </w:rPr>
              <w:t>December 2016</w:t>
            </w: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8"/>
              </w:rPr>
              <w:t>Holding company</w:t>
            </w:r>
          </w:p>
        </w:tc>
        <w:tc>
          <w:tcPr>
            <w:tcW w:w="1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GasLog Services UK Ltd.</w:t>
            </w:r>
          </w:p>
        </w:tc>
        <w:tc>
          <w:tcPr>
            <w:tcW w:w="1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England and</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Wales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May 2014</w:t>
            </w: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 company</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GasLog Services US Inc.</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Delaware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2014</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Service company</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Asia Pte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Singapore</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May 2015</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Service company</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GasLog LNG Services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6"/>
              </w:rPr>
              <w:t>August 2004</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3"/>
              </w:rPr>
              <w:t>Vessel management services</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Monaco S.A.M.</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Monaco</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February 2010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Service company</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GAS-one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2008</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4"/>
              </w:rPr>
              <w:t>GasLog Savannah</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GAS-two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February 2008</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7"/>
              </w:rPr>
              <w:t>GasLog Singapore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July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GAS-six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2011</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5"/>
              </w:rPr>
              <w:t>GasLog Skagen</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GAS-nine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5"/>
              </w:rPr>
              <w:t>GasLog Saratoga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GAS-ten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4"/>
              </w:rPr>
              <w:t>GasLog Salem</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GAS-twelve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2012</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7"/>
              </w:rPr>
              <w:t>GasLog Glasgow</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GAS-fourteen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2013</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GasLog Gibraltar</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GAS-fifteen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August 2013</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153,600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6"/>
              </w:rPr>
              <w:t>GasLog Chelsea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GAS-eighteen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5"/>
              </w:rPr>
              <w:t>Methane Lydon Volney</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GAS-twenty two Ltd.</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May 2014</w:t>
            </w: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Hull No. 2130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3"/>
                <w:szCs w:val="13"/>
                <w:color w:val="auto"/>
                <w:w w:val="90"/>
              </w:rPr>
              <w:t>Q1 2018</w:t>
            </w:r>
            <w:r>
              <w:rPr>
                <w:rFonts w:ascii="Arial" w:cs="Arial" w:eastAsia="Arial" w:hAnsi="Arial"/>
                <w:sz w:val="20"/>
                <w:szCs w:val="20"/>
                <w:color w:val="auto"/>
                <w:w w:val="90"/>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GAS-twenty three Ltd.</w:t>
            </w:r>
          </w:p>
        </w:tc>
        <w:tc>
          <w:tcPr>
            <w:tcW w:w="1020" w:type="dxa"/>
            <w:vAlign w:val="bottom"/>
          </w:tcPr>
          <w:p>
            <w:pPr>
              <w:jc w:val="center"/>
              <w:spacing w:after="0"/>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May 2014</w:t>
            </w:r>
          </w:p>
        </w:tc>
        <w:tc>
          <w:tcPr>
            <w:tcW w:w="1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Hull No. 2131</w:t>
            </w:r>
          </w:p>
        </w:tc>
        <w:tc>
          <w:tcPr>
            <w:tcW w:w="1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3"/>
                <w:szCs w:val="13"/>
                <w:color w:val="auto"/>
                <w:w w:val="90"/>
              </w:rPr>
              <w:t>Q1 2019</w:t>
            </w:r>
            <w:r>
              <w:rPr>
                <w:rFonts w:ascii="Arial" w:cs="Arial" w:eastAsia="Arial" w:hAnsi="Arial"/>
                <w:sz w:val="20"/>
                <w:szCs w:val="20"/>
                <w:color w:val="auto"/>
                <w:w w:val="90"/>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GAS-twenty four Ltd.</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June 2014</w:t>
            </w: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Hull No. 2800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3"/>
                <w:szCs w:val="13"/>
                <w:color w:val="auto"/>
                <w:w w:val="90"/>
              </w:rPr>
              <w:t>Q1 2018</w:t>
            </w:r>
            <w:r>
              <w:rPr>
                <w:rFonts w:ascii="Arial" w:cs="Arial" w:eastAsia="Arial" w:hAnsi="Arial"/>
                <w:sz w:val="20"/>
                <w:szCs w:val="20"/>
                <w:color w:val="auto"/>
                <w:w w:val="90"/>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GAS-twenty five Ltd.</w:t>
            </w:r>
          </w:p>
        </w:tc>
        <w:tc>
          <w:tcPr>
            <w:tcW w:w="1020" w:type="dxa"/>
            <w:vAlign w:val="bottom"/>
          </w:tcPr>
          <w:p>
            <w:pPr>
              <w:jc w:val="center"/>
              <w:spacing w:after="0"/>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5"/>
              </w:rPr>
              <w:t>June 2014</w:t>
            </w:r>
          </w:p>
        </w:tc>
        <w:tc>
          <w:tcPr>
            <w:tcW w:w="1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Hull No. 2801</w:t>
            </w:r>
          </w:p>
        </w:tc>
        <w:tc>
          <w:tcPr>
            <w:tcW w:w="1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3"/>
                <w:szCs w:val="13"/>
                <w:color w:val="auto"/>
                <w:w w:val="90"/>
              </w:rPr>
              <w:t>Q1 2018</w:t>
            </w:r>
            <w:r>
              <w:rPr>
                <w:rFonts w:ascii="Arial" w:cs="Arial" w:eastAsia="Arial" w:hAnsi="Arial"/>
                <w:sz w:val="20"/>
                <w:szCs w:val="20"/>
                <w:color w:val="auto"/>
                <w:w w:val="90"/>
                <w:vertAlign w:val="superscript"/>
              </w:rPr>
              <w:t>(1)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8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GAS-twenty six Ltd.</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3"/>
              </w:rPr>
              <w:t>Finance lease asset</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January 2015</w:t>
            </w:r>
          </w:p>
        </w:tc>
        <w:tc>
          <w:tcPr>
            <w:tcW w:w="16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1" w:lineRule="exact"/>
              <w:rPr>
                <w:sz w:val="20"/>
                <w:szCs w:val="20"/>
                <w:color w:val="auto"/>
              </w:rPr>
            </w:pPr>
            <w:r>
              <w:rPr>
                <w:rFonts w:ascii="Arial" w:cs="Arial" w:eastAsia="Arial" w:hAnsi="Arial"/>
                <w:sz w:val="14"/>
                <w:szCs w:val="14"/>
                <w:color w:val="auto"/>
                <w:w w:val="85"/>
              </w:rPr>
              <w:t>company</w:t>
            </w:r>
            <w:r>
              <w:rPr>
                <w:rFonts w:ascii="Arial" w:cs="Arial" w:eastAsia="Arial" w:hAnsi="Arial"/>
                <w:sz w:val="22"/>
                <w:szCs w:val="22"/>
                <w:color w:val="auto"/>
                <w:w w:val="85"/>
                <w:vertAlign w:val="superscript"/>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w w:val="89"/>
              </w:rPr>
              <w:t>Methane Julia Louise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March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GAS-twenty seven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2015</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5"/>
              </w:rPr>
              <w:t>Methane Becki Anne</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GAS-twenty eight Ltd.</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September</w:t>
            </w: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Hull No. 2213</w:t>
            </w:r>
            <w:r>
              <w:rPr>
                <w:rFonts w:ascii="Arial" w:cs="Arial" w:eastAsia="Arial" w:hAnsi="Arial"/>
                <w:sz w:val="22"/>
                <w:szCs w:val="22"/>
                <w:color w:val="auto"/>
                <w:w w:val="87"/>
                <w:vertAlign w:val="superscript"/>
              </w:rPr>
              <w:t>(4)</w:t>
            </w: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Q2 2020</w:t>
            </w:r>
            <w:r>
              <w:rPr>
                <w:rFonts w:ascii="Arial" w:cs="Arial" w:eastAsia="Arial" w:hAnsi="Arial"/>
                <w:sz w:val="22"/>
                <w:szCs w:val="22"/>
                <w:color w:val="auto"/>
                <w:w w:val="83"/>
                <w:vertAlign w:val="superscript"/>
              </w:rPr>
              <w:t>(1)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Bermuda</w:t>
            </w:r>
          </w:p>
        </w:tc>
        <w:tc>
          <w:tcPr>
            <w:tcW w:w="1040" w:type="dxa"/>
            <w:vAlign w:val="bottom"/>
            <w:gridSpan w:val="2"/>
            <w:shd w:val="clear" w:color="auto" w:fill="CCEEFF"/>
          </w:tcPr>
          <w:p>
            <w:pPr>
              <w:jc w:val="center"/>
              <w:ind w:left="92"/>
              <w:spacing w:after="0" w:line="159" w:lineRule="exact"/>
              <w:rPr>
                <w:sz w:val="20"/>
                <w:szCs w:val="20"/>
                <w:color w:val="auto"/>
              </w:rPr>
            </w:pPr>
            <w:r>
              <w:rPr>
                <w:rFonts w:ascii="Arial" w:cs="Arial" w:eastAsia="Arial" w:hAnsi="Arial"/>
                <w:sz w:val="14"/>
                <w:szCs w:val="14"/>
                <w:color w:val="auto"/>
                <w:w w:val="89"/>
              </w:rPr>
              <w:t>2016</w:t>
            </w: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180,000</w:t>
            </w:r>
          </w:p>
        </w:tc>
        <w:tc>
          <w:tcPr>
            <w:tcW w:w="160" w:type="dxa"/>
            <w:vAlign w:val="bottom"/>
            <w:shd w:val="clear" w:color="auto" w:fill="CCEEFF"/>
          </w:tcPr>
          <w:p>
            <w:pPr>
              <w:spacing w:after="0"/>
              <w:rPr>
                <w:sz w:val="13"/>
                <w:szCs w:val="13"/>
                <w:color w:val="auto"/>
              </w:rPr>
            </w:pPr>
          </w:p>
        </w:tc>
        <w:tc>
          <w:tcPr>
            <w:tcW w:w="14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2"/>
          </w:tcPr>
          <w:p>
            <w:pPr>
              <w:spacing w:after="0" w:line="138" w:lineRule="exact"/>
              <w:rPr>
                <w:sz w:val="20"/>
                <w:szCs w:val="20"/>
                <w:color w:val="auto"/>
              </w:rPr>
            </w:pPr>
            <w:r>
              <w:rPr>
                <w:rFonts w:ascii="Arial" w:cs="Arial" w:eastAsia="Arial" w:hAnsi="Arial"/>
                <w:sz w:val="14"/>
                <w:szCs w:val="14"/>
                <w:color w:val="auto"/>
              </w:rPr>
              <w:t>GAS-twenty nine Ltd.</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4"/>
                <w:szCs w:val="14"/>
                <w:color w:val="auto"/>
                <w:w w:val="84"/>
              </w:rPr>
              <w:t>September</w:t>
            </w: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3"/>
              </w:rPr>
              <w:t>Q3 2019</w:t>
            </w:r>
            <w:r>
              <w:rPr>
                <w:rFonts w:ascii="Arial" w:cs="Arial" w:eastAsia="Arial" w:hAnsi="Arial"/>
                <w:sz w:val="22"/>
                <w:szCs w:val="22"/>
                <w:color w:val="auto"/>
                <w:w w:val="83"/>
                <w:vertAlign w:val="superscript"/>
              </w:rPr>
              <w:t>(1)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Arial" w:cs="Arial" w:eastAsia="Arial" w:hAnsi="Arial"/>
                <w:sz w:val="14"/>
                <w:szCs w:val="14"/>
                <w:color w:val="auto"/>
                <w:w w:val="87"/>
              </w:rPr>
              <w:t>Bermuda</w:t>
            </w:r>
          </w:p>
        </w:tc>
        <w:tc>
          <w:tcPr>
            <w:tcW w:w="10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9"/>
              </w:rPr>
              <w:t>2016</w:t>
            </w: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180,000</w:t>
            </w:r>
          </w:p>
        </w:tc>
        <w:tc>
          <w:tcPr>
            <w:tcW w:w="16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91"/>
              </w:rPr>
              <w:t>Hull No. 2212</w:t>
            </w: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GAS-thirty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2017</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Dormant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GAS-thirty one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2017</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Dormant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GAS-thirty two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2017</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Dormant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GasLog Shipping Limited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7"/>
              </w:rPr>
              <w:t>BVI</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2003</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Dormant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25.9% interest subsidiaries:</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GasLog Partners LP</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8"/>
              </w:rPr>
              <w:t>Marshall Islands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Holding company</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Marshall Islands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Holding company</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GAS-three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GasLog Shanghai</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GAS-four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6"/>
              </w:rPr>
              <w:t>GasLog Santiago</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GAS-five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February 2011</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GasLog Sydney</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May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GAS-seven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4"/>
              </w:rPr>
              <w:t>GasLog Seattle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GAS-eight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8"/>
              </w:rPr>
              <w:t>Solaris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GAS-eleven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2012</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6"/>
              </w:rPr>
              <w:t>GasLog Greece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GAS-thirteen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2013</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4"/>
              </w:rPr>
              <w:t>GasLog Geneva</w:t>
            </w:r>
          </w:p>
        </w:tc>
        <w:tc>
          <w:tcPr>
            <w:tcW w:w="10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4"/>
              </w:rPr>
              <w:t>September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GAS-sixteen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6"/>
              </w:rPr>
              <w:t>Methane Rita Andrea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GAS-seventeen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Methane Jane Elizabeth</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GAS-nineteen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8"/>
              </w:rPr>
              <w:t>Methane Alison Victoria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GAS-twenty Ltd.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0" w:type="dxa"/>
            <w:vAlign w:val="bottom"/>
            <w:gridSpan w:val="2"/>
          </w:tcPr>
          <w:p>
            <w:pPr>
              <w:jc w:val="center"/>
              <w:ind w:left="72"/>
              <w:spacing w:after="0" w:line="149" w:lineRule="exact"/>
              <w:rPr>
                <w:sz w:val="20"/>
                <w:szCs w:val="20"/>
                <w:color w:val="auto"/>
              </w:rPr>
            </w:pPr>
            <w:r>
              <w:rPr>
                <w:rFonts w:ascii="Arial" w:cs="Arial" w:eastAsia="Arial" w:hAnsi="Arial"/>
                <w:sz w:val="14"/>
                <w:szCs w:val="14"/>
                <w:i w:val="1"/>
                <w:iCs w:val="1"/>
                <w:color w:val="auto"/>
                <w:w w:val="87"/>
              </w:rPr>
              <w:t>Methane Shirley Elisabeth</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one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8"/>
              </w:rPr>
              <w:t>Methane Heather Sally</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Egypt LNG Shipping Ltd.</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May 2010</w:t>
            </w: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8"/>
              </w:rPr>
              <w:t>Methane Nile Eagle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2007</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Date of</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capacity</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activities</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1"/>
              </w:rPr>
              <w:t>Vessel</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 interest associate:</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Gastrade S.A. ("Gastrade")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2"/>
              </w:rPr>
              <w:t>Greece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2010</w:t>
            </w: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7"/>
              </w:rPr>
              <w:t>Service company</w:t>
            </w:r>
          </w:p>
        </w:tc>
        <w:tc>
          <w:tcPr>
            <w:tcW w:w="160" w:type="dxa"/>
            <w:vAlign w:val="bottom"/>
          </w:tcPr>
          <w:p>
            <w:pPr>
              <w:spacing w:after="0"/>
              <w:rPr>
                <w:sz w:val="12"/>
                <w:szCs w:val="12"/>
                <w:color w:val="auto"/>
              </w:rPr>
            </w:pPr>
          </w:p>
        </w:tc>
        <w:tc>
          <w:tcPr>
            <w:tcW w:w="520" w:type="dxa"/>
            <w:vAlign w:val="bottom"/>
          </w:tcPr>
          <w:p>
            <w:pPr>
              <w:ind w:left="38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33.33% joint venture:</w:t>
            </w: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3"/>
          </w:tcPr>
          <w:p>
            <w:pPr>
              <w:spacing w:after="0" w:line="133" w:lineRule="exact"/>
              <w:rPr>
                <w:sz w:val="20"/>
                <w:szCs w:val="20"/>
                <w:color w:val="auto"/>
              </w:rPr>
            </w:pPr>
            <w:r>
              <w:rPr>
                <w:rFonts w:ascii="Arial" w:cs="Arial" w:eastAsia="Arial" w:hAnsi="Arial"/>
                <w:sz w:val="14"/>
                <w:szCs w:val="14"/>
                <w:color w:val="auto"/>
                <w:w w:val="98"/>
              </w:rPr>
              <w:t>The Cool Pool Limited (the "Cool Pool")</w:t>
            </w: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color w:val="auto"/>
                <w:w w:val="81"/>
              </w:rPr>
              <w:t>September</w:t>
            </w: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60" w:type="dxa"/>
            <w:vAlign w:val="bottom"/>
            <w:gridSpan w:val="2"/>
          </w:tcPr>
          <w:p>
            <w:pPr>
              <w:jc w:val="right"/>
              <w:ind w:right="52"/>
              <w:spacing w:after="0"/>
              <w:rPr>
                <w:sz w:val="20"/>
                <w:szCs w:val="20"/>
                <w:color w:val="auto"/>
              </w:rPr>
            </w:pPr>
            <w:r>
              <w:rPr>
                <w:rFonts w:ascii="Arial" w:cs="Arial" w:eastAsia="Arial" w:hAnsi="Arial"/>
                <w:sz w:val="11"/>
                <w:szCs w:val="11"/>
                <w:color w:val="auto"/>
              </w:rPr>
              <w:t>(3)</w:t>
            </w: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Marshall Islands</w:t>
            </w:r>
          </w:p>
        </w:tc>
        <w:tc>
          <w:tcPr>
            <w:tcW w:w="1040" w:type="dxa"/>
            <w:vAlign w:val="bottom"/>
            <w:gridSpan w:val="2"/>
          </w:tcPr>
          <w:p>
            <w:pPr>
              <w:jc w:val="center"/>
              <w:ind w:left="92"/>
              <w:spacing w:after="0"/>
              <w:rPr>
                <w:sz w:val="20"/>
                <w:szCs w:val="20"/>
                <w:color w:val="auto"/>
              </w:rPr>
            </w:pPr>
            <w:r>
              <w:rPr>
                <w:rFonts w:ascii="Arial" w:cs="Arial" w:eastAsia="Arial" w:hAnsi="Arial"/>
                <w:sz w:val="14"/>
                <w:szCs w:val="14"/>
                <w:color w:val="auto"/>
                <w:w w:val="89"/>
              </w:rPr>
              <w:t>2015</w:t>
            </w:r>
          </w:p>
        </w:tc>
        <w:tc>
          <w:tcPr>
            <w:tcW w:w="1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Service company</w:t>
            </w:r>
          </w:p>
        </w:tc>
        <w:tc>
          <w:tcPr>
            <w:tcW w:w="160" w:type="dxa"/>
            <w:vAlign w:val="bottom"/>
          </w:tcPr>
          <w:p>
            <w:pPr>
              <w:spacing w:after="0"/>
              <w:rPr>
                <w:sz w:val="15"/>
                <w:szCs w:val="15"/>
                <w:color w:val="auto"/>
              </w:rPr>
            </w:pP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99"/>
        </w:numPr>
        <w:rPr>
          <w:rFonts w:ascii="Arial" w:cs="Arial" w:eastAsia="Arial" w:hAnsi="Arial"/>
          <w:sz w:val="11"/>
          <w:szCs w:val="11"/>
          <w:color w:val="auto"/>
        </w:rPr>
      </w:pPr>
      <w:r>
        <w:rPr>
          <w:rFonts w:ascii="Arial" w:cs="Arial" w:eastAsia="Arial" w:hAnsi="Arial"/>
          <w:sz w:val="14"/>
          <w:szCs w:val="14"/>
          <w:color w:val="auto"/>
        </w:rPr>
        <w:t>For newbuildings, expected delivery quarters are presented.</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99"/>
        </w:numPr>
        <w:rPr>
          <w:rFonts w:ascii="Arial" w:cs="Arial" w:eastAsia="Arial" w:hAnsi="Arial"/>
          <w:sz w:val="10"/>
          <w:szCs w:val="10"/>
          <w:color w:val="auto"/>
        </w:rPr>
      </w:pPr>
      <w:r>
        <w:rPr>
          <w:rFonts w:ascii="Arial" w:cs="Arial" w:eastAsia="Arial" w:hAnsi="Arial"/>
          <w:sz w:val="12"/>
          <w:szCs w:val="12"/>
          <w:color w:val="auto"/>
        </w:rPr>
        <w:t xml:space="preserve">On February 24, 2016,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a subsidiary of Mitsui Co., Ltd. ("Mitsui"). Refer to Note 7.</w:t>
      </w:r>
    </w:p>
    <w:p>
      <w:pPr>
        <w:spacing w:after="0" w:line="145" w:lineRule="exact"/>
        <w:rPr>
          <w:rFonts w:ascii="Arial" w:cs="Arial" w:eastAsia="Arial" w:hAnsi="Arial"/>
          <w:sz w:val="10"/>
          <w:szCs w:val="10"/>
          <w:color w:val="auto"/>
        </w:rPr>
      </w:pPr>
    </w:p>
    <w:p>
      <w:pPr>
        <w:ind w:left="1680" w:right="400" w:hanging="531"/>
        <w:spacing w:after="0" w:line="318" w:lineRule="auto"/>
        <w:tabs>
          <w:tab w:leader="none" w:pos="1680" w:val="left"/>
        </w:tabs>
        <w:numPr>
          <w:ilvl w:val="0"/>
          <w:numId w:val="99"/>
        </w:numPr>
        <w:rPr>
          <w:rFonts w:ascii="Arial" w:cs="Arial" w:eastAsia="Arial" w:hAnsi="Arial"/>
          <w:sz w:val="10"/>
          <w:szCs w:val="10"/>
          <w:color w:val="auto"/>
        </w:rPr>
      </w:pPr>
      <w:r>
        <w:rPr>
          <w:rFonts w:ascii="Arial" w:cs="Arial" w:eastAsia="Arial" w:hAnsi="Arial"/>
          <w:sz w:val="12"/>
          <w:szCs w:val="12"/>
          <w:color w:val="auto"/>
        </w:rPr>
        <w:t>On October 1, 2015, GasLog Carriers, Dynagas Ltd. ("Dynagas") and Golar LNG Ltd. ("Golar") ("Pool Owners") and the Cool Pool Limited signed an LNG carrier pooling agreement (the "LNG Carrier Pool" or "Pool Agreement") to market their vessels, which are currently operating in the LNG shipping spot market.</w:t>
      </w:r>
    </w:p>
    <w:p>
      <w:pPr>
        <w:spacing w:after="0" w:line="147" w:lineRule="exact"/>
        <w:rPr>
          <w:rFonts w:ascii="Arial" w:cs="Arial" w:eastAsia="Arial" w:hAnsi="Arial"/>
          <w:sz w:val="10"/>
          <w:szCs w:val="10"/>
          <w:color w:val="auto"/>
        </w:rPr>
      </w:pPr>
    </w:p>
    <w:p>
      <w:pPr>
        <w:ind w:left="1680"/>
        <w:spacing w:after="0" w:line="278" w:lineRule="auto"/>
        <w:rPr>
          <w:rFonts w:ascii="Arial" w:cs="Arial" w:eastAsia="Arial" w:hAnsi="Arial"/>
          <w:sz w:val="10"/>
          <w:szCs w:val="10"/>
          <w:color w:val="auto"/>
        </w:rPr>
      </w:pPr>
      <w:r>
        <w:rPr>
          <w:rFonts w:ascii="Arial" w:cs="Arial" w:eastAsia="Arial" w:hAnsi="Arial"/>
          <w:sz w:val="12"/>
          <w:szCs w:val="12"/>
          <w:color w:val="auto"/>
        </w:rPr>
        <w:t>As of December 31, 2017, the LNG Carrier Pool—named the "Cool Pool"—consists of 19 modern, high quality and essentially equivalent vessels powered by fuel efficient tri-fuel diesel electric ("TFDE") propulsion technology. The participation of the Pool Owners' vessels in the Cool Pool is as follows: Dynagas: three vessels; GasLog: five vessels; and Golar: eleven vessels. Each vessel owner continues to be fully responsible for the manning and technical management of their respective vessels. For the operation of the Cool Pool, a Marshall Islands service company named "The Cool Pool Limited" or the "Pool Manager", was incorporated in September 2015 acting as an agent.</w:t>
      </w:r>
    </w:p>
    <w:p>
      <w:pPr>
        <w:spacing w:after="0" w:line="157" w:lineRule="exact"/>
        <w:rPr>
          <w:rFonts w:ascii="Arial" w:cs="Arial" w:eastAsia="Arial" w:hAnsi="Arial"/>
          <w:sz w:val="10"/>
          <w:szCs w:val="10"/>
          <w:color w:val="auto"/>
        </w:rPr>
      </w:pPr>
    </w:p>
    <w:p>
      <w:pPr>
        <w:ind w:left="1680" w:hanging="531"/>
        <w:spacing w:after="0"/>
        <w:tabs>
          <w:tab w:leader="none" w:pos="1680" w:val="left"/>
        </w:tabs>
        <w:numPr>
          <w:ilvl w:val="0"/>
          <w:numId w:val="99"/>
        </w:numPr>
        <w:rPr>
          <w:rFonts w:ascii="Arial" w:cs="Arial" w:eastAsia="Arial" w:hAnsi="Arial"/>
          <w:sz w:val="11"/>
          <w:szCs w:val="11"/>
          <w:color w:val="auto"/>
        </w:rPr>
      </w:pPr>
      <w:r>
        <w:rPr>
          <w:rFonts w:ascii="Arial" w:cs="Arial" w:eastAsia="Arial" w:hAnsi="Arial"/>
          <w:sz w:val="14"/>
          <w:szCs w:val="14"/>
          <w:color w:val="auto"/>
        </w:rPr>
        <w:t>Refer to Note 29.</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entities in the Group have a December 31st year end. During 2017, the Group employed an average of 184 employees (2016: 173 and 2015: 158).</w:t>
      </w:r>
    </w:p>
    <w:p>
      <w:pPr>
        <w:spacing w:after="0" w:line="24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GasLog's common shares are traded on the New York Stock Exchange ("NYSE") under the ticker symbol "GLOG". GasLog's 8.75% Series A Cumulative Redeemable Perpetual Preference Shares ("Preference Shares") are traded on the NYSE under the ticker symbol "GLOG PR 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consolidated financial statements of GasLog and its subsidiaries have been prepared in accordance with International Financial Reporting Standards (the "IFRS") as issued by the International Accounting Standards Board (the "IASB").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approval</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consolidated financial statements have been prepared on the historical cost basis, except for the revaluation of derivative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considering going concern management has reviewed the Group's future cash requirements, covenant compliance and earnings projections. Management anticipates that the Group's primary sources of funds will be available cash, cash from operations and borrowings under existing and new loan agreements. The Group may also seek to raise additional equity. Management believes that these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sources of funds will be sufficient for the Group to meet its liquidity needs and comply with its banking covenants for at least twelve months from the end of the reporting period and therefore it is appropriate to prepare the financial statements on a going concern basis.</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26, 2018, the financial statements were authorized on behalf of GasLog's board of directors for issuance and filing.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consolidated financial statements incorporate the financial statements of GasLog and entities controlled by GasLog (its subsidiaries). Control is achieved where GasLog:</w:t>
      </w:r>
    </w:p>
    <w:p>
      <w:pPr>
        <w:spacing w:after="0" w:line="19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has the ability to use its power to affect its returns.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intra-group transactions, balances, income and expenses are eliminated in full on consolidation.</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 of such subsidiaries. Total comprehensive income is attributed to a non-controlling interest even if this results in the non-controlling interest having a deficit balance.</w:t>
      </w:r>
    </w:p>
    <w:p>
      <w:pPr>
        <w:spacing w:after="0" w:line="197" w:lineRule="exact"/>
        <w:rPr>
          <w:sz w:val="20"/>
          <w:szCs w:val="20"/>
          <w:color w:val="auto"/>
        </w:rPr>
      </w:pPr>
    </w:p>
    <w:p>
      <w:pPr>
        <w:jc w:val="both"/>
        <w:ind w:right="340" w:firstLine="351"/>
        <w:spacing w:after="0" w:line="256" w:lineRule="auto"/>
        <w:rPr>
          <w:sz w:val="20"/>
          <w:szCs w:val="20"/>
          <w:color w:val="auto"/>
        </w:rPr>
      </w:pPr>
      <w:r>
        <w:rPr>
          <w:rFonts w:ascii="Arial" w:cs="Arial" w:eastAsia="Arial" w:hAnsi="Arial"/>
          <w:sz w:val="18"/>
          <w:szCs w:val="18"/>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disposal of a subsidiary, the attributable amount of goodwill is included in the determination of the profit or loss on disposal.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associates</w:t>
      </w:r>
    </w:p>
    <w:p>
      <w:pPr>
        <w:spacing w:after="0" w:line="225" w:lineRule="exact"/>
        <w:rPr>
          <w:sz w:val="20"/>
          <w:szCs w:val="20"/>
          <w:color w:val="auto"/>
        </w:rPr>
      </w:pPr>
    </w:p>
    <w:p>
      <w:pPr>
        <w:ind w:right="620" w:firstLine="341"/>
        <w:spacing w:after="0" w:line="332" w:lineRule="auto"/>
        <w:rPr>
          <w:sz w:val="20"/>
          <w:szCs w:val="20"/>
          <w:color w:val="auto"/>
        </w:rPr>
      </w:pPr>
      <w:r>
        <w:rPr>
          <w:rFonts w:ascii="Arial" w:cs="Arial" w:eastAsia="Arial" w:hAnsi="Arial"/>
          <w:sz w:val="16"/>
          <w:szCs w:val="16"/>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3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xml:space="preserve"> An impairment assessment of investments in associates is performed when there is an indication that the asset has been impaired or the impairment losses recognized in prior years no longer exist.</w:t>
      </w:r>
    </w:p>
    <w:p>
      <w:pPr>
        <w:spacing w:after="0" w:line="197"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When the Group's share of losses exceeds the carrying amount of the investment, the investment is reported at nil value and recognition of losses is discontinued except to the extent of the Group's commitment.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joint ventures</w:t>
      </w:r>
    </w:p>
    <w:p>
      <w:pPr>
        <w:spacing w:after="0" w:line="225"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 joint arrangement is an arrangement where two or more parties have joint control. Joint control is established by a contractual arrangement that requires unanimous agreement on decisions made on relevant activities. Without the presence of joint control, joint arrangements do not exist.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Under IFRS 11 </w:t>
      </w:r>
      <w:r>
        <w:rPr>
          <w:rFonts w:ascii="Arial" w:cs="Arial" w:eastAsia="Arial" w:hAnsi="Arial"/>
          <w:sz w:val="16"/>
          <w:szCs w:val="16"/>
          <w:i w:val="1"/>
          <w:iCs w:val="1"/>
          <w:color w:val="auto"/>
        </w:rPr>
        <w:t>Joint Arrangements,</w:t>
      </w:r>
      <w:r>
        <w:rPr>
          <w:rFonts w:ascii="Arial" w:cs="Arial" w:eastAsia="Arial" w:hAnsi="Arial"/>
          <w:sz w:val="16"/>
          <w:szCs w:val="16"/>
          <w:color w:val="auto"/>
        </w:rPr>
        <w:t xml:space="preserve"> investments in joint arrangements are classified as either joint operations or joint ventures. The classification depends on the contractual rights and obligations of each investor, rather than the legal structure of the joint arrangement. The arrangement is a joint operation when the contractual agreement provides rights to assets and obligations for liabilities for those parties sharing joint control. The joint arrangement is a joint venture when the agreement grants rights to the arrangement's net assets. The Cool Pool is a joint venture. Interests in joint ventures are accounted for using the equity method (see Investment in associates above), after initially being recognized at cost in the consolidated statement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Lease income from operating leases of vessels where the Group is a lessor is recognized in profit or loss on a straight-line basis over the lease term. The respective leased assets are included in the statement of financial position based on their nature under "Tangible fixed assets".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Leases of property, plant and equipment where the Group, as lessee, has substantially all the risks and rewards of ownership are classified as finance leases. Finance leases are capitalized at the lease's inception at the fair value of the leased property or, if lower, the present value of the minimum lease payments, discounted at the interest rate implicit in the lease, if practicable, or else at the Group's incremental borrowing rate. The corresponding rental obligations, net of finance charges, are included in current and non-current liabilities as finance lease liabilities. Each lease payment is allocated between the liability and finance cost. The finance cost is charged to profit or loss over the lease period so as to produce a constant periodic rate of interest on the remaining balance of the liability for each period. The property, plant and equipment acquired under finance leases is depreciated over the asset's useful life or over the shorter of the asset's useful life and the lease term if there is no reasonable certainty that the Group will obtain ownership at the end of the lease term.</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Leases in which a significant portion of the risks and rewards of ownership are not transferred to the Group as lessee are classified as operating leases. Payments made under operating leases (net of any incentives received from the lessor) are charged to profit or loss on a straight-line basis over the period of the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and presentation of government grants</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Government grants relating to costs are deferred and recognized in the profit or loss over the period necessary to match them with the costs that they are intended to compensate. Government grants relating to income are included in non-current liabilities as deferred income and are credited to profit or loss on a straight-line basis as costs are incurred over the duration of the specific project.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revenues and related operating expenses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Group's revenues comprise revenues from time charters for the charter hire of its vessels, gross pool revenues, management fees, project supervision income and other income earned during the period in accordance with existing contracts.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86"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Pool revenues are recognized on a gross basis representing time charter revenues earned by GasLog vessels participating in the pool under charter agreements where GasLog contracts directly with charterers. Revenue is recognized on a monthly basis, when the vessel is made available and services are provided to the charterer during the period, the amount can be estimated reliably and collection of the related revenue is reasonably assured.</w:t>
      </w:r>
    </w:p>
    <w:p>
      <w:pPr>
        <w:spacing w:after="0" w:line="16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Time charter hires received in advance are classified as liabilities until the criteria for recognizing the revenue as earned are met.</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voyage expenses and commissions</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Vessel operating costs and voyage expenses and commissions are expensed as incurred, with the exception of commissions, which are recognized on a pro-rata basis over the duration of the period of the time charter. Bunkers' consumption represents mainly bunkers consumed during vessels unemployment and off-hire.</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Furthermore, in relation to the vessels participating in the Cool Pool, voyage expenses and commissions include the net allocation from the pool which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is recognized on an accrual basis. Dividend income is recognized when the right to receive payment is established.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other borrowing costs and realized loss on interest rate swaps are recognized on an accrual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 for undrawn facilities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194"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Vessels under construction are presented at cost less identified impairment losses, if any. Costs include shipyard installment payments and other vessel costs incurred during the construction period that are directly attributable to the acquisition or construction of the vessels.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Upon completion of the construction, the vessels are presented on the statement of financial position in accordance with the "Tangible fixed assets: Property, plant and equipment" policy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fixed assets: Property, plant and equipment</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Tangible fixed assets are stated at cost less accumulated depreciation and any accumulated impairment loss. The initial cost of an asset comprises its purchase price and any directly attributable costs of bringing the asset to its working condition. 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 obtain from disposal of its vessels, after deducting the estimated costs of disposal, if the vessels were already of the age and in the condition expected at the end of their useful life.</w:t>
      </w:r>
    </w:p>
    <w:p>
      <w:pPr>
        <w:spacing w:after="0" w:line="17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LNG vessels are required to undergo dry-docking overhaul every five years to restore their service potential and to meet their classification requirements that cannot be performed while the vessels are operating. The dry-docking component is estimated at the time of a vessel's delivery from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shipyard or acquisition from the previous owner and is measured based on the estimated cost of the first dry-docking subsequent to its acquisition, based on the Group's historical experience with similar types of vessels. For subsequent dry-dockings actual costs are capitalized when incurred. The dry-docking component is depreciated over the period of five years in case of new vessels, and until the next dry-docking for secondhand vessels (which is performed within five years from the vessels' last dry-docking).</w:t>
      </w:r>
    </w:p>
    <w:p>
      <w:pPr>
        <w:spacing w:after="0" w:line="197"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useful lives of all long-lived assets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Vessel</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vessel component</w:t>
            </w: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Dry-docking component</w:t>
            </w:r>
          </w:p>
        </w:tc>
        <w:tc>
          <w:tcPr>
            <w:tcW w:w="3540" w:type="dxa"/>
            <w:vAlign w:val="bottom"/>
          </w:tcPr>
          <w:p>
            <w:pPr>
              <w:ind w:left="4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Furniture, computer, software and other office equipment</w:t>
            </w: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3 - 5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540" w:type="dxa"/>
            <w:vAlign w:val="bottom"/>
          </w:tcPr>
          <w:p>
            <w:pPr>
              <w:ind w:left="400"/>
              <w:spacing w:after="0"/>
              <w:rPr>
                <w:sz w:val="20"/>
                <w:szCs w:val="20"/>
                <w:color w:val="auto"/>
              </w:rPr>
            </w:pPr>
            <w:r>
              <w:rPr>
                <w:rFonts w:ascii="Arial" w:cs="Arial" w:eastAsia="Arial" w:hAnsi="Arial"/>
                <w:sz w:val="18"/>
                <w:szCs w:val="18"/>
                <w:color w:val="auto"/>
                <w:w w:val="95"/>
              </w:rPr>
              <w:t>12 years (or remaining term of the lease)</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profit or loss in the period of the change and future periods.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assets are sold, they are derecognized and any gain or loss resulting from their disposal is included in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tangible fixed assets, vessels under construction and vessel held under finance lease</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All assets are reviewed for impairment whenever events or changes in circumstances indicate that the carrying amount of an asset may not be recoverable. Whenever the carrying amount of an asset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 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Inventories represent lubricants on board the vessel and, in the event of a vessel's unemployment, the bunkers on board the vessel. Inventories are stated at the lower of cost calculated on a first in, first out basis, and net realizable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205"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Restricted cash comprises cash held that is not available for use by the Group including cash held in blocked accounts in order to comply with the covenants under the Group's credit facilities.</w:t>
      </w:r>
    </w:p>
    <w:p>
      <w:pPr>
        <w:spacing w:after="0" w:line="207"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20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3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Trade receivables are carried at the amount expected to be received from the third party to settle the obligation. Bad debts are written off during the period in which they are identified. An estimate is made for doubtful receivables based on a review of all outstanding amounts at each reporting date.</w:t>
      </w:r>
    </w:p>
    <w:p>
      <w:pPr>
        <w:spacing w:after="0" w:line="147"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Borrowings are measured at amortized cost, using the effective interest rate method. Any difference between the proceeds (net of transaction costs) and the settlement of the borrowings is recognized in the statement of profit or loss over the term of the borrowings.</w:t>
      </w:r>
    </w:p>
    <w:p>
      <w:pPr>
        <w:spacing w:after="0" w:line="207"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The Group enters into a variety of derivative financial instruments to economically hedge its exposure to interest rate and foreign exchange rate risks, including interest rate swaps, cross currency swaps ("CCSs") and forward foreign exchange contracts.</w:t>
      </w:r>
    </w:p>
    <w:p>
      <w:pPr>
        <w:spacing w:after="0" w:line="186" w:lineRule="exact"/>
        <w:rPr>
          <w:sz w:val="20"/>
          <w:szCs w:val="20"/>
          <w:color w:val="auto"/>
        </w:rPr>
      </w:pPr>
    </w:p>
    <w:p>
      <w:pPr>
        <w:ind w:left="540" w:right="100"/>
        <w:spacing w:after="0" w:line="323" w:lineRule="auto"/>
        <w:rPr>
          <w:sz w:val="20"/>
          <w:szCs w:val="20"/>
          <w:color w:val="auto"/>
        </w:rPr>
      </w:pPr>
      <w:r>
        <w:rPr>
          <w:rFonts w:ascii="Arial" w:cs="Arial" w:eastAsia="Arial" w:hAnsi="Arial"/>
          <w:sz w:val="15"/>
          <w:szCs w:val="15"/>
          <w:color w:val="auto"/>
        </w:rPr>
        <w:t>Derivative financial instruments are initially recognized at fair value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152"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The Group's 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w:t>
      </w:r>
    </w:p>
    <w:p>
      <w:pPr>
        <w:ind w:left="540" w:firstLine="8"/>
        <w:spacing w:after="0" w:line="261" w:lineRule="auto"/>
        <w:tabs>
          <w:tab w:leader="none" w:pos="78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is adequate documentation of the hedging relationships at the inception of the hedge; and (4) for cash flow hedges, the forecasted transaction that is the hedged item in the hedging relationship must be considered highly probable.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jc w:val="both"/>
        <w:ind w:left="540" w:right="120"/>
        <w:spacing w:after="0" w:line="318" w:lineRule="auto"/>
        <w:rPr>
          <w:sz w:val="20"/>
          <w:szCs w:val="20"/>
          <w:color w:val="auto"/>
        </w:rPr>
      </w:pPr>
      <w:r>
        <w:rPr>
          <w:rFonts w:ascii="Arial" w:cs="Arial" w:eastAsia="Arial" w:hAnsi="Arial"/>
          <w:sz w:val="15"/>
          <w:szCs w:val="15"/>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w:t>
      </w:r>
    </w:p>
    <w:p>
      <w:pPr>
        <w:spacing w:after="0" w:line="154" w:lineRule="exact"/>
        <w:rPr>
          <w:sz w:val="20"/>
          <w:szCs w:val="20"/>
          <w:color w:val="auto"/>
        </w:rPr>
      </w:pPr>
    </w:p>
    <w:p>
      <w:pPr>
        <w:ind w:left="540" w:right="300"/>
        <w:spacing w:after="0" w:line="306"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68"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Finance lease liabilities</w:t>
      </w:r>
    </w:p>
    <w:p>
      <w:pPr>
        <w:spacing w:after="0" w:line="231"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Finance lease liabilities are initially measured at the fair value of the leased property or, if lower, the present value of the minimum lease payments— discounted at the interest rate implicit in the lease, if practicable, or else at the entity's incremental borrowing rate—and subsequently measured at amortized cost, using the effective interest rate method. Finance charges in respect of finance leases are recognized in the consolidated statement of profit or loss under "Financial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information provided to the Group's chief operating decision maker (the "CODM"), being the Chief Executive Officer, to review the Group's operating results and allocate resources is on a consolidated basis for a single reportable segment. Furthermore, when the Group charters a vessel to a charterer, the charterer is free to trade the vessel worldwide and, as a result, the disclosure of geographic information is impracticable.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Share-based compensation to employees and others providing similar services are measured at the fair value of the equity instruments on the grant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determination of the fair value of share-based transactions are set out in Note 21.</w:t>
      </w:r>
    </w:p>
    <w:p>
      <w:pPr>
        <w:spacing w:after="0" w:line="219"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the process of applying GasLog's accounting policies, management has made the following judgments, apart from those involving estimations, that had the most significant effect on the amounts recognized in the consolidated financial statements.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Classification of the non-controlling interests: </w:t>
      </w:r>
      <w:r>
        <w:rPr>
          <w:rFonts w:ascii="Arial" w:cs="Arial" w:eastAsia="Arial" w:hAnsi="Arial"/>
          <w:sz w:val="16"/>
          <w:szCs w:val="16"/>
          <w:color w:val="auto"/>
        </w:rPr>
        <w:t>The non-controlling interests in the Partnership comprise the portion of the Partnership's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not directly or indirectly held by GasLog (31,017,405 units as of December 31, 2017).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172"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In reaching a judgment as to whether the non-controlling interests in the Partnership should be classified as liabilities or equity interests, management has considered the wide discretion of the board of directors of the Partnership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31" w:lineRule="exact"/>
        <w:rPr>
          <w:sz w:val="20"/>
          <w:szCs w:val="20"/>
          <w:color w:val="auto"/>
        </w:rPr>
      </w:pPr>
    </w:p>
    <w:p>
      <w:pPr>
        <w:jc w:val="both"/>
        <w:ind w:right="2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Vessel lives and residual value: </w:t>
      </w:r>
      <w:r>
        <w:rPr>
          <w:rFonts w:ascii="Arial" w:cs="Arial" w:eastAsia="Arial" w:hAnsi="Arial"/>
          <w:sz w:val="18"/>
          <w:szCs w:val="18"/>
          <w:color w:val="auto"/>
        </w:rPr>
        <w:t>Vessels are stated at cost, less accumulated depreciation. The estimates and assumptions that have the most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on the vessel carrying amount relate to the estimation of the useful life of an LNG vessel of 35 years and the residual value. An increase in the estimated useful life of a vessel or in its residual value would have the effect of decreasing the annual depreciation charge and an increase in the estimated useful life of a vessel would also extend the annual depreciation charge into later periods. A decrease in the useful life of a vessel or its residual value would have the effect of increasing the annual depreciation charge.</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Management estimated residual value of its vessels to be equal to the product of its lightweight tonnage ("LWT") and an estimated scrap rate per LWT. Effective December 31, 2017, following management's annual reassessment, the estimated scrap rate per LWT was decreased. This change in estimate is expected to increase the future annual depreciation by $873. The estimated residual value of the ships may not represent the fair market value at any time partly because market prices of scrap values tend to fluctuate. Management might revise its estimate of the residual values of the ships in the future in response to changing market conditions.</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regulations place significant limitations on the ability of a vessel to trade on a worldwide basis, the vessel's useful life will be adjusted to end at the date such regulations become effective.</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Group evaluates the carrying amounts of its vessels to determine whether there is any indication that those vessels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 All of these items have been historically volatile. In assessing the fair value less cost to sell of the vessel, the Group obtains vessel valuations from independent and internationally recognized ship brokers on a semi-annual basis or when there is an indication that an asset or assets may be impaired. If an indication of impairment is identified, the need for recognizing an impairment loss is assessed by comparing the carrying amount of the vessel to the higher of the fair value less cost to sell and the value in use.</w:t>
      </w:r>
    </w:p>
    <w:p>
      <w:pPr>
        <w:spacing w:after="0" w:line="17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Group's estimates of recoverable value assume that the vessels are all in seaworthy condition without need for repair and certified in class without notations of any kind. The Group's estimates are based on approximate charter free market values for its vessels that have been received from shipbrokers, which are also commonly used and accepted by the Group's lenders for determining compliance with the relevant covenants in its credit facilities. Vessel values can be highly volatile, so the estimates may not be indicative of the current or future market value of the Group's vessels or prices that could be achieved if it were to sell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of December 31, 2017, the carrying amounts of each of ten vessels were higher than the charter free market values estimated by shipbrokers and the Group concluded that events and circumstances triggered the existence of potential impairment of these vessels. As a result, the Group performed the impairment assessment of these vessels by comparing the discounted projected net operating cash flows for these vessels to their carrying values. The assumptions which the Group has used in its discounted projected net operating cash flow analysis included, among others, operating revenues, utilization, dry-docking costs, operating expenses (including management fees), residual values and the discount factor.</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those vessels operating under long-term time charters, revenue assumptions were based on contracted time charter rates up to the end of life of the current contract of each vessel, as well as the estimated average time charter rates for the remaining life of the vessel after the completion of its current contract. The revenue assumptions exclude days of scheduled off-hire and assume a utilization rate of 99.5%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2017, (iii) historical average time charter rates, based on publications by independent third party maritime research services ("maritime research publications"), and (iv) estimated future time charter rates, also based on maritime research publications that provide such forecasts. More specifically, for the non-contracted period starting upon the expiration of the firm charter period of each vessel and up to December 31, 2022, the Group used the most recent charter market rates for a 5-year time charter agreement based on available data from maritime research publications which is $52 per day for steam-powered ("Steam") vessels and $67.5 per day for tri-fuel diesel electric ("TFDE") vessels. For the remaining period from January 1, 2023 through the end of each vessel's useful life, the estimated average time charter rates for Steam and TFDE vessels were based on analysis of future supply and demand for LNG, analysis of future LNG shipping supply and demand balances, internally estimated and market-derived costs of building and financing newbuild LNG vessels, the technical characteristics of each vessel and 5-year historical average 5-year time charter rates based on maritime research publications.</w:t>
      </w:r>
    </w:p>
    <w:p>
      <w:pPr>
        <w:spacing w:after="0" w:line="17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For vessels operating in the spot market and employed through the Cool Pool, the estimated charter rates and utilization for the first year from the reporting date were based on the latest available maritime research publications from ship brokers for short-term (less than 12 months) employment of a vessel operating in the spot market on less than 1-year time charter contracts (in line with the Cool Pool strategy). The estimated charter rates are also based on existing charter contracts and forecasts generated by the Cool Pool directly, which reflect conditions existing in the LNG current spot market. For the remaining period and through the end of each vessel's useful life, the Group assumes that all vessels are operating under multi-year time charters, as a result of which the revenue assumptions were the same as the forecasted rates used for the remaining vessels of the fleet as discussed above. Recognizing that the LNG industry is cyclical and subject to significant volatility based on factors beyond the Group's control, management believes the use of revenue estimates discussed above to be reasonable as of the reporting date. The Group does not take into account any growth rate assumptions or inflation factors for determining forecasted time charter rates beyond the contracted charter rate period through the end of a vessel's useful life. In assessing the factors mentioned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for the purposes of determining estimated revenues, the Group has placed particular reliance on available third party maritime research publications and analysis of LNG shipping supply and demand data.</w:t>
      </w:r>
    </w:p>
    <w:p>
      <w:pPr>
        <w:spacing w:after="0" w:line="186"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addition, the Group used an annual operating expenses escalation factor equal to 1% based on its historical data and performance, as well as expectations of future inflation and operating and dry-docking costs. Estimates for the remaining useful lives of the current fleet and residual and scrap values are the same as those used for the Group's depreciation policy.</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the Group's impairment assessment, the weighted average cost of capital ("WACC") used to discount future estimated cash flows to their present values was approximately 8% as of December 31, 2017. This was based on the calculated cost of equity and cost of debt components. All estimates used and assumptions made were in accordance with the Group's internal budgets and historical experience of the shipping industry.</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value in use for the ten vessels calculated as per above was higher than the carrying amount of these vessels and, consequently, no impairment loss was recognized.</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Measurement of share-based compensation: </w:t>
      </w:r>
      <w:r>
        <w:rPr>
          <w:rFonts w:ascii="Arial" w:cs="Arial" w:eastAsia="Arial" w:hAnsi="Arial"/>
          <w:sz w:val="16"/>
          <w:szCs w:val="16"/>
          <w:color w:val="auto"/>
        </w:rPr>
        <w:t>Share-based compensation to executives and others providing similar services are measured at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equity instruments on the grant date. Details regarding the determination of the fair value of share-based transactions are set out in Note 21.</w:t>
      </w:r>
    </w:p>
    <w:p>
      <w:pPr>
        <w:spacing w:after="0" w:line="139"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fair value determined at the grant date of the equity-settled share-based compensation is expensed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52"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Impairment of goodwill: </w:t>
      </w:r>
      <w:r>
        <w:rPr>
          <w:rFonts w:ascii="Arial" w:cs="Arial" w:eastAsia="Arial" w:hAnsi="Arial"/>
          <w:sz w:val="16"/>
          <w:szCs w:val="16"/>
          <w:color w:val="auto"/>
        </w:rPr>
        <w:t>The Group reviews goodwill for impairment at least annually. For the purpose of impairment testing, goodwill has been allocated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cash-generating unit representing the management company, GasLog LNG Services Ltd., which was acquired by the Group in 2005.</w:t>
      </w:r>
    </w:p>
    <w:p>
      <w:pPr>
        <w:spacing w:after="0" w:line="13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Determining whether goodwill is impaired requires an estimation of the recoverable amount, which is the higher of fair value less costs to sell and value in use, of the cash-generating units to which goodwill has been allocated. The value in use calculation requires the Group to estimate the future cash flows expected to arise from the cash-generating unit(s) and a suitable discount rate in order to calculate present value. Details of the assumptions used in our impairment analysis are set out in Note 3. No impairment loss was recognized for any of the periods presented.</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Fair value of derivative financial instruments: </w:t>
      </w:r>
      <w:r>
        <w:rPr>
          <w:rFonts w:ascii="Arial" w:cs="Arial" w:eastAsia="Arial" w:hAnsi="Arial"/>
          <w:sz w:val="18"/>
          <w:szCs w:val="18"/>
          <w:color w:val="auto"/>
        </w:rPr>
        <w:t>The Group's risk management policies permit the use of derivative financial instruments to manage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risk and foreign exchange risk. Changes in fair value of derivative financial instruments that are not designated as cash flow hedges for accounting purposes are recognized in the consolidated statement of profit or loss.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 substantial majority of the Group's derivative instruments activity relates to the use of interest rate swaps. The fair value of the Group's interest rate swap agreements is the estimated amount that the Group would receive or pay to terminate the agreements at the reporting date, taking into account current interest rates and the current credit worthiness of both the Group and the swap counterparties. The estimated amount is the present value of estimated future cash flows, being equal to the difference between the benchmark interest rate and the fixed rate in the interest rate swap agreement, multiplied by the notional principal amount of the interest rate swap agreement at each interest reset date.</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fair value of the Group's interest and currency swap agreements at the end of each period are most significantly affected by the interest rate implied by market-observable data such as the London Interbank Offered Rate ("LIBOR") yield curve and forward foreign exchange rates. While the fair value of the Group's interest and currency swap agreements are typically more sensitive to changes in short-term rates, significant changes in the long-term benchmark interest and foreign exchange rates also materially impact interest and currency swap agreements.</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fair value of the Group's interest rate and currency swap agreements are also affected by changes in its specific credit risk and counterparties' risk included in the discount factor. The estimate of the Group's credit risk is based on the credit rating of other companies in the LNG industry where publicly available, the rating of the global transportation industry where the shipping industry is included and the feedback that the Group receives from its lenders as part of the margin setting for the new loan agreements. The counterparties' credit risk is estimated either by using the credit default swap rates obtained from public information or, if not available, by using the credit rating of the counterparties.</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LIBOR yield curve and the Group's specific credit risk are expected to vary over the life of the interest rate swap agreements. The larger the notional amount of the interest rate swap agreements outstanding and the longer the remaining duration of the interest rate swap agreements, the larger the impact of any variability in these factors will be on the fair value of the Group's interest rate swaps. The Group economically hedges the interest rate exposure on a significant amount of its long-term debt and for long durations. As such, the Group has historically experienced, and expects to continue to experience, material variations in the period-to-period fair value of its derivative instruments.</w:t>
      </w:r>
    </w:p>
    <w:p>
      <w:pPr>
        <w:spacing w:after="0" w:line="170"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Although the Group measures the fair value of its derivative instruments utilizing the inputs and assumptions described above, if it were to terminate the agreements at the reporting date, the amount the Group would pay or receive to terminate the derivative instruments may differ from the estimate of fair value. If the estimated fair value differs from the actual termination amount, an adjustment to the carrying amount of the applicable derivative asset or liability would be recognized in profit or loss for the current period. Such adjustments could be material. See Note 25 for the effects on the change in fair value of its derivative instruments on the consolidated statements of profit or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In January 2016, the IASB issued amendments to IAS 7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introducing an additional disclosure that will enable users of financial statements to evaluate changes in liabilities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which were effective for annual periods beginning on or after January 1, 2017, had a disclosure impact on the Group's consolidated financial statements; please refer to Note 26.</w:t>
      </w:r>
    </w:p>
    <w:p>
      <w:pPr>
        <w:spacing w:after="0" w:line="206"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date of authorization of these financial statements, the following standards and amendments relevant to the Group were in issue but not yet effective:</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In May 2014, the IASB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IAS 11 </w:t>
      </w:r>
      <w:r>
        <w:rPr>
          <w:rFonts w:ascii="Arial" w:cs="Arial" w:eastAsia="Arial" w:hAnsi="Arial"/>
          <w:sz w:val="16"/>
          <w:szCs w:val="16"/>
          <w:i w:val="1"/>
          <w:iCs w:val="1"/>
          <w:color w:val="auto"/>
        </w:rPr>
        <w:t>Construction Contracts</w:t>
      </w:r>
      <w:r>
        <w:rPr>
          <w:rFonts w:ascii="Arial" w:cs="Arial" w:eastAsia="Arial" w:hAnsi="Arial"/>
          <w:sz w:val="16"/>
          <w:szCs w:val="16"/>
          <w:color w:val="auto"/>
        </w:rPr>
        <w:t xml:space="preserve"> and a number of revenue-related interpretations. The standard was amended in September 2015 to delay the effective date to annual periods beginning on or after January 1, 2018 but early adoption is permitted. In addition, the standard was further amended in April 2016 to clarify the guidance on identifying performance obligations, accounting for licenses of intellectual property and the principal versus agent assessment (gross versus net revenue presentation), as well as to give new and amended illustrative examples and practical expedients. The Group will adopt the standard as of January 1, 2018 and is expecting that the adoption will not have a material effect on the Group's consolidated financial statements, other than additional disclosure requirements in the notes to the consolidated financial statements, since the Group has chartered its vessels under time charter agreements and a bareboat agreement, and in this respect, revenue is accounted for under the leases standard.</w:t>
      </w:r>
    </w:p>
    <w:p>
      <w:pPr>
        <w:spacing w:after="0" w:line="17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In July 2014, the IASB issued the complete version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The Group applies cash flow hedge accounting on its cross-currency swaps in relation to its NOK denominated bonds (Note 25) (but does not apply hedge accounting on its cash flow interest rate swaps in relation to its floating debt) and management anticipates that the new rules under IFRS 9 on hedge accounting are not expected to have a material impact on the Group's consolidated financial statements.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 xml:space="preserve">In January 2016, the IASB issued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related Interpretations. The standard is effective from January 1, 2019, with early adoption permitted only with concurrent adoption of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Management anticipates that the implementation of this standard will not have a material impact on the Group's consolidated financial statements, since the changes for lessors are fairly minor.</w:t>
      </w:r>
    </w:p>
    <w:p>
      <w:pPr>
        <w:spacing w:after="0" w:line="16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on the Group's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2017, the Group assessed the recoverable amount of goodwill, and concluded that goodwill associated with the Group's vessel management company was not impaired. The recoverable amount of the vessel management operations is determined based on a value-in-use calculation which uses cash flow to be generated based on financial budget for the year ending December 31, 2018, approved by management.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assumptions used in the value-in-use calculations (2018 and beyond) are as follows:</w:t>
      </w:r>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Average inflation of 1.0%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pre-tax discount rate of 12.2%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Annual growth rate of 1.0%;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 Euro = USD 1.20.</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 recoverable amount is based would not cause the carrying amount of the cash-generating unit to exceed its recoverable amount.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GasLog's offerings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April 7, 2015, GasLog completed a public offering of 4,600,000 Preference Shares (including 600,000 shares issued upon the exercise in full by the underwriters of their option to purchase additional Preference Shares), par value $0.01 per share, liquidation preference $25.00 per share, which priced at $25.00 per share. The net proceeds from the offering after deducting underwriting discounts, commissions and other offering expenses were $110,653.</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offerings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June 26, 2015, GasLog Partners completed a public offering of 7,500,000 common units at a public offering price of $23.90 per unit. The net proceeds from this offering after deducting underwriting discounts and other offering expenses, were $171,831.</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August 5, 2016, GasLog Partners completed a public offering of 2,750,000 common units at a public offering price of $19.50 per unit. The net proceeds from this offering after deducting underwriting discounts and other offering expenses, were $52,299.</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$78,197.</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Preference Rate Units (the "Partnership's Series A Preference Units") (including 750,000 units issued upon the exercise in full by the underwriters of their option to purchase additional Partnership's Series A Preference Units), liquidation preference $25.00 per unit, at a price to the public of $25.00 per preference unit. The net proceeds from the offering after deducting underwriting discounts, commissions and other offering expenses were $138,804. The Partnership's Series A Preference Units are listed on the New York Stock Exchange under the symbol "GLOP PR A". The initial distribution on the Partnership's Series A Preference Units was paid on September 15, 2017.</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May 16, 2017, GasLog Partners commenced an "at-the-market" common equity offering programme ("ATM Programme"), under which the Partnership may, from time to time, raise equity through the issuance and sale of new common units having an aggregate offering value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From establishment of the ATM Programme through December 31, 2017, GasLog Partners had issued and received payment for 2,735,405 common units at a weighted average price of $22.97 per common unit for total net proceeds of $61,225. On November 3, 2017, the Partnership entered into the Amended and Restated Equity Distribution Agreement to increase the size of the ATM Programme to $144,040 and to include UBS Securities LLC as a sales agent.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Additionally, on May 16, 2017 the subordination period on the subordinated units of GasLog Partners held by GasLog expired and consequently all 9,822,358 subordinated units of GasLog Partners converted into common units of GasLog Partners on a one-for-one basis and now participate pro rata with all other outstanding common units in distributions of available cash.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non-controlling interests as of December 31, 2016 and 2017 is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Non-controlling interests</w:t>
            </w: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4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proceeds from the Partnership's equity offerings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52,299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declared and paid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Profit and total comprehensive income allocated to non-controlling interests</w:t>
            </w:r>
          </w:p>
        </w:tc>
        <w:tc>
          <w:tcPr>
            <w:tcW w:w="700" w:type="dxa"/>
            <w:vAlign w:val="bottom"/>
          </w:tcPr>
          <w:p>
            <w:pPr>
              <w:jc w:val="right"/>
              <w:spacing w:after="0"/>
              <w:rPr>
                <w:sz w:val="20"/>
                <w:szCs w:val="20"/>
                <w:color w:val="auto"/>
              </w:rPr>
            </w:pPr>
            <w:r>
              <w:rPr>
                <w:rFonts w:ascii="Arial" w:cs="Arial" w:eastAsia="Arial" w:hAnsi="Arial"/>
                <w:sz w:val="18"/>
                <w:szCs w:val="18"/>
                <w:color w:val="auto"/>
              </w:rPr>
              <w:t>49,537</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564,039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845,105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profit allocation to non-controlling interests is based on the distribution policy for available cash stated in the Partnership Agreement and is illustrated in the table below:</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16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88"/>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Total Quarterly</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Common</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General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Holders of</w:t>
            </w: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Unitholders</w:t>
            </w:r>
          </w:p>
        </w:tc>
        <w:tc>
          <w:tcPr>
            <w:tcW w:w="32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Partner</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88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880" w:type="dxa"/>
            <w:vAlign w:val="bottom"/>
          </w:tcPr>
          <w:p>
            <w:pPr>
              <w:jc w:val="right"/>
              <w:spacing w:after="0"/>
              <w:rPr>
                <w:sz w:val="20"/>
                <w:szCs w:val="20"/>
                <w:color w:val="auto"/>
              </w:rPr>
            </w:pPr>
            <w:r>
              <w:rPr>
                <w:rFonts w:ascii="Arial" w:cs="Arial" w:eastAsia="Arial" w:hAnsi="Arial"/>
                <w:sz w:val="18"/>
                <w:szCs w:val="18"/>
                <w:color w:val="auto"/>
                <w:w w:val="96"/>
              </w:rPr>
              <w:t>$0.46875 up to $0.5625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$0.5625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r>
    </w:tbl>
    <w:p>
      <w:pPr>
        <w:spacing w:after="0" w:line="200" w:lineRule="exact"/>
        <w:rPr>
          <w:sz w:val="20"/>
          <w:szCs w:val="20"/>
          <w:color w:val="auto"/>
        </w:rPr>
      </w:pPr>
    </w:p>
    <w:p>
      <w:pPr>
        <w:spacing w:after="0" w:line="371"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Allocation of GasLog Partners' profit</w:t>
            </w:r>
            <w:r>
              <w:rPr>
                <w:rFonts w:ascii="Arial" w:cs="Arial" w:eastAsia="Arial" w:hAnsi="Arial"/>
                <w:sz w:val="22"/>
                <w:szCs w:val="22"/>
                <w:b w:val="1"/>
                <w:bCs w:val="1"/>
                <w:color w:val="auto"/>
                <w:vertAlign w:val="superscript"/>
              </w:rPr>
              <w:t>(*)</w:t>
            </w: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profit attributable to:</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Common unitholders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49,886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76,347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unitholders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General partner</w:t>
            </w:r>
          </w:p>
        </w:tc>
        <w:tc>
          <w:tcPr>
            <w:tcW w:w="620" w:type="dxa"/>
            <w:vAlign w:val="bottom"/>
          </w:tcPr>
          <w:p>
            <w:pPr>
              <w:jc w:val="right"/>
              <w:spacing w:after="0"/>
              <w:rPr>
                <w:sz w:val="20"/>
                <w:szCs w:val="20"/>
                <w:color w:val="auto"/>
              </w:rPr>
            </w:pPr>
            <w:r>
              <w:rPr>
                <w:rFonts w:ascii="Arial" w:cs="Arial" w:eastAsia="Arial" w:hAnsi="Arial"/>
                <w:sz w:val="18"/>
                <w:szCs w:val="18"/>
                <w:color w:val="auto"/>
              </w:rPr>
              <w:t>1,545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Paid and accrued preference equity distributions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94,117</w:t>
            </w: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color w:val="auto"/>
              </w:rPr>
              <w:t>Partnership's profit allocated to GasLog</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gridSpan w:val="4"/>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27,733</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25,414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profit allocated to non-controlling interests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40" w:hanging="540"/>
        <w:spacing w:after="0" w:line="239" w:lineRule="auto"/>
        <w:tabs>
          <w:tab w:leader="none" w:pos="22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Includes profits of GAS-seven Ltd., GAS-eleven Ltd., GAS-thirteen Ltd. and GAS-eight Ltd. for the period after their transfers to the Partnership on November 1, 2016, May 3, 2017, July 3, 2017 and October 20, 2017, respectively.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participates in the following associates and joint venture: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left="364"/>
              <w:spacing w:after="0"/>
              <w:rPr>
                <w:sz w:val="20"/>
                <w:szCs w:val="20"/>
                <w:color w:val="auto"/>
              </w:rPr>
            </w:pPr>
            <w:r>
              <w:rPr>
                <w:rFonts w:ascii="Arial" w:cs="Arial" w:eastAsia="Arial" w:hAnsi="Arial"/>
                <w:sz w:val="14"/>
                <w:szCs w:val="14"/>
                <w:b w:val="1"/>
                <w:bCs w:val="1"/>
                <w:color w:val="auto"/>
                <w:w w:val="94"/>
              </w:rPr>
              <w:t>%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ownership</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Country of</w:t>
            </w: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interest</w:t>
            </w: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Nature of</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Measurement</w:t>
            </w: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2"/>
        </w:trPr>
        <w:tc>
          <w:tcPr>
            <w:tcW w:w="21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3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incorporation</w:t>
            </w: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relationship</w:t>
            </w:r>
          </w:p>
        </w:tc>
        <w:tc>
          <w:tcPr>
            <w:tcW w:w="16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method</w:t>
            </w:r>
          </w:p>
        </w:tc>
        <w:tc>
          <w:tcPr>
            <w:tcW w:w="160" w:type="dxa"/>
            <w:vAlign w:val="bottom"/>
          </w:tcPr>
          <w:p>
            <w:pPr>
              <w:spacing w:after="0"/>
              <w:rPr>
                <w:sz w:val="12"/>
                <w:szCs w:val="12"/>
                <w:color w:val="auto"/>
              </w:rPr>
            </w:pPr>
          </w:p>
        </w:tc>
        <w:tc>
          <w:tcPr>
            <w:tcW w:w="1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activity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1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Egypt LNG Shipping Ltd.</w:t>
            </w:r>
            <w:r>
              <w:rPr>
                <w:rFonts w:ascii="Arial" w:cs="Arial" w:eastAsia="Arial" w:hAnsi="Arial"/>
                <w:sz w:val="28"/>
                <w:szCs w:val="28"/>
                <w:color w:val="auto"/>
                <w:vertAlign w:val="superscript"/>
              </w:rPr>
              <w:t>(1)</w:t>
            </w: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Bermuda</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Associate</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Equity method</w:t>
            </w:r>
          </w:p>
        </w:tc>
        <w:tc>
          <w:tcPr>
            <w:tcW w:w="1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Vessel-owning company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60" w:type="dxa"/>
            <w:vAlign w:val="bottom"/>
            <w:gridSpan w:val="3"/>
          </w:tcPr>
          <w:p>
            <w:pPr>
              <w:spacing w:after="0" w:line="256" w:lineRule="exact"/>
              <w:rPr>
                <w:sz w:val="20"/>
                <w:szCs w:val="20"/>
                <w:color w:val="auto"/>
              </w:rPr>
            </w:pPr>
            <w:r>
              <w:rPr>
                <w:rFonts w:ascii="Arial" w:cs="Arial" w:eastAsia="Arial" w:hAnsi="Arial"/>
                <w:sz w:val="18"/>
                <w:szCs w:val="18"/>
                <w:color w:val="auto"/>
              </w:rPr>
              <w:t>Gastrade</w:t>
            </w:r>
            <w:r>
              <w:rPr>
                <w:rFonts w:ascii="Arial" w:cs="Arial" w:eastAsia="Arial" w:hAnsi="Arial"/>
                <w:sz w:val="29"/>
                <w:szCs w:val="29"/>
                <w:color w:val="auto"/>
                <w:vertAlign w:val="superscript"/>
              </w:rPr>
              <w:t>(2)</w:t>
            </w:r>
          </w:p>
        </w:tc>
        <w:tc>
          <w:tcPr>
            <w:tcW w:w="1540" w:type="dxa"/>
            <w:vAlign w:val="bottom"/>
            <w:gridSpan w:val="3"/>
          </w:tcPr>
          <w:p>
            <w:pPr>
              <w:ind w:left="180"/>
              <w:spacing w:after="0"/>
              <w:rPr>
                <w:sz w:val="20"/>
                <w:szCs w:val="20"/>
                <w:color w:val="auto"/>
              </w:rPr>
            </w:pPr>
            <w:r>
              <w:rPr>
                <w:rFonts w:ascii="Arial" w:cs="Arial" w:eastAsia="Arial" w:hAnsi="Arial"/>
                <w:sz w:val="18"/>
                <w:szCs w:val="18"/>
                <w:color w:val="auto"/>
              </w:rPr>
              <w:t>Greece</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Associate</w:t>
            </w: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w w:val="95"/>
              </w:rPr>
              <w:t>Equity method</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Service company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The Cool Pool Limited</w:t>
            </w:r>
            <w:r>
              <w:rPr>
                <w:rFonts w:ascii="Arial" w:cs="Arial" w:eastAsia="Arial" w:hAnsi="Arial"/>
                <w:sz w:val="29"/>
                <w:szCs w:val="29"/>
                <w:color w:val="auto"/>
                <w:vertAlign w:val="superscript"/>
              </w:rPr>
              <w:t>(3)</w:t>
            </w: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Marshall Islands</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33.33%</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Joint venture</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Equity method</w:t>
            </w:r>
          </w:p>
        </w:tc>
        <w:tc>
          <w:tcPr>
            <w:tcW w:w="1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company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Egypt LNG Shipping Ltd. owns and operates a 145,000 cbm LNG vessel built in 2007.</w:t>
      </w:r>
    </w:p>
    <w:p>
      <w:pPr>
        <w:spacing w:after="0" w:line="122" w:lineRule="exact"/>
        <w:rPr>
          <w:rFonts w:ascii="Arial" w:cs="Arial" w:eastAsia="Arial" w:hAnsi="Arial"/>
          <w:sz w:val="11"/>
          <w:szCs w:val="11"/>
          <w:color w:val="auto"/>
        </w:rPr>
      </w:pPr>
    </w:p>
    <w:p>
      <w:pPr>
        <w:ind w:left="1680" w:right="140" w:hanging="531"/>
        <w:spacing w:after="0" w:line="239" w:lineRule="auto"/>
        <w:tabs>
          <w:tab w:leader="none" w:pos="168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Gastrade is a private limited company licensed to develop an independent natural gas system offshore Alexandroupolis in Northern Greece utilizing a floating storage and regasification unit ("FSRU") along with other fixed infrastructure.</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The Cool Pool Limited is the commercial manager of the Cool Pool acting as an agent (Note 1).</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 associates and joint venture consist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Associates</w:t>
            </w: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Joint Venture</w:t>
            </w:r>
          </w:p>
        </w:tc>
      </w:tr>
      <w:tr>
        <w:trPr>
          <w:trHeight w:val="142"/>
        </w:trPr>
        <w:tc>
          <w:tcPr>
            <w:tcW w:w="50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Additions/(write-offs)</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14,125</w:t>
            </w: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Return of investment from associate</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(137)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(1,239)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Pr>
          <w:p>
            <w:pPr>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20,800</w:t>
            </w: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additions of $14,125 relate to the investment in Gastrade. On February 9, 2017, GasLog acquired a 20% shareholding in Gastrade, a private limited company licensed to develop an independent natural gas system offshore Alexandroupolis in Northern Greece utilizing an FSRU along with other fixed infrastructure.</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financial information in respect of the associates and the joint venture is set out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280"/>
              <w:spacing w:after="0"/>
              <w:rPr>
                <w:sz w:val="20"/>
                <w:szCs w:val="20"/>
                <w:color w:val="auto"/>
              </w:rPr>
            </w:pPr>
            <w:r>
              <w:rPr>
                <w:rFonts w:ascii="Arial" w:cs="Arial" w:eastAsia="Arial" w:hAnsi="Arial"/>
                <w:sz w:val="14"/>
                <w:szCs w:val="14"/>
                <w:b w:val="1"/>
                <w:bCs w:val="1"/>
                <w:color w:val="auto"/>
              </w:rPr>
              <w:t>Associates</w:t>
            </w:r>
          </w:p>
        </w:tc>
        <w:tc>
          <w:tcPr>
            <w:tcW w:w="150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Joint Venture</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6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20,813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16,944</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9,695</w:t>
            </w: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40,661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(12,590)</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(12,324)</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(9,695)</w:t>
            </w:r>
          </w:p>
        </w:tc>
        <w:tc>
          <w:tcPr>
            <w:tcW w:w="980" w:type="dxa"/>
            <w:vAlign w:val="bottom"/>
            <w:gridSpan w:val="5"/>
            <w:shd w:val="clear" w:color="auto" w:fill="CCEEFF"/>
          </w:tcPr>
          <w:p>
            <w:pPr>
              <w:jc w:val="right"/>
              <w:ind w:right="22"/>
              <w:spacing w:after="0"/>
              <w:rPr>
                <w:sz w:val="20"/>
                <w:szCs w:val="20"/>
                <w:color w:val="auto"/>
              </w:rPr>
            </w:pPr>
            <w:r>
              <w:rPr>
                <w:rFonts w:ascii="Arial" w:cs="Arial" w:eastAsia="Arial" w:hAnsi="Arial"/>
                <w:sz w:val="18"/>
                <w:szCs w:val="18"/>
                <w:color w:val="auto"/>
              </w:rPr>
              <w:t>(40,661)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123,628</w:t>
            </w: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121,158</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320" w:type="dxa"/>
            <w:vAlign w:val="bottom"/>
            <w:gridSpan w:val="2"/>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(106,790)</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(99,086)</w:t>
            </w:r>
          </w:p>
        </w:tc>
        <w:tc>
          <w:tcPr>
            <w:tcW w:w="10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25,061</w:t>
            </w: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26,692</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Group's share</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78"/>
              </w:rPr>
              <w:t>Associates</w:t>
            </w:r>
          </w:p>
        </w:tc>
        <w:tc>
          <w:tcPr>
            <w:tcW w:w="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87"/>
              </w:rPr>
              <w:t>Joint Venture</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18,694</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73,348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159,460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Profit for the year</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4,863</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5,686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for the year</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Group's share in profit</w:t>
            </w:r>
          </w:p>
        </w:tc>
        <w:tc>
          <w:tcPr>
            <w:tcW w:w="8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1,422</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Dividend declared</w:t>
            </w:r>
          </w:p>
        </w:tc>
        <w:tc>
          <w:tcPr>
            <w:tcW w:w="15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(6,400)</w:t>
            </w:r>
          </w:p>
        </w:tc>
        <w:tc>
          <w:tcPr>
            <w:tcW w:w="880" w:type="dxa"/>
            <w:vAlign w:val="bottom"/>
            <w:tcBorders>
              <w:right w:val="single" w:sz="8" w:color="CCEEFF"/>
            </w:tcBorders>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(4,950)</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Group's share in dividend</w:t>
            </w:r>
          </w:p>
        </w:tc>
        <w:tc>
          <w:tcPr>
            <w:tcW w:w="8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1,239</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Vessels Under Construction and Vessel Held Under Finance Lease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tangible fixed assets and vessels under construction are reported in the following table: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Office property</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6"/>
              </w:rPr>
              <w:t>Vessels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Vessel held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and other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tangible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Vessels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tangible assets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fixed assets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construction</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finance lease</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Cost</w:t>
            </w:r>
          </w:p>
        </w:tc>
        <w:tc>
          <w:tcPr>
            <w:tcW w:w="3460" w:type="dxa"/>
            <w:vAlign w:val="bottom"/>
            <w:tcBorders>
              <w:bottom w:val="single" w:sz="8" w:color="CCEEFF"/>
            </w:tcBorders>
            <w:gridSpan w:val="3"/>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b w:val="1"/>
                <w:bCs w:val="1"/>
                <w:color w:val="auto"/>
              </w:rPr>
              <w:t>As of January 1, 2016</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3,619,255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12,315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3,631,570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178,405</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742,998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Sale and leaseback (Note 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(234,650)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(234,650)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227,809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from vessels under construction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825,047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825,047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(2,594)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4,212,849</w:t>
            </w: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14,501</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4,227,350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96,356</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5"/>
          </w:tcPr>
          <w:p>
            <w:pPr>
              <w:spacing w:after="0"/>
              <w:rPr>
                <w:sz w:val="20"/>
                <w:szCs w:val="20"/>
                <w:color w:val="auto"/>
              </w:rPr>
            </w:pPr>
            <w:r>
              <w:rPr>
                <w:rFonts w:ascii="Arial" w:cs="Arial" w:eastAsia="Arial" w:hAnsi="Arial"/>
                <w:sz w:val="18"/>
                <w:szCs w:val="18"/>
                <w:color w:val="auto"/>
              </w:rPr>
              <w:t>Additions</w:t>
            </w:r>
          </w:p>
        </w:tc>
        <w:tc>
          <w:tcPr>
            <w:tcW w:w="840" w:type="dxa"/>
            <w:vAlign w:val="bottom"/>
          </w:tcPr>
          <w:p>
            <w:pPr>
              <w:jc w:val="right"/>
              <w:spacing w:after="0"/>
              <w:rPr>
                <w:sz w:val="20"/>
                <w:szCs w:val="20"/>
                <w:color w:val="auto"/>
              </w:rPr>
            </w:pPr>
            <w:r>
              <w:rPr>
                <w:rFonts w:ascii="Arial" w:cs="Arial" w:eastAsia="Arial" w:hAnsi="Arial"/>
                <w:sz w:val="18"/>
                <w:szCs w:val="18"/>
                <w:color w:val="auto"/>
              </w:rPr>
              <w:t>7,517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70,299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4,217,866</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19,224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4,237,090</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166,655</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Accumulated depreciation</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As of January 1, 2016</w:t>
            </w:r>
          </w:p>
        </w:tc>
        <w:tc>
          <w:tcPr>
            <w:tcW w:w="1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228,531</w:t>
            </w: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2,769</w:t>
            </w: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231,300</w:t>
            </w: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Sale and leaseback (Note 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(6,841)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334,960</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3,343</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338,303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(3,291)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460,815</w:t>
            </w: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3,709</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464,524</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gridSpan w:val="4"/>
          </w:tcPr>
          <w:p>
            <w:pPr>
              <w:spacing w:after="0" w:line="170" w:lineRule="exact"/>
              <w:rPr>
                <w:sz w:val="20"/>
                <w:szCs w:val="20"/>
                <w:color w:val="auto"/>
              </w:rPr>
            </w:pPr>
            <w:r>
              <w:rPr>
                <w:rFonts w:ascii="Arial" w:cs="Arial" w:eastAsia="Arial" w:hAnsi="Arial"/>
                <w:sz w:val="18"/>
                <w:szCs w:val="18"/>
                <w:b w:val="1"/>
                <w:bCs w:val="1"/>
                <w:color w:val="auto"/>
              </w:rPr>
              <w:t>Net book value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3,877,889</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11,158</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3,889,047</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96,356</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3,757,051</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15,515</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3,772,566</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166,655</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214,329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Vessels with an aggregate carrying amount of $3,757,051 as of December 31, 2017 (December 31, 2016: $3,877,889) have been pledged as collateral under the terms of the Group's loan agreements (Note 13).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February 24, 2016,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a subsidiary of Mitsui. Refer to Note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January 2013, GAS-eleven Ltd. and GAS-twelve Ltd. entered into shipbuilding contracts with Samsung Heavy Industries Co., Ltd. ("Samsung") for the construction of two LNG carriers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Vessels Under Construction and Vessel Held Under Finance Lease (Continued)</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(174,000 cbm each). The first vessel,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was delivered on March 29, 2016, while the second vessel, the </w:t>
      </w:r>
      <w:r>
        <w:rPr>
          <w:rFonts w:ascii="Arial" w:cs="Arial" w:eastAsia="Arial" w:hAnsi="Arial"/>
          <w:sz w:val="18"/>
          <w:szCs w:val="18"/>
          <w:i w:val="1"/>
          <w:iCs w:val="1"/>
          <w:color w:val="auto"/>
        </w:rPr>
        <w:t>GasLog Glasgow</w:t>
      </w:r>
      <w:r>
        <w:rPr>
          <w:rFonts w:ascii="Arial" w:cs="Arial" w:eastAsia="Arial" w:hAnsi="Arial"/>
          <w:sz w:val="18"/>
          <w:szCs w:val="18"/>
          <w:color w:val="auto"/>
        </w:rPr>
        <w:t>, was delivered on June 30, 2016.</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In August 2013, GAS-thirteen Ltd. and GAS-fourteen Ltd. entered into shipbuilding contracts with Samsung for the construction of two LNG carriers (174,000 cbm each). The first vessel,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was delivered on September 30, 2016, while the second vessel, the </w:t>
      </w:r>
      <w:r>
        <w:rPr>
          <w:rFonts w:ascii="Arial" w:cs="Arial" w:eastAsia="Arial" w:hAnsi="Arial"/>
          <w:sz w:val="18"/>
          <w:szCs w:val="18"/>
          <w:i w:val="1"/>
          <w:iCs w:val="1"/>
          <w:color w:val="auto"/>
        </w:rPr>
        <w:t>GasLog Gibraltar</w:t>
      </w:r>
      <w:r>
        <w:rPr>
          <w:rFonts w:ascii="Arial" w:cs="Arial" w:eastAsia="Arial" w:hAnsi="Arial"/>
          <w:sz w:val="18"/>
          <w:szCs w:val="18"/>
          <w:color w:val="auto"/>
        </w:rPr>
        <w:t>, was delivered on October 31, 2016.</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May 2014, GAS-twenty two Ltd. and GAS-twenty three Ltd. entered into shipbuilding contracts with Samsung for the construction of two LNG carriers (174,000 cbm each). The vessels are expected to be delivered in the first quarter of 2018 and 2019, respectively.</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In June 2014, GAS-twenty four Ltd. and GAS-twenty five Ltd. entered into shipbuilding contracts with Hyundai Heavy Industries Co., Ltd. ("Hyundai") for the construction of two LNG carriers (174,000 cbm each). The first vessel,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on January 8, 2018, while the second vessel, the </w:t>
      </w:r>
      <w:r>
        <w:rPr>
          <w:rFonts w:ascii="Arial" w:cs="Arial" w:eastAsia="Arial" w:hAnsi="Arial"/>
          <w:sz w:val="18"/>
          <w:szCs w:val="18"/>
          <w:i w:val="1"/>
          <w:iCs w:val="1"/>
          <w:color w:val="auto"/>
        </w:rPr>
        <w:t>GasLog Hong Kong</w:t>
      </w:r>
      <w:r>
        <w:rPr>
          <w:rFonts w:ascii="Arial" w:cs="Arial" w:eastAsia="Arial" w:hAnsi="Arial"/>
          <w:sz w:val="18"/>
          <w:szCs w:val="18"/>
          <w:color w:val="auto"/>
        </w:rPr>
        <w:t>, is expected to be delivered in March 2018.</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September 2016, GAS-twenty nine Ltd. entered into a shipbuilding contract with Samsung for the construction of one LNG carrier (180,000 cbm). The vessel is expected to be delivered in the third quarter of 2019.</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March 21, 2017, GasLog entered into a Heads of Agreement ("HOA") with Samsung for the potential conversion of an existing vessel of the Group. As of December 31, 2017, $3,400 of the cost was paid, in accordance with the payment terms.</w:t>
      </w:r>
    </w:p>
    <w:p>
      <w:pPr>
        <w:spacing w:after="0" w:line="186"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On July 10, 2017, GasLog entered into an agreement with Keppel Shipyard Limited ("Keppel") for the detailed engineering in relation to an FSRU conversion of one vessel. As of December 31, 2017, $4,035 of the cost was paid, in accordance with the payment terms.</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December 31, 2017, the Group has paid to the shipyard $153,116 for the vessels that are under construction and expects to pay the remaining installments as they come due upon each vessel's keel laying, launching and delivery (Note 22(b)).</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vessels under construction costs as of December 31, 2016 and 2017 are comprised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0" w:type="dxa"/>
            <w:vAlign w:val="bottom"/>
            <w:gridSpan w:val="4"/>
          </w:tcPr>
          <w:p>
            <w:pPr>
              <w:jc w:val="center"/>
              <w:ind w:right="25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40" w:type="dxa"/>
            <w:vAlign w:val="bottom"/>
            <w:gridSpan w:val="5"/>
          </w:tcPr>
          <w:p>
            <w:pPr>
              <w:jc w:val="center"/>
              <w:ind w:right="18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Progress shipyard installments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91,375</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153,116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640" w:type="dxa"/>
            <w:vAlign w:val="bottom"/>
          </w:tcPr>
          <w:p>
            <w:pPr>
              <w:jc w:val="right"/>
              <w:spacing w:after="0"/>
              <w:rPr>
                <w:sz w:val="20"/>
                <w:szCs w:val="20"/>
                <w:color w:val="auto"/>
              </w:rPr>
            </w:pPr>
            <w:r>
              <w:rPr>
                <w:rFonts w:ascii="Arial" w:cs="Arial" w:eastAsia="Arial" w:hAnsi="Arial"/>
                <w:sz w:val="18"/>
                <w:szCs w:val="18"/>
                <w:color w:val="auto"/>
              </w:rPr>
              <w:t>4,915</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10,570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96,356</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166,655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60" w:type="dxa"/>
            <w:vAlign w:val="bottom"/>
            <w:vMerge w:val="restart"/>
          </w:tcPr>
          <w:p>
            <w:pPr>
              <w:ind w:left="3820"/>
              <w:spacing w:after="0"/>
              <w:rPr>
                <w:sz w:val="20"/>
                <w:szCs w:val="20"/>
                <w:color w:val="auto"/>
              </w:rPr>
            </w:pPr>
            <w:r>
              <w:rPr>
                <w:rFonts w:ascii="Arial" w:cs="Arial" w:eastAsia="Arial" w:hAnsi="Arial"/>
                <w:sz w:val="18"/>
                <w:szCs w:val="18"/>
                <w:color w:val="auto"/>
              </w:rPr>
              <w:t>F-32</w:t>
            </w: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Sale and Leaseback</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On February 24, 2016, GasLog's subsidiary,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a subsidiary of Mitsui. Mitsui has the right to on-sell and lease back the vessel. The vessel was sold to Mitsui for a cash consideration of $217,000. GasLog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IFRS.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finance lease liabilities are reported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220,401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Addition</w:t>
            </w:r>
          </w:p>
        </w:tc>
        <w:tc>
          <w:tcPr>
            <w:tcW w:w="3340" w:type="dxa"/>
            <w:vAlign w:val="bottom"/>
            <w:gridSpan w:val="4"/>
          </w:tcPr>
          <w:p>
            <w:pPr>
              <w:jc w:val="right"/>
              <w:ind w:right="60"/>
              <w:spacing w:after="0"/>
              <w:rPr>
                <w:sz w:val="20"/>
                <w:szCs w:val="20"/>
                <w:color w:val="auto"/>
              </w:rPr>
            </w:pPr>
            <w:r>
              <w:rPr>
                <w:rFonts w:ascii="Arial" w:cs="Arial" w:eastAsia="Arial" w:hAnsi="Arial"/>
                <w:sz w:val="18"/>
                <w:szCs w:val="18"/>
                <w:color w:val="auto"/>
              </w:rPr>
              <w:t>217,000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charge (Note 18)</w:t>
            </w:r>
          </w:p>
        </w:tc>
        <w:tc>
          <w:tcPr>
            <w:tcW w:w="3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9,367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Payments</w:t>
            </w:r>
          </w:p>
        </w:tc>
        <w:tc>
          <w:tcPr>
            <w:tcW w:w="25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(5,966)</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(17,848)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2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220,401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213,428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1720"/>
              <w:spacing w:after="0"/>
              <w:rPr>
                <w:sz w:val="20"/>
                <w:szCs w:val="20"/>
                <w:color w:val="auto"/>
              </w:rPr>
            </w:pPr>
            <w:r>
              <w:rPr>
                <w:rFonts w:ascii="Arial" w:cs="Arial" w:eastAsia="Arial" w:hAnsi="Arial"/>
                <w:sz w:val="18"/>
                <w:szCs w:val="18"/>
                <w:color w:val="auto"/>
              </w:rPr>
              <w:t>Finance lease liability, current portion</w:t>
            </w: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5,946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6,302</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liability, non-current portion</w:t>
            </w:r>
          </w:p>
        </w:tc>
        <w:tc>
          <w:tcPr>
            <w:tcW w:w="33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214,455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207,126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220,401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213,428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360"/>
              <w:spacing w:after="0"/>
              <w:rPr>
                <w:sz w:val="20"/>
                <w:szCs w:val="20"/>
                <w:color w:val="auto"/>
              </w:rPr>
            </w:pPr>
            <w:r>
              <w:rPr>
                <w:rFonts w:ascii="Arial" w:cs="Arial" w:eastAsia="Arial" w:hAnsi="Arial"/>
                <w:sz w:val="18"/>
                <w:szCs w:val="18"/>
                <w:color w:val="auto"/>
                <w:w w:val="96"/>
              </w:rPr>
              <w:t>Commitments in relation to finance leases are payable as follows:</w:t>
            </w: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400" w:type="dxa"/>
            <w:vAlign w:val="bottom"/>
            <w:gridSpan w:val="2"/>
            <w:vMerge w:val="continue"/>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6"/>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2"/>
              </w:rPr>
              <w:t>Later than one year and not later than three years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35,746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0"/>
              </w:rPr>
              <w:t>Later than three years and not later than five years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35,697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More than five years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235,393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Minimum lease payments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324,685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Future finance charges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(111,257)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213,428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40" w:type="dxa"/>
            <w:vAlign w:val="bottom"/>
            <w:gridSpan w:val="4"/>
          </w:tcPr>
          <w:p>
            <w:pPr>
              <w:jc w:val="right"/>
              <w:ind w:right="2860"/>
              <w:spacing w:after="0"/>
              <w:rPr>
                <w:sz w:val="20"/>
                <w:szCs w:val="20"/>
                <w:color w:val="auto"/>
              </w:rPr>
            </w:pPr>
            <w:r>
              <w:rPr>
                <w:rFonts w:ascii="Arial" w:cs="Arial" w:eastAsia="Arial" w:hAnsi="Arial"/>
                <w:sz w:val="18"/>
                <w:szCs w:val="18"/>
                <w:color w:val="auto"/>
              </w:rPr>
              <w:t>F-33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Sale and Leaseback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present value of finance lease liabilities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More than five years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173,855</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213,428</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Cash and Cash Equivalents</w:t>
            </w: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 consist of the following:</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167,932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191,773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Time deposits (with original maturities of three months or less)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58,251</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189,925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client accounts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841</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227,024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and Other Receivables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trade and other receivables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0" w:type="dxa"/>
            <w:vAlign w:val="bottom"/>
            <w:gridSpan w:val="3"/>
          </w:tcPr>
          <w:p>
            <w:pPr>
              <w:ind w:left="500"/>
              <w:spacing w:after="0"/>
              <w:rPr>
                <w:sz w:val="20"/>
                <w:szCs w:val="20"/>
                <w:color w:val="auto"/>
              </w:rPr>
            </w:pPr>
            <w:r>
              <w:rPr>
                <w:rFonts w:ascii="Arial" w:cs="Arial" w:eastAsia="Arial" w:hAnsi="Arial"/>
                <w:sz w:val="14"/>
                <w:szCs w:val="14"/>
                <w:b w:val="1"/>
                <w:bCs w:val="1"/>
                <w:color w:val="auto"/>
                <w:w w:val="79"/>
              </w:rPr>
              <w:t>As of</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520" w:type="dxa"/>
            <w:vAlign w:val="bottom"/>
          </w:tcPr>
          <w:p>
            <w:pPr>
              <w:spacing w:after="0"/>
              <w:rPr>
                <w:sz w:val="14"/>
                <w:szCs w:val="14"/>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VAT receivable</w:t>
            </w:r>
          </w:p>
        </w:tc>
        <w:tc>
          <w:tcPr>
            <w:tcW w:w="520" w:type="dxa"/>
            <w:vAlign w:val="bottom"/>
          </w:tcPr>
          <w:p>
            <w:pPr>
              <w:jc w:val="right"/>
              <w:spacing w:after="0"/>
              <w:rPr>
                <w:sz w:val="20"/>
                <w:szCs w:val="20"/>
                <w:color w:val="auto"/>
              </w:rPr>
            </w:pPr>
            <w:r>
              <w:rPr>
                <w:rFonts w:ascii="Arial" w:cs="Arial" w:eastAsia="Arial" w:hAnsi="Arial"/>
                <w:sz w:val="18"/>
                <w:szCs w:val="18"/>
                <w:color w:val="auto"/>
              </w:rPr>
              <w:t>1,305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Insurance claims</w:t>
            </w:r>
          </w:p>
        </w:tc>
        <w:tc>
          <w:tcPr>
            <w:tcW w:w="52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3,258</w:t>
            </w: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10,706</w:t>
            </w:r>
          </w:p>
        </w:tc>
        <w:tc>
          <w:tcPr>
            <w:tcW w:w="1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and 2017, no material receivable balances were past due or impaired, and therefore no allowance was necessary.</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Non-Current Assets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non-current assets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740" w:type="dxa"/>
            <w:vAlign w:val="bottom"/>
            <w:gridSpan w:val="4"/>
          </w:tcPr>
          <w:p>
            <w:pPr>
              <w:ind w:left="420"/>
              <w:spacing w:after="0"/>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700" w:type="dxa"/>
            <w:vAlign w:val="bottom"/>
          </w:tcPr>
          <w:p>
            <w:pPr>
              <w:spacing w:after="0"/>
              <w:rPr>
                <w:sz w:val="14"/>
                <w:szCs w:val="1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revenue from straight-line revenue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Various guarantees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1,824</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authorized share capital consists of 500,000,000 shares with a par value $0.01 per share.</w:t>
      </w:r>
    </w:p>
    <w:p>
      <w:pPr>
        <w:spacing w:after="0" w:line="225" w:lineRule="exact"/>
        <w:rPr>
          <w:sz w:val="20"/>
          <w:szCs w:val="20"/>
          <w:color w:val="auto"/>
        </w:rPr>
      </w:pPr>
    </w:p>
    <w:p>
      <w:pPr>
        <w:ind w:right="160" w:firstLine="341"/>
        <w:spacing w:after="0" w:line="323" w:lineRule="auto"/>
        <w:rPr>
          <w:sz w:val="20"/>
          <w:szCs w:val="20"/>
          <w:color w:val="auto"/>
        </w:rPr>
      </w:pPr>
      <w:r>
        <w:rPr>
          <w:rFonts w:ascii="Arial" w:cs="Arial" w:eastAsia="Arial" w:hAnsi="Arial"/>
          <w:sz w:val="15"/>
          <w:szCs w:val="15"/>
          <w:color w:val="auto"/>
        </w:rPr>
        <w:t>As of December 31, 2017, the share capital consisted of 80,717,885 issued and outstanding common shares, par value $0.01 per share, 275,241 treasury shares issued and held by GasLog and 4,600,000 Preference Shares issued and outstanding (December 31, 2016: 80,561,353 issued and outstanding common shares, par value $0.01 per share, 431,773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Number of Shares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Amounts</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treasury</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Preference</w:t>
            </w:r>
          </w:p>
        </w:tc>
        <w:tc>
          <w:tcPr>
            <w:tcW w:w="160" w:type="dxa"/>
            <w:vAlign w:val="bottom"/>
          </w:tcPr>
          <w:p>
            <w:pPr>
              <w:spacing w:after="0"/>
              <w:rPr>
                <w:sz w:val="12"/>
                <w:szCs w:val="12"/>
                <w:color w:val="auto"/>
              </w:rPr>
            </w:pPr>
          </w:p>
        </w:tc>
        <w:tc>
          <w:tcPr>
            <w:tcW w:w="5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Contributed</w:t>
            </w:r>
          </w:p>
        </w:tc>
        <w:tc>
          <w:tcPr>
            <w:tcW w:w="1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Treasury</w:t>
            </w: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Outstanding as of January 1, 2015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80,493,126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923,470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(12,576)</w:t>
            </w: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Issuance of Preference Shares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(Note 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4,600,000</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110,607</w:t>
            </w:r>
          </w:p>
        </w:tc>
        <w:tc>
          <w:tcPr>
            <w:tcW w:w="160" w:type="dxa"/>
            <w:vAlign w:val="bottom"/>
          </w:tcPr>
          <w:p>
            <w:pPr>
              <w:spacing w:after="0"/>
              <w:rPr>
                <w:sz w:val="19"/>
                <w:szCs w:val="19"/>
                <w:color w:val="auto"/>
              </w:rPr>
            </w:pPr>
          </w:p>
        </w:tc>
        <w:tc>
          <w:tcPr>
            <w:tcW w:w="184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deducted from</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Contributed surplus due to</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(13,785)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2"/>
              </w:rPr>
              <w:t>Treasury shares distributed for awards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vested or exercised in the year</w:t>
            </w: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(3,373)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Outstanding as of December 31,</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80,496,499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496,627</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4,600,000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1,020,292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(12,491)</w:t>
            </w:r>
          </w:p>
        </w:tc>
        <w:tc>
          <w:tcPr>
            <w:tcW w:w="1020" w:type="dxa"/>
            <w:vAlign w:val="bottom"/>
          </w:tcPr>
          <w:p>
            <w:pPr>
              <w:spacing w:after="0"/>
              <w:rPr>
                <w:sz w:val="20"/>
                <w:szCs w:val="20"/>
                <w:color w:val="auto"/>
              </w:rPr>
            </w:pPr>
          </w:p>
        </w:tc>
      </w:tr>
      <w:tr>
        <w:trPr>
          <w:trHeight w:val="201"/>
        </w:trPr>
        <w:tc>
          <w:tcPr>
            <w:tcW w:w="402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Dividends declared deducted from</w:t>
            </w: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Contributed surplus due to</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(53,318)</w:t>
            </w:r>
          </w:p>
        </w:tc>
        <w:tc>
          <w:tcPr>
            <w:tcW w:w="184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2"/>
              </w:rPr>
              <w:t>Treasury shares distributed for awards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 or exercised in the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64,854</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(64,854)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195"/>
        </w:trPr>
        <w:tc>
          <w:tcPr>
            <w:tcW w:w="116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b w:val="1"/>
                <w:bCs w:val="1"/>
                <w:color w:val="auto"/>
              </w:rPr>
              <w:t>Outstanding as of December 31,</w:t>
            </w: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4020" w:type="dxa"/>
            <w:vAlign w:val="bottom"/>
            <w:gridSpan w:val="2"/>
          </w:tcPr>
          <w:p>
            <w:pPr>
              <w:ind w:left="1320"/>
              <w:spacing w:after="0"/>
              <w:rPr>
                <w:sz w:val="20"/>
                <w:szCs w:val="20"/>
                <w:color w:val="auto"/>
              </w:rPr>
            </w:pPr>
            <w:r>
              <w:rPr>
                <w:rFonts w:ascii="Arial" w:cs="Arial" w:eastAsia="Arial" w:hAnsi="Arial"/>
                <w:sz w:val="18"/>
                <w:szCs w:val="18"/>
                <w:b w:val="1"/>
                <w:bCs w:val="1"/>
                <w:color w:val="auto"/>
              </w:rPr>
              <w:t>2016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80,561,353</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431,773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2"/>
              </w:rPr>
              <w:t>4,600,000</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966,974</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(10,861)</w:t>
            </w:r>
          </w:p>
        </w:tc>
        <w:tc>
          <w:tcPr>
            <w:tcW w:w="1020" w:type="dxa"/>
            <w:vAlign w:val="bottom"/>
          </w:tcPr>
          <w:p>
            <w:pPr>
              <w:spacing w:after="0"/>
              <w:rPr>
                <w:sz w:val="19"/>
                <w:szCs w:val="19"/>
                <w:color w:val="auto"/>
              </w:rPr>
            </w:pPr>
          </w:p>
        </w:tc>
      </w:tr>
      <w:tr>
        <w:trPr>
          <w:trHeight w:val="202"/>
        </w:trPr>
        <w:tc>
          <w:tcPr>
            <w:tcW w:w="116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deducted from</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Contributed surplus due to</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2"/>
              </w:rPr>
              <w:t>Treasury shares distributed for awards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vested or exercised in the year</w:t>
            </w:r>
          </w:p>
        </w:tc>
        <w:tc>
          <w:tcPr>
            <w:tcW w:w="880" w:type="dxa"/>
            <w:vAlign w:val="bottom"/>
          </w:tcPr>
          <w:p>
            <w:pPr>
              <w:jc w:val="right"/>
              <w:spacing w:after="0"/>
              <w:rPr>
                <w:sz w:val="20"/>
                <w:szCs w:val="20"/>
                <w:color w:val="auto"/>
              </w:rPr>
            </w:pPr>
            <w:r>
              <w:rPr>
                <w:rFonts w:ascii="Arial" w:cs="Arial" w:eastAsia="Arial" w:hAnsi="Arial"/>
                <w:sz w:val="18"/>
                <w:szCs w:val="18"/>
                <w:color w:val="auto"/>
              </w:rPr>
              <w:t>156,532</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(156,532)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3,901</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Outstanding as of December 31,</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80,717,885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275,241</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4,600,000</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911,766</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(6,960)</w:t>
            </w:r>
          </w:p>
        </w:tc>
        <w:tc>
          <w:tcPr>
            <w:tcW w:w="102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F-35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reserves are reported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Share-based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Employee</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9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9"/>
              </w:rPr>
              <w:t>Hedging</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reserve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reserves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(24,610)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0"/>
              </w:rPr>
              <w:t>Effective portion of changes in fair value of cash flow hedges</w:t>
            </w:r>
          </w:p>
        </w:tc>
        <w:tc>
          <w:tcPr>
            <w:tcW w:w="1900" w:type="dxa"/>
            <w:vAlign w:val="bottom"/>
            <w:gridSpan w:val="3"/>
          </w:tcPr>
          <w:p>
            <w:pPr>
              <w:jc w:val="right"/>
              <w:ind w:right="120"/>
              <w:spacing w:after="0"/>
              <w:rPr>
                <w:sz w:val="20"/>
                <w:szCs w:val="20"/>
                <w:color w:val="auto"/>
              </w:rPr>
            </w:pPr>
            <w:r>
              <w:rPr>
                <w:rFonts w:ascii="Arial" w:cs="Arial" w:eastAsia="Arial" w:hAnsi="Arial"/>
                <w:sz w:val="18"/>
                <w:szCs w:val="18"/>
                <w:color w:val="auto"/>
              </w:rPr>
              <w:t>(849)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88"/>
              </w:rPr>
              <w:t>Recycled loss of cash flow hedges reclassified to profit or loss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Share-based compensation, net of accrued dividend</w:t>
            </w:r>
          </w:p>
        </w:tc>
        <w:tc>
          <w:tcPr>
            <w:tcW w:w="10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Actuarial gain</w:t>
            </w:r>
          </w:p>
        </w:tc>
        <w:tc>
          <w:tcPr>
            <w:tcW w:w="10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(24,169)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ind w:left="1140"/>
              <w:spacing w:after="0"/>
              <w:rPr>
                <w:sz w:val="20"/>
                <w:szCs w:val="20"/>
                <w:color w:val="auto"/>
              </w:rPr>
            </w:pPr>
            <w:r>
              <w:rPr>
                <w:rFonts w:ascii="Arial" w:cs="Arial" w:eastAsia="Arial" w:hAnsi="Arial"/>
                <w:sz w:val="18"/>
                <w:szCs w:val="18"/>
                <w:color w:val="auto"/>
                <w:w w:val="90"/>
              </w:rPr>
              <w:t>Effective portion of changes in fair value of cash flow hedges</w:t>
            </w:r>
          </w:p>
        </w:tc>
        <w:tc>
          <w:tcPr>
            <w:tcW w:w="10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88"/>
              </w:rPr>
              <w:t>Recycled loss of cash flow hedges reclassified to profit or loss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Share-based compensation, net of accrued dividend</w:t>
            </w:r>
          </w:p>
        </w:tc>
        <w:tc>
          <w:tcPr>
            <w:tcW w:w="10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Actuarial loss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(7,177)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ind w:left="1140"/>
              <w:spacing w:after="0"/>
              <w:rPr>
                <w:sz w:val="20"/>
                <w:szCs w:val="20"/>
                <w:color w:val="auto"/>
              </w:rPr>
            </w:pPr>
            <w:r>
              <w:rPr>
                <w:rFonts w:ascii="Arial" w:cs="Arial" w:eastAsia="Arial" w:hAnsi="Arial"/>
                <w:sz w:val="18"/>
                <w:szCs w:val="18"/>
                <w:color w:val="auto"/>
                <w:w w:val="90"/>
              </w:rPr>
              <w:t>Effective portion of changes in fair value of cash flow hedges</w:t>
            </w:r>
          </w:p>
        </w:tc>
        <w:tc>
          <w:tcPr>
            <w:tcW w:w="10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88"/>
              </w:rPr>
              <w:t>Recycled loss of cash flow hedges reclassified to profit or loss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Share-based compensation, net of accrued dividend</w:t>
            </w:r>
          </w:p>
        </w:tc>
        <w:tc>
          <w:tcPr>
            <w:tcW w:w="10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share-based compensation</w:t>
            </w: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18,594</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900" w:type="dxa"/>
            <w:vAlign w:val="bottom"/>
            <w:gridSpan w:val="3"/>
          </w:tcPr>
          <w:p>
            <w:pPr>
              <w:jc w:val="right"/>
              <w:ind w:right="1560"/>
              <w:spacing w:after="0"/>
              <w:rPr>
                <w:sz w:val="20"/>
                <w:szCs w:val="20"/>
                <w:color w:val="auto"/>
              </w:rPr>
            </w:pPr>
            <w:r>
              <w:rPr>
                <w:rFonts w:ascii="Arial" w:cs="Arial" w:eastAsia="Arial" w:hAnsi="Arial"/>
                <w:sz w:val="18"/>
                <w:szCs w:val="18"/>
                <w:color w:val="auto"/>
                <w:w w:val="86"/>
              </w:rPr>
              <w:t>F-36</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dividend distributions for the years ended December 31, 2015, 2016 and 2017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Dividend</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Declaration date</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Type of 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8"/>
              </w:rPr>
              <w:t>per share</w:t>
            </w:r>
          </w:p>
        </w:tc>
        <w:tc>
          <w:tcPr>
            <w:tcW w:w="1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Payment date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Amount paid</w:t>
            </w:r>
          </w:p>
        </w:tc>
        <w:tc>
          <w:tcPr>
            <w:tcW w:w="118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26, 2015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13, 2015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May 5, 2015</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21, 2015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11,270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19, 2015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0.510417</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1, 2015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August 5, 2015</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August 20, 2015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11,270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18, 2015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November 4, 2015</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19, 2015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11,270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17, 2015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4,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52,457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24, 2016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17,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March 11,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April 1, 2016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5, 2016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26,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May 5,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July 1, 2016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3, 2016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25,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September 14,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October 3, 2016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November 2, 2016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24, 2016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17, 2016</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January 3, 2017</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55,164</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February 16, 2017</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16, 2017</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9, 2017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3, 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May 4, 2017</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25, 2017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11,287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4, 2017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3, 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August 2, 2017</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August 24, 2017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11,288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14, 2017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2, 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November 1, 2017</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22, 2017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11,291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16, 2017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0.546875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 2018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55,208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F-37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borrowings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156,645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188,167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(9,197)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(8,800)</w:t>
            </w:r>
          </w:p>
        </w:tc>
      </w:tr>
      <w:tr>
        <w:trPr>
          <w:trHeight w:val="20"/>
        </w:trPr>
        <w:tc>
          <w:tcPr>
            <w:tcW w:w="2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Borrowings,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147,448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179,367</w:t>
            </w: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Amounts due after one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2,543,357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2,399,849</w:t>
            </w:r>
          </w:p>
        </w:tc>
        <w:tc>
          <w:tcPr>
            <w:tcW w:w="160" w:type="dxa"/>
            <w:vAlign w:val="bottom"/>
          </w:tcPr>
          <w:p>
            <w:pPr>
              <w:spacing w:after="0"/>
              <w:rPr>
                <w:sz w:val="18"/>
                <w:szCs w:val="18"/>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Plus: unamortized premium</w:t>
            </w:r>
            <w:r>
              <w:rPr>
                <w:rFonts w:ascii="Arial" w:cs="Arial" w:eastAsia="Arial" w:hAnsi="Arial"/>
                <w:sz w:val="29"/>
                <w:szCs w:val="29"/>
                <w:color w:val="auto"/>
                <w:vertAlign w:val="superscript"/>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(40,083)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(31,660)</w:t>
            </w:r>
          </w:p>
        </w:tc>
      </w:tr>
      <w:tr>
        <w:trPr>
          <w:trHeight w:val="20"/>
        </w:trPr>
        <w:tc>
          <w:tcPr>
            <w:tcW w:w="2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Borrowings, non-current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2,504,578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2,368,189</w:t>
            </w: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2,652,026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2,547,556</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tabs>
          <w:tab w:leader="none" w:pos="2260" w:val="left"/>
        </w:tabs>
        <w:numPr>
          <w:ilvl w:val="0"/>
          <w:numId w:val="114"/>
        </w:numPr>
        <w:rPr>
          <w:rFonts w:ascii="Arial" w:cs="Arial" w:eastAsia="Arial" w:hAnsi="Arial"/>
          <w:sz w:val="11"/>
          <w:szCs w:val="11"/>
          <w:color w:val="auto"/>
        </w:rPr>
      </w:pPr>
      <w:r>
        <w:rPr>
          <w:rFonts w:ascii="Arial" w:cs="Arial" w:eastAsia="Arial" w:hAnsi="Arial"/>
          <w:sz w:val="14"/>
          <w:szCs w:val="14"/>
          <w:color w:val="auto"/>
        </w:rPr>
        <w:t>Refer to "Bonds" disclosed below for details on the premium.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Loans-secured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Facilities:</w:t>
      </w:r>
    </w:p>
    <w:p>
      <w:pPr>
        <w:spacing w:after="0" w:line="239" w:lineRule="exact"/>
        <w:rPr>
          <w:sz w:val="20"/>
          <w:szCs w:val="20"/>
          <w:color w:val="auto"/>
        </w:rPr>
      </w:pPr>
    </w:p>
    <w:p>
      <w:pPr>
        <w:ind w:left="540" w:hanging="532"/>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Danish Ship Finance A/S loan</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March 2008, GAS-one Ltd. entered into a bank loan facility of up to $174,033 with Danish Ship Finance A/S in order to partially finance the construction of an LNG vessel. On March 9, 2012, GAS-one Ltd. entered into an amending and restating agreement with Danish Ship Finance A/S. The amendment defined that the guarantors were GasLog and GasLog Carriers Ltd.</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On July 25, 2016, pursuant to the credit agreement entered into by GasLog with a number of international banks to refinance the existing indebtedness on eight of its on-the-water vessels of up to $1,050,000 (the "Legacy Facility Refinancing", please refer to (l) below), the outstanding balance under the GAS-one Ltd. credit facility of $115,523 was fully repaid.</w:t>
      </w:r>
    </w:p>
    <w:p>
      <w:pPr>
        <w:spacing w:after="0" w:line="215" w:lineRule="exact"/>
        <w:rPr>
          <w:sz w:val="20"/>
          <w:szCs w:val="20"/>
          <w:color w:val="auto"/>
        </w:rPr>
      </w:pPr>
    </w:p>
    <w:p>
      <w:pPr>
        <w:ind w:left="540" w:hanging="532"/>
        <w:spacing w:after="0"/>
        <w:tabs>
          <w:tab w:leader="none" w:pos="54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DNB Bank ASA, UBS AG, National Bank of Greece S.A., Commonwealth Bank of Australia and Skandinaviska Enskilda Banken AB (publ) loan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17, 2013, GAS-two Ltd. signed a loan agreement with DNB Bank ASA, acting through its London Branch, UBS AG, National Bank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Greece S.A., Commonwealth Bank of Australia and Skandinaviska Enskilda Banken AB (publ) for a term loan facility of up to $110,000 and a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of up to $50,000 for the purpose of refinancing the facility of GAS-two Ltd. with DnB Nor Bank ASA, National Bank of Greece and UBS AG which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mature in March 2014 and for general corporate purposes.</w:t>
      </w:r>
    </w:p>
    <w:p>
      <w:pPr>
        <w:spacing w:after="0" w:line="21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GAS-two Ltd. credit facility of $122,175 was fully repaid.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9" w:lineRule="exact"/>
        <w:rPr>
          <w:sz w:val="20"/>
          <w:szCs w:val="20"/>
          <w:color w:val="auto"/>
        </w:rPr>
      </w:pPr>
    </w:p>
    <w:p>
      <w:pPr>
        <w:ind w:left="540" w:hanging="532"/>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Nordea Bank Finland PLC, ABN Amro Bank N.V. and Citibank International PLC syndicated loan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3, 2011, GAS-five Ltd. and GAS-six Ltd. entered into a loan agreement of up to $277,000 with Nordea Bank Finland PLC, ABN Amro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Bank N.V. and Citibank International PLC in order to partially finance the acquisition of two LNG vessels. The loan agreement provided for two equal tranches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that were drawn on May 24, 2013 and July 19, 2013 for the financing of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Skagen</w:t>
      </w:r>
      <w:r>
        <w:rPr>
          <w:rFonts w:ascii="Arial" w:cs="Arial" w:eastAsia="Arial" w:hAnsi="Arial"/>
          <w:sz w:val="15"/>
          <w:szCs w:val="15"/>
          <w:color w:val="auto"/>
        </w:rPr>
        <w:t>, respectively. In connection with the GasLog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Partners' IPO on May 12, 2014, the credit facility entered was amended to, among other things, (1) divide the facility into two separate facilities on substantially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same terms as the initial facility, with one of the facilities executed by GAS-five Ltd. for the portion allocated to the </w:t>
      </w:r>
      <w:r>
        <w:rPr>
          <w:rFonts w:ascii="Arial" w:cs="Arial" w:eastAsia="Arial" w:hAnsi="Arial"/>
          <w:sz w:val="16"/>
          <w:szCs w:val="16"/>
          <w:i w:val="1"/>
          <w:iCs w:val="1"/>
          <w:color w:val="auto"/>
        </w:rPr>
        <w:t>GasLog Sydney</w:t>
      </w:r>
      <w:r>
        <w:rPr>
          <w:rFonts w:ascii="Arial" w:cs="Arial" w:eastAsia="Arial" w:hAnsi="Arial"/>
          <w:sz w:val="16"/>
          <w:szCs w:val="16"/>
          <w:color w:val="auto"/>
        </w:rPr>
        <w:t>, (2) permit GasLog's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 of GAS-five Ltd. to the Partnership and (3) add GasLog Partners Holdings LLC as a guarantor and remove GasLog Carriers Ltd., a wholly 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of GasLog, as guarantor in connection with the GAS-five Ltd. facility. In connection with these amendments, the Partnership prepaid $82,634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GAS-five Ltd. facility with proceeds of the initial public offering. On November 19, 2014, the outstanding amount of $48,225 under the GAS-five Ltd.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was fully repaid.</w:t>
      </w:r>
    </w:p>
    <w:p>
      <w:pPr>
        <w:spacing w:after="0" w:line="21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GAS-six Ltd. credit facility of $116,096 was fully repaid.</w:t>
      </w:r>
    </w:p>
    <w:p>
      <w:pPr>
        <w:spacing w:after="0" w:line="207"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Credit Suisse AG</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 xml:space="preserve">On January 18, 2012, GAS-seven Ltd. entered into a loan agreement of up to $144,000 with Credit Suisse AG, for the purpose of financing one of the newbuilding vessels. The agreement provided for a single tranche that was drawn on December 4, 2013 for the financing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loan bore interest at LIBOR plus a margin.</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GAS-seven Ltd. credit facility of $124,000 was fully repaid.</w:t>
      </w:r>
    </w:p>
    <w:p>
      <w:pPr>
        <w:spacing w:after="0" w:line="193"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DnB Bank ASA, Commonwealth Bank of Australia, Danish Ship Finance A/S, ING Bank N.V. and Skandinaviska Enskilda Banken AB (publ)</w:t>
      </w:r>
    </w:p>
    <w:p>
      <w:pPr>
        <w:spacing w:after="0" w:line="25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On December 23, 2011, GAS-eight Ltd., GAS-nine Ltd. and GAS-ten Ltd. entered into a loan agreement (the "Principal Agreement") for a senior secured credit facility of up to $435,000 with DnB Bank ASA, Commonwealth Bank of Australia, Danish Ship Finance A/S, ING Bank N.V. and Skandinaviska Enskilda Banken AB (publ) for the purpose of financing three of the newbuilding vessels. The loan agreement provided for three tranches, to be drawn upon delivery of each newbuilding vessel. On June 24, 2014, GAS-eight Ltd. drew down $143,000 from the loan facility, to partially finance the delivery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December 10, 2014, GAS-nine Ltd. drew down $146,000 from the loan facility to partially finance the delivery of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and on April 24, 2015, GAS-ten Ltd. drew down $146,000 from the loan facility to partially finance the delivery of the </w:t>
      </w:r>
      <w:r>
        <w:rPr>
          <w:rFonts w:ascii="Arial" w:cs="Arial" w:eastAsia="Arial" w:hAnsi="Arial"/>
          <w:sz w:val="16"/>
          <w:szCs w:val="16"/>
          <w:i w:val="1"/>
          <w:iCs w:val="1"/>
          <w:color w:val="auto"/>
        </w:rPr>
        <w:t>GasLog Salem.</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July 25, 2016, pursuant to the Legacy Facility Refinancing (please refer to (l) below), the aggregate outstanding balance under the credit facility of GAS-eight Ltd., GAS-nine Ltd. and GAS-ten Ltd. of $398,780 was fully repaid. Also, on July 26, 2016, the bank guarantees issued by BNP Paribas S.A. were terminated.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9"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Citibank International Plc. and DVB America N.V.</w:t>
      </w:r>
    </w:p>
    <w:p>
      <w:pPr>
        <w:spacing w:after="0" w:line="23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 xml:space="preserve">On September 25, 2013, GAS-fifteen Ltd. signed a loan agreement with Citibank N.A., London Branch and Citibank International Plc., for a term loan facility of $100,000 to partially finance the acquisition of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drawn on September 26, 2013. In October 2013, Citibank International Plc., the existing lender of the GAS-fifteen Ltd. facility, transferred $50,000 of the outstanding facility to DVB Bank America N.V.</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July 25, 2016, pursuant to the Legacy Facility Refinancing (please refer to (l) below), the outstanding balance under the GAS-fifteen Ltd. credit facility of $83,325 was fully repaid.</w:t>
      </w:r>
    </w:p>
    <w:p>
      <w:pPr>
        <w:spacing w:after="0" w:line="207"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 A. London Branch</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On April 1, 2014, in connection with the acquisition of the three LNG carriers from BG Group plc ("BG Group"), GAS-sixteen Ltd., GAS-seventeen Ltd. and GAS-eighteen Ltd. signed a loan agreement of $325,500 with Citibank, N.A. London Branch acting as security agent and trustee for and on behalf of the other finance parties. The loan had a two year maturity without intermediate payments bearing interest at LIBOR plus a margin and was drawn on April 9, 2014, to partially finance the deliveries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In connection with the closing of the Partnership's acquisition of the two entities that own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on September 29, 2014, GasLog entered into a supplemental deed to the facility agreement dated April 1, 2014 that, among other things, permitted the Partnership (or its subsidiary) to acquire GAS-sixteen Ltd. and GAS-seventeen Ltd. from GasLog and required, as a condition precedent to such acquisition, the Partnership and GasLog Partners Holdings LLC to guarantee the obligors obligations under the facility. The debt of $217,000 was assumed by the Partnership for the acquisition of GAS-sixteen Ltd. and GAS-seventeen Ltd. On October 9, 2014, the Partnership prepaid $25,000 from the proceeds of the follow-on equity offering. The assumed balance of $192,000 was fully repaid on November 19, 2014.</w:t>
      </w:r>
    </w:p>
    <w:p>
      <w:pPr>
        <w:spacing w:after="0" w:line="177"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 xml:space="preserve">On May 14, 2014, in connection with the acquisition of the three additional LNG carriers from BG Group, GAS-nineteen Ltd., GAS-twenty Ltd. and GAS-twenty one Ltd. signed a loan agreement of $325,500 with Citibank N.A. London Branch, acting as security agent and trustee for and on behalf of the other finance parties. The loan had a two-year maturity without intermediate payments bearing interest at LIBOR plus a margin and $108,500 was drawn on June 3, 2014, on June 10, 2014 and on June 24, 2014 to partially finance the deliveries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Alison Victoria </w:t>
      </w:r>
      <w:r>
        <w:rPr>
          <w:rFonts w:ascii="Arial" w:cs="Arial" w:eastAsia="Arial" w:hAnsi="Arial"/>
          <w:sz w:val="16"/>
          <w:szCs w:val="16"/>
          <w:color w:val="auto"/>
        </w:rPr>
        <w:t>respectively. In connection with the closing of the Partnership's acquisition of the three entities that own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on July 1, 2015, GasLog Partners and GasLog Partners Holdings LLC were added as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guarantors in addition to GasLog, for the respective loan facility, replacing a previous guarantor, GasLog Carriers Ltd. The debt of $325,500 was assumed by the Partnership for the acquisition of GAS-nineteen Ltd., GAS-twenty Ltd. and GAS-twenty one Ltd. Using the proceeds of the equity offering completed in June 2015, GasLog Partners prepaid $10,000 of the GAS-nineteen Ltd. tranche on September 4, 2015, $5,000 of the GAS-twenty Ltd. tranche on December 10, 2015 and $5,000 of the GAS-twenty one Ltd. tranche on December 29, 2015.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On April 5, 2016, pursuant to the credit agreements entered into by GasLog to refinance the debt maturities that were scheduled to become due in 2016 and 2017 (the "Five Vessel Refinancing", please refer to (k) below), the outstanding balances under the GAS-eighteen Ltd. credit facility and the GAS-nineteen Ltd., GAS-twenty Ltd. and GAS-twenty one Ltd. credit facility of $108,500 and $305,500, respectively, were fully repaid.</w:t>
      </w:r>
    </w:p>
    <w:p>
      <w:pPr>
        <w:spacing w:after="0" w:line="168" w:lineRule="exact"/>
        <w:rPr>
          <w:sz w:val="20"/>
          <w:szCs w:val="20"/>
          <w:color w:val="auto"/>
        </w:rPr>
      </w:pPr>
    </w:p>
    <w:p>
      <w:pPr>
        <w:ind w:left="540" w:right="800" w:hanging="532"/>
        <w:spacing w:after="0" w:line="275" w:lineRule="auto"/>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Commonwealth Bank of Australia, Credit Agricole Corporate and Investment Bank, Deutsche Bank AG Filiale Deutschlandgeschäft and DNB Bank ASA, London Branch and ING Bank N.V., London Branch</w:t>
      </w:r>
    </w:p>
    <w:p>
      <w:pPr>
        <w:spacing w:after="0" w:line="18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 xml:space="preserve">On March 25, 2015, GAS-twenty six Ltd. and GAS-twenty seven Ltd. entered into a senior secured term loan facility of up to $325,000 with ABN Amro Bank N.V., Commonwealth Bank of Australia, Credit Agricole Corporate and Investment Bank, Deutsche Bank AG Filiale Deutschlandgeschäft, DNB Bank ASA, London Branch and ING Bank N.V., London Branch, and a subordinated term loan facility of up to $135,000 with ABN Amro Bank N.V., Credit Agricole Corporate and Investment Bank, Deutsche Bank AG Filiale Deutschlandgeschäft and DNB Bank ASA, London Branch for the purpose of financing the acquisition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(Note 6). The available amounts were fully drawn on March 31, 2015. Both facilities bore interest at LIBOR plus a margin.</w:t>
      </w:r>
    </w:p>
    <w:p>
      <w:pPr>
        <w:spacing w:after="0" w:line="19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On February 24, 2016, following the completion of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(Note 7), $162,500 was prepaid into the senior secured term loan facility and $67,500 was prepaid into the subordinated term loan facility. Finally, on April 5, 2016, pursuant to the Five Vessel Refinancing (please refer to (k) below), the outstanding balances of $162,500 under the senior secured term loan facility and $67,500 under the subordinated term loan facility were fully repaid.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52" w:lineRule="exact"/>
        <w:rPr>
          <w:sz w:val="20"/>
          <w:szCs w:val="20"/>
          <w:color w:val="auto"/>
        </w:rPr>
      </w:pPr>
    </w:p>
    <w:p>
      <w:pPr>
        <w:ind w:left="540" w:right="120" w:hanging="532"/>
        <w:spacing w:after="0" w:line="275" w:lineRule="auto"/>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Nordea Bank Finland plc, London Branch, DVB Bank America N.V., ABN Amro Bank N.V., Skandinaviska Enskilda Banken AB and BNP Paribas</w:t>
      </w:r>
    </w:p>
    <w:p>
      <w:pPr>
        <w:spacing w:after="0" w:line="18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November 12, 2014, GAS-three Ltd., GAS-four Ltd., GAS-five Ltd., GAS-sixteen Ltd., GAS-seventeen Ltd., GasLog Partners and GasLog Partners Holdings LLC entered in a loan agreement with Citibank acting as security agent and trustee for and on behalf of the other finance parties mentioned above, for a credit facility for up to $450,000 (the "GasLog Partners' Credit Facility") for the purpose of refinancing in full the existing debt facilities. The agreement provides for a single tranche that was drawn on November 18, 2014. The credit facility bears interest at LIBOR plus a margin.</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May 8, 2015, the Partnership entered into a supplemental deed relating to its Citibank N.A. loan facility, in which the lenders unanimously approved such changes to the facility agreement as were required to reflect the changes to the charters of three vessels agreed with BG Group on April 21, 2015. The balance outstanding as of December 31, 2017 is $382,500 (December 31, 2016: $405,000) and is repayable in 8 equal quarterly installments of $5,625 each and a final balloon payment of $337,500 payable concurrently with the last quarterly installment in November 2019.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9" w:lineRule="exact"/>
        <w:rPr>
          <w:sz w:val="20"/>
          <w:szCs w:val="20"/>
          <w:color w:val="auto"/>
        </w:rPr>
      </w:pPr>
    </w:p>
    <w:p>
      <w:pPr>
        <w:ind w:left="540" w:right="100" w:hanging="532"/>
        <w:spacing w:after="0" w:line="258" w:lineRule="auto"/>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AB, London Branch, The Export-Import Bank of Korea, 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w:t>
      </w:r>
    </w:p>
    <w:p>
      <w:pPr>
        <w:spacing w:after="0" w:line="19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October 16, 2015, GAS-eleven Ltd., GAS-twelve Ltd., GAS-thirteen Ltd., GAS-fourteen Ltd., GAS-twenty two Ltd., GAS-twenty three Ltd., GAS-twenty four Ltd. and GAS-twenty five Ltd. entered into a debt financing agreement with 14 international banks for $1,311,356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67" w:lineRule="exact"/>
        <w:rPr>
          <w:sz w:val="20"/>
          <w:szCs w:val="20"/>
          <w:color w:val="auto"/>
        </w:rPr>
      </w:pPr>
    </w:p>
    <w:p>
      <w:pPr>
        <w:jc w:val="both"/>
        <w:ind w:right="60" w:firstLine="348"/>
        <w:spacing w:after="0" w:line="303" w:lineRule="auto"/>
        <w:rPr>
          <w:sz w:val="20"/>
          <w:szCs w:val="20"/>
          <w:color w:val="auto"/>
        </w:rPr>
      </w:pPr>
      <w:r>
        <w:rPr>
          <w:rFonts w:ascii="Arial" w:cs="Arial" w:eastAsia="Arial" w:hAnsi="Arial"/>
          <w:sz w:val="15"/>
          <w:szCs w:val="15"/>
          <w:color w:val="auto"/>
        </w:rPr>
        <w:t>The loan agreement provides for four tranches of $412,458, $201,094, $206,115 and $491,690.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Each drawing under the fourth tranche shall be repaid in 20 consecutive semi-annual equal installments commencing six months after the actual delivery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relevant vessel according to a 20-year profile, with a balloon payment together with the final installment. On March 22, 2016 and June 24, 2016, $162,967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drawn down 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while on September 26, 2016 and October 25, 2016,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$160,697 were drawn down on each date with respect to the deliveries of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The aggregate balance outstanding under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loan facility as of December 31, 2017 was $589,930 (December 31, 2016: $635,783). Amounts drawn bear interest at LIBOR plus a margin. The four vessel-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owning entities that made the drawdowns are also required to maintain at all times minimum liquidity of $1,500 and are in compliance as of December 31, 2017.</w:t>
      </w:r>
    </w:p>
    <w:p>
      <w:pPr>
        <w:spacing w:after="0" w:line="242"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of December 31, 2017, commitment, arrangement, coordination, agency, bookrunner and legal fees of $17,519 for obtaining the undrawn portion of the financing (December 31, 2016: $12,045) are classified under Deferred financing costs in the statement of financial position and will be netted off debt on the respective drawdown dates.</w:t>
      </w:r>
    </w:p>
    <w:p>
      <w:pPr>
        <w:spacing w:after="0" w:line="215" w:lineRule="exact"/>
        <w:rPr>
          <w:sz w:val="20"/>
          <w:szCs w:val="20"/>
          <w:color w:val="auto"/>
        </w:rPr>
      </w:pPr>
    </w:p>
    <w:p>
      <w:pPr>
        <w:ind w:left="540" w:right="140" w:hanging="532"/>
        <w:spacing w:after="0" w:line="275" w:lineRule="auto"/>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DNB (UK) Ltd., DVB Bank America N.V., Commonwealth Bank of Australia, ING Bank N.V., London Branch, Credit Agricole Corporate and Investment Bank and National Australia Bank Limited</w:t>
      </w:r>
    </w:p>
    <w:p>
      <w:pPr>
        <w:spacing w:after="0" w:line="180"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On February 18, 2016, GAS-eighteen Ltd., GAS-nineteen Ltd., GAS-twenty Ltd., GAS-twenty one Ltd. and GAS-twenty seven Ltd. entered into the Five Vessel Refinancing to refinance the debt maturities that were scheduled to become due in 2016 and 2017. The Five Vessel Refinancing comprises a five-year senior tranche facility of up to $396,500 and a two-year bullet junior tranche facility of up to $180,000. The vessels covered by the Five Vessel Refinancing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GasLog-owned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Becki Anne.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April 5, 2016, $395,450 and $179,750 under the senior and junior tranche, respectively, of the Five Vessel Refinancing were drawn to partially refinance $644,000 of the outstanding debt of GAS-eighteen Ltd., GAS-nineteen Ltd., GAS-twenty Ltd., GAS-twenty one Ltd. and GAS-twenty seven Ltd. The balance of $68,800 was paid from available cash. The aforementioned refinancing was considered an extinguishment of the existing debt facilities. Consequently, the unamortized loan fees of $3,046 were written off to profit or loss for the year ended December 31, 2016. Following the decrease in the aggregate available amount by $1,300, the senior tranche facility provides for four advances of $72,288 each and a fifth advance of $106,298.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$29,958 each and a fifth advance of $59,918. Each advance under the junior tranche shall be repaid in full 24 months after the relevant drawdown dates.</w:t>
      </w:r>
    </w:p>
    <w:p>
      <w:pPr>
        <w:spacing w:after="0" w:line="17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April 5, 2017, GasLog prepaid $150,000 under the junior tranche facility agreement. The prepayment was applied to the advances as follows: $29,958 applies to Advance A (GAS-eighteen Ltd.), $20,042 applies to Advance B (GAS-nineteen Ltd.), $20,042 applies to Advance C (GAS-twenty Ltd.), $20,042 applies to Advance D (GAS-twenty one Ltd.) and $59,918 applies to Advance E (GAS-twenty seven Ltd.). The prepayment did not result in substantially different terms and was accounted for as a debt modification. Consequently, the unamortized loan fees of $1,016 were amortized based on the revised effective interest rate over the remaining life of each Advance.</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aggregate balance outstanding under the senior tranche as of December 31, 2017 is $353,170, while under the junior tranche the outstanding balance is $29,750. Amounts drawn bear interest at LIBOR plus a margin (variable margin for the junior tranche).</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December 12, 2017, GasLog issued a notice of prepayment with respect to its relevant subsidiaries for the repayment of the remaining junior tranches totaling $29,750. The amount was repaid on January 5, 2018, resulting in an accelerated amortization as of December 31, 2017 of $213.</w:t>
      </w:r>
    </w:p>
    <w:p>
      <w:pPr>
        <w:spacing w:after="0" w:line="147" w:lineRule="exact"/>
        <w:rPr>
          <w:sz w:val="20"/>
          <w:szCs w:val="20"/>
          <w:color w:val="auto"/>
        </w:rPr>
      </w:pPr>
    </w:p>
    <w:p>
      <w:pPr>
        <w:ind w:left="540" w:right="420" w:hanging="532"/>
        <w:spacing w:after="0" w:line="339" w:lineRule="auto"/>
        <w:tabs>
          <w:tab w:leader="none" w:pos="54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Citigroup Global Market Limited, Credit Suisse AG, Nordea Bank AB, London Branch, Skandinaviska Enskilda Banken AB (publ), HSBC Bank plc, ING Bank N.V., London Branch, Danmarks Skibskredit A/S, Korea Development Bank and DVB Bank America N.V.</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19, 2016, GAS-one Ltd., GAS-two Ltd., GAS-six Ltd., GAS-seven Ltd., GAS-eight Ltd., GAS-nine Ltd., GAS-ten Ltd. and GAS-fifteen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entered into the Legacy Facility Refinancing, a credit agreement to refinance the existing indebtedness on eight of GasLog's on-the-water vessels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$1,050,000, extending the maturities of six existing credit facilities to 2021. The vessels covered by the Legacy Facility Refinancing are the </w:t>
      </w:r>
      <w:r>
        <w:rPr>
          <w:rFonts w:ascii="Arial" w:cs="Arial" w:eastAsia="Arial" w:hAnsi="Arial"/>
          <w:sz w:val="16"/>
          <w:szCs w:val="16"/>
          <w:i w:val="1"/>
          <w:iCs w:val="1"/>
          <w:color w:val="auto"/>
        </w:rPr>
        <w:t>GasLog Savannah</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Chelsea.</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Legacy Facility Refinancing is comprised of a five-year term loan facility of up to $950,000 and a revolving credit facility of up to $100,000. On</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July 25, 2016, the available amount of $950,000 under the term loan facility and $11,641 under the revolving credit facility were drawn to refinance the aggregate existing indebtedness of $959,899 of GAS-one Ltd., GAS-two Ltd., GAS-six Ltd., GAS-seven Ltd., GAS-eight Ltd., GAS-nine Ltd., GAS-ten Ltd. and GAS-fifteen Ltd. Amounts drawn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bear interest at LIBOR plus a margin. The aforementioned refinancing was considered an extinguishment of the existing debt facilities. Consequently, the unamortized loan fees of $18,215 were written off to profit or loss for the year ended December 31, 2016. On January 17, 2017, $30,000 was drawn under the revolving credit facility. On July 3, 2017, the full drawn amount of $41,641 under the revolving credit facility was repaid.</w:t>
      </w:r>
    </w:p>
    <w:p>
      <w:pPr>
        <w:spacing w:after="0" w:line="16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balance outstanding as of December 31, 2017 of $891,667 under the term loan facility shall be repaid in seven semi-annual installments of $29,167 each and a balloon repayment of $687,500 five years after drawdown. The outstanding balance under the revolving credit facility as of December 31, 2017 was $0, while the available amount of $100,000 can be drawn and repaid at any time until January 2021 and July 2021, respectively. The aforementioned vessel-owning entities are also required to maintain at all times minimum liquidity of $1,500 and are in compliance as of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covenants and guarantees</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 xml:space="preserve">The obligations under the aforementioned facilities are secured by a first priority mortgage over the vessels, a pledge of the share capital of the respective vessel owning companies and a first priority assignment of earnings related to the vessels (excluding the vessels participating in the Cool Pool), including charter revenue, management revenue and any insurance and requisition compensation. Obligations under the GasLog Partners Credit Facility are facilities guaranteed by the Partnership and GasLog Partners Holdings LLC, obligations under the Five Vessel 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by GasLog Carriers Ltd. for up to the value of the commitments on the remaining vessels, obligations under the Legacy Facility Refinancing are guaranteed by GasLog, by the Partnership and GasLog Partners Holdings LLC for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by GasLog Carriers Ltd. for up to the value of the commitments on the remaining vessels, while obligations under the fourth facility are guaranteed by GasLog, the Partnership and GasLog Partners Holdings LLC for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by GasLog Carriers Ltd. for up to the value of the commitments on the remaining vessels.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each individual vessel in the debt financing agreement entered into in October 2015, below 115% of the outstanding principal balance of that vessel for the first two years after each drawdown and below 120% at any time thereafter). The Group was in compliance with the required minimum security coverage as of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June 27, 2013, GasLog issued NOK 500,000 (or $83,206 based on the exchange rate on June 27, 2013) of senior unsecured bonds maturing on June 27, 2018 (the "NOK 2018 Bonds"). On May 2, 2014, GasLog closed a follow-on issue of NOK 500,000 (or $83,612 based on the exchange rate on closing date) of the NOK 2018 Bonds at a premium of $4,180 (based on the exchange rate 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closing date). On June 27, 2016, GasLog repurchased and cancelled NOK 588,000 (or $70,677) of the outstanding NOK 2018 Bonds at a price of 103.0% of par value, resulting in a loss of $2,120. Additionally, as a result of the repurchase, the unamortized bond fees and premium of $1,836 were written off to profit or loss for the year ended December 31, 2016. The total outstanding balance of the NOK 2018 Bonds, after the follow-on issue and the partial repurchase amounted to NOK 412,000 (equivalent to $49,522). On June 27, 2017, GasLog completed the repurchase of the outstanding balance of the NOK 2018 Bonds at a price of</w:t>
      </w:r>
    </w:p>
    <w:p>
      <w:pPr>
        <w:spacing w:after="0" w:line="3"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103.0% of par value, resulting in a loss of $1,459, for a total consideration of NOK 424,360 ($70,783 at the swapped rate under the associated cross currency swaps). The aforementioned repurchase was considered an extinguishment of the existing NOK 2018 Bonds, and as a result, the unamortized bond fees and premium of $283 (gain) were written off to profit or loss for the year ended December 31, 2017.</w:t>
      </w:r>
    </w:p>
    <w:p>
      <w:pPr>
        <w:spacing w:after="0" w:line="163"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June 27, 2016, GasLog also completed the issuance of NOK 750,000 (equivalent to $90,150) of new senior unsecured bonds (the "NOK 2021 Bonds") in the Norwegian bond market. The NOK 2021 Bonds mature in May 2021 and have a coupon of 6.9% over three-month NIBOR. The proceeds from the issuance were used to partly refinance GasLog's existing bonds maturing in June 2018, as described above.</w:t>
      </w:r>
    </w:p>
    <w:p>
      <w:pPr>
        <w:spacing w:after="0" w:line="194"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NOK 2021 Bonds bear interest at NIBOR plus margin. Interest payments are made in arrears on a quarterly basis. GasLog may redeem the NOK 2021 Bonds in whole or in part as follows: (a) with settlement date at any time from June 27, 2019 to but not including June 27, 2020 at 104.0% of par plus accrued interest on redeemed amount, (b) with settlement date at any time from June 27, 2020 to but not including December 27, 2020 at 102.50% of par plus accrued interest on redeemed amount, and (c) with settlement date at any time from December 27, 2020 to but not including the maturity date at 101.0% of par plus accrued interests on redeemed amount.</w:t>
      </w:r>
    </w:p>
    <w:p>
      <w:pPr>
        <w:spacing w:after="0" w:line="197"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auto"/>
        </w:rPr>
        <w:t>The carrying amount under the NOK 2021 Bonds, net of unamortized financing costs and unamortized premium, as of December 31, 2017 was $89,723 (aggregate carrying amount under the NOK 2018 Bonds and the NOK 2021 Bonds (the "NOK Bonds") as of December 31, 2016: $133,531) while their fair value</w:t>
      </w:r>
    </w:p>
    <w:p>
      <w:pPr>
        <w:ind w:right="280"/>
        <w:spacing w:after="0" w:line="261" w:lineRule="auto"/>
        <w:rPr>
          <w:sz w:val="20"/>
          <w:szCs w:val="20"/>
          <w:color w:val="auto"/>
        </w:rPr>
      </w:pPr>
      <w:r>
        <w:rPr>
          <w:rFonts w:ascii="Arial" w:cs="Arial" w:eastAsia="Arial" w:hAnsi="Arial"/>
          <w:sz w:val="18"/>
          <w:szCs w:val="18"/>
          <w:color w:val="auto"/>
        </w:rPr>
        <w:t>was $97,416 based on a USD/NOK exchange rate of 0.1213 as of December 31, 2017 (December 31, 2016: $138,741, based on a USD/NOK exchange rate of 0.1159).</w:t>
      </w:r>
    </w:p>
    <w:p>
      <w:pPr>
        <w:spacing w:after="0" w:line="19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On March 22, 2017, GasLog closed a public offering of $250,000 aggregate principal amount of 8.875% senior unsecured notes due in 2022 (the "8.875% Senior Notes") at a public offering price of 100% of the principal amount. The carrying amount under the 8.875% Senior Notes, net of unamortized financing costs as of December 31, 2017 was $245,936.</w:t>
      </w:r>
    </w:p>
    <w:p>
      <w:pPr>
        <w:spacing w:after="0" w:line="194"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Interest payment on the 8.875% Senior Notes is made in arrears on a quarterly basis. GasLog may redeem the 8.875% Senior Notes, in whole or in part, at any time and from time to time at a redemption price equal to the greater of (a) 100% of the principal amount of such notes and (b) the sum of the present values of the remaining scheduled payments of principal and interest thereon (exclusive of interest accrued to but excluding the date of redemption), computed using a discount rate equal to the applicable treasury rate plus 50 basis points, plus accrued and unpaid interest thereon to the date of redemption.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guarantor financial covenants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financial covenants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GasLog Partners as corporate guarantor for the GasLog Partners Credit Facility and the Five Vessel Refinancing is subject to specified financial covenants on a consolidated basis. These financial covenants include the following as defined in the agreements:</w:t>
      </w:r>
    </w:p>
    <w:p>
      <w:pPr>
        <w:spacing w:after="0" w:line="199"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 of total indebtedness or $15,000;</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Partners guarantees (including interest and debt repayments) on a trailing 12 months basis must be not less than 110.0%;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GasLog Partners Credit Facility and the Five Vessel Refinancing also impose certain restrictions relating to GasLog Partners, including restrictions that limit its ability to make any substantial change in the nature of its business or to change the corporate structure without approval from the lenders.</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GasLog Partners was in compliance with the respective financial covenants as of December 31,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GasLog's financial covenants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GasLog, as corporate guarantor for the loan facilities, the NOK 2021 Bonds and the 8.875% Senior Notes listed above except for the GasLog Partners Credit Facility, is subject to specified financial covenants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include the following:</w:t>
      </w:r>
    </w:p>
    <w:p>
      <w:pPr>
        <w:spacing w:after="0" w:line="252"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total indebtedness divided by total assets (total indebtedness plus total equity in the case of the 8.875% Senior Notes) must not exceed 75.0%;</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as defined in the respective credit facilities and the GasLog guarantees (including interest and debt repayments) on a trailing 12 months basis must be not less than 110.0% (100.0% in relation to the 8.875% Senior Notes);</w:t>
      </w:r>
    </w:p>
    <w:p>
      <w:pPr>
        <w:spacing w:after="0" w:line="166" w:lineRule="exact"/>
        <w:rPr>
          <w:rFonts w:ascii="Arial" w:cs="Arial" w:eastAsia="Arial" w:hAnsi="Arial"/>
          <w:sz w:val="16"/>
          <w:szCs w:val="16"/>
          <w:color w:val="auto"/>
        </w:rPr>
      </w:pPr>
    </w:p>
    <w:p>
      <w:pPr>
        <w:ind w:left="1080" w:right="280" w:hanging="532"/>
        <w:spacing w:after="0" w:line="370" w:lineRule="auto"/>
        <w:tabs>
          <w:tab w:leader="none" w:pos="10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aggregate amount of all unencumbered cash and cash equivalents must be not less than the higher of 3.0% of total indebtedness or $50,000 after the first drawdown (must be not less than the higher of 2.5% of total indebtedness or $35,000 in relation to the 8.875% Senior Notes);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244" w:lineRule="exact"/>
        <w:rPr>
          <w:rFonts w:ascii="Arial" w:cs="Arial" w:eastAsia="Arial" w:hAnsi="Arial"/>
          <w:sz w:val="18"/>
          <w:szCs w:val="18"/>
          <w:b w:val="1"/>
          <w:bCs w:val="1"/>
          <w:color w:val="auto"/>
        </w:rPr>
      </w:pPr>
    </w:p>
    <w:p>
      <w:pPr>
        <w:ind w:left="1080" w:hanging="532"/>
        <w:spacing w:after="0" w:line="259" w:lineRule="auto"/>
        <w:tabs>
          <w:tab w:leader="none" w:pos="10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GasLog is permitted to pay dividends, provided that the Group holds unencumbered cash and cash equivalents equal to at least 4.0% of its total indebtedness subject to no event of default having occurred or occurring as a consequence of the payment of such dividends (not applicable for the NOK 2021 Bonds and the 8.875% Senior Notes);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Group's market value adjusted net worth must at all times be not less than $350,000 ($300,000 in relation to the 8.875% Senior Notes).</w:t>
      </w:r>
    </w:p>
    <w:p>
      <w:pPr>
        <w:spacing w:after="0" w:line="248"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credit facilities also impose certain restrictions relating to GasLog,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161" w:lineRule="exact"/>
        <w:rPr>
          <w:sz w:val="20"/>
          <w:szCs w:val="20"/>
          <w:color w:val="auto"/>
        </w:rPr>
      </w:pPr>
    </w:p>
    <w:p>
      <w:pPr>
        <w:ind w:right="240" w:firstLine="351"/>
        <w:spacing w:after="0" w:line="286" w:lineRule="auto"/>
        <w:rPr>
          <w:sz w:val="20"/>
          <w:szCs w:val="20"/>
          <w:color w:val="auto"/>
        </w:rPr>
      </w:pPr>
      <w:r>
        <w:rPr>
          <w:rFonts w:ascii="Arial" w:cs="Arial" w:eastAsia="Arial" w:hAnsi="Arial"/>
          <w:sz w:val="16"/>
          <w:szCs w:val="16"/>
          <w:color w:val="auto"/>
        </w:rPr>
        <w:t>GasLog as issuer of the NOK 2021 Bonds is required to comply with the financial covenants (i), (ii), (iii), (iv) and (vi) listed above. Also, under the NOK 2021 Bonds GasLog is permitted to make Distributions up to a maximum amount per share per annum for the years 2017, 2018, 2019, 2020 and 2021 of</w:t>
      </w:r>
    </w:p>
    <w:p>
      <w:pPr>
        <w:ind w:right="100"/>
        <w:spacing w:after="0" w:line="261" w:lineRule="auto"/>
        <w:rPr>
          <w:sz w:val="20"/>
          <w:szCs w:val="20"/>
          <w:color w:val="auto"/>
        </w:rPr>
      </w:pPr>
      <w:r>
        <w:rPr>
          <w:rFonts w:ascii="Arial" w:cs="Arial" w:eastAsia="Arial" w:hAnsi="Arial"/>
          <w:sz w:val="18"/>
          <w:szCs w:val="18"/>
          <w:color w:val="auto"/>
        </w:rPr>
        <w:t>$1.10/share, $1.10/share, $1.20/share, $1.20/share and $1.20/share, respectively, provided that GasLog can demonstrate by delivering a compliance certificate to the trustee of the NOK 2021 Bonds that no event of default is continuing or would result from such Distributions.</w:t>
      </w:r>
    </w:p>
    <w:p>
      <w:pPr>
        <w:spacing w:after="0" w:line="192"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Compliance with the loan financial covenants is required on a semi-annual basis while compliance with the NOK 2021 Bonds and 8.875% Senior Notes covenants is required at all times. The Group was in compliance with all financial covenants as of 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 Schedule</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maturity table below reflects the principal repayments of the loans, the NOK 2021 Bonds and the 8.875% Senior Notes outstanding as of December 31, 2017 based on the repayment schedule of the respective loan facilities (as described above):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188,167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631,834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1,407,353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360,662</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2,588,016</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weighted average interest rate for the outstanding loan facilities for the year ended December 31, 2017 was 4.14% (December 31, 2016: 3.54%) excluding the fixed interest rate for the interest rate swaps where hedge accounting is not applicable (Note 25).</w:t>
      </w:r>
    </w:p>
    <w:p>
      <w:pPr>
        <w:spacing w:after="0" w:line="186"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After excluding the unamortized deferred loan issuance costs the carrying amount of the Group's bank debt recognized in the consolidated financial statements approximates its fair value since the debt bears interest at a variable interest rate.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Payables and Accruals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8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42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Social contributions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Unearned revenue</w:t>
            </w:r>
          </w:p>
        </w:tc>
        <w:tc>
          <w:tcPr>
            <w:tcW w:w="620" w:type="dxa"/>
            <w:vAlign w:val="bottom"/>
          </w:tcPr>
          <w:p>
            <w:pPr>
              <w:jc w:val="right"/>
              <w:spacing w:after="0"/>
              <w:rPr>
                <w:sz w:val="20"/>
                <w:szCs w:val="20"/>
                <w:color w:val="auto"/>
              </w:rPr>
            </w:pPr>
            <w:r>
              <w:rPr>
                <w:rFonts w:ascii="Arial" w:cs="Arial" w:eastAsia="Arial" w:hAnsi="Arial"/>
                <w:sz w:val="18"/>
                <w:szCs w:val="18"/>
                <w:color w:val="auto"/>
              </w:rPr>
              <w:t>37,522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34,926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legal and professional 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620" w:type="dxa"/>
            <w:vAlign w:val="bottom"/>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off-hire</w:t>
            </w:r>
          </w:p>
        </w:tc>
        <w:tc>
          <w:tcPr>
            <w:tcW w:w="620" w:type="dxa"/>
            <w:vAlign w:val="bottom"/>
          </w:tcPr>
          <w:p>
            <w:pPr>
              <w:jc w:val="right"/>
              <w:spacing w:after="0"/>
              <w:rPr>
                <w:sz w:val="20"/>
                <w:szCs w:val="20"/>
                <w:color w:val="auto"/>
              </w:rPr>
            </w:pPr>
            <w:r>
              <w:rPr>
                <w:rFonts w:ascii="Arial" w:cs="Arial" w:eastAsia="Arial" w:hAnsi="Arial"/>
                <w:sz w:val="18"/>
                <w:szCs w:val="18"/>
                <w:color w:val="auto"/>
              </w:rPr>
              <w:t>3,765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5,456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crew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purchases</w:t>
            </w:r>
          </w:p>
        </w:tc>
        <w:tc>
          <w:tcPr>
            <w:tcW w:w="620" w:type="dxa"/>
            <w:vAlign w:val="bottom"/>
          </w:tcPr>
          <w:p>
            <w:pPr>
              <w:jc w:val="right"/>
              <w:spacing w:after="0"/>
              <w:rPr>
                <w:sz w:val="20"/>
                <w:szCs w:val="20"/>
                <w:color w:val="auto"/>
              </w:rPr>
            </w:pPr>
            <w:r>
              <w:rPr>
                <w:rFonts w:ascii="Arial" w:cs="Arial" w:eastAsia="Arial" w:hAnsi="Arial"/>
                <w:sz w:val="18"/>
                <w:szCs w:val="18"/>
                <w:color w:val="auto"/>
              </w:rPr>
              <w:t>3,553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4,227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financing cost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27,165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27,851</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payable to charterers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accruals</w:t>
            </w:r>
          </w:p>
        </w:tc>
        <w:tc>
          <w:tcPr>
            <w:tcW w:w="62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2,058</w:t>
            </w:r>
          </w:p>
        </w:tc>
      </w:tr>
      <w:tr>
        <w:trPr>
          <w:trHeight w:val="20"/>
        </w:trPr>
        <w:tc>
          <w:tcPr>
            <w:tcW w:w="6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93,418</w:t>
            </w:r>
          </w:p>
        </w:tc>
      </w:tr>
      <w:tr>
        <w:trPr>
          <w:trHeight w:val="20"/>
        </w:trPr>
        <w:tc>
          <w:tcPr>
            <w:tcW w:w="6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unearned revenue represents charter hires received in advance in December 2017 relating to the hire period of January 2018, for 15 vessels (December 2016: 16 vessels).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Vessel Operating and Supervision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vessel operating and supervision costs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For the year ended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Employee costs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Crew wages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49,254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53,593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61,995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Technical maintenance expenses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29,520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Provisions and stores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Management fees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Vessels' tax</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112,632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122,486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40" w:type="dxa"/>
            <w:vAlign w:val="bottom"/>
            <w:gridSpan w:val="2"/>
          </w:tcPr>
          <w:p>
            <w:pPr>
              <w:jc w:val="right"/>
              <w:ind w:right="1859"/>
              <w:spacing w:after="0"/>
              <w:rPr>
                <w:sz w:val="20"/>
                <w:szCs w:val="20"/>
                <w:color w:val="auto"/>
              </w:rPr>
            </w:pPr>
            <w:r>
              <w:rPr>
                <w:rFonts w:ascii="Arial" w:cs="Arial" w:eastAsia="Arial" w:hAnsi="Arial"/>
                <w:sz w:val="18"/>
                <w:szCs w:val="18"/>
                <w:color w:val="auto"/>
              </w:rPr>
              <w:t>F-48</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Voyage Expenses and Commissions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voyage expenses and commissions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For the year</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660" w:type="dxa"/>
            <w:vAlign w:val="bottom"/>
          </w:tcPr>
          <w:p>
            <w:pPr>
              <w:spacing w:after="0"/>
              <w:rPr>
                <w:sz w:val="14"/>
                <w:szCs w:val="14"/>
                <w:color w:val="auto"/>
              </w:rPr>
            </w:pPr>
          </w:p>
        </w:tc>
        <w:tc>
          <w:tcPr>
            <w:tcW w:w="1680" w:type="dxa"/>
            <w:vAlign w:val="bottom"/>
            <w:tcBorders>
              <w:bottom w:val="single" w:sz="8" w:color="auto"/>
            </w:tcBorders>
            <w:gridSpan w:val="6"/>
          </w:tcPr>
          <w:p>
            <w:pPr>
              <w:jc w:val="center"/>
              <w:ind w:left="399"/>
              <w:spacing w:after="0"/>
              <w:rPr>
                <w:sz w:val="20"/>
                <w:szCs w:val="20"/>
                <w:color w:val="auto"/>
              </w:rPr>
            </w:pPr>
            <w:r>
              <w:rPr>
                <w:rFonts w:ascii="Arial" w:cs="Arial" w:eastAsia="Arial" w:hAnsi="Arial"/>
                <w:sz w:val="14"/>
                <w:szCs w:val="14"/>
                <w:b w:val="1"/>
                <w:bCs w:val="1"/>
                <w:color w:val="auto"/>
                <w:w w:val="85"/>
              </w:rPr>
              <w:t>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Bunkers' consumption</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9,577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8,948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net pool allocation (Note 20)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(7,254)</w:t>
            </w:r>
          </w:p>
        </w:tc>
      </w:tr>
      <w:tr>
        <w:trPr>
          <w:trHeight w:val="210"/>
        </w:trPr>
        <w:tc>
          <w:tcPr>
            <w:tcW w:w="5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14,290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15,184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8,150</w:t>
            </w:r>
          </w:p>
        </w:tc>
        <w:tc>
          <w:tcPr>
            <w:tcW w:w="16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Bunkers' consumption represents mainly bunkers consumed during vessels unemployment and off-hire.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60" w:type="dxa"/>
            <w:vAlign w:val="bottom"/>
            <w:gridSpan w:val="6"/>
          </w:tcPr>
          <w:p>
            <w:pPr>
              <w:jc w:val="center"/>
              <w:ind w:left="446"/>
              <w:spacing w:after="0"/>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1"/>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Employee costs</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18,789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2,439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2,243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(Note 21)</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Rent and utilities</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2,180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Travel and accommodation</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11,014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7,445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differences, net</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Directors and officers' liability insurance</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729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38,642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39,850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60" w:type="dxa"/>
            <w:vAlign w:val="bottom"/>
            <w:gridSpan w:val="3"/>
          </w:tcPr>
          <w:p>
            <w:pPr>
              <w:ind w:left="480"/>
              <w:spacing w:after="0"/>
              <w:rPr>
                <w:sz w:val="20"/>
                <w:szCs w:val="20"/>
                <w:color w:val="auto"/>
              </w:rPr>
            </w:pPr>
            <w:r>
              <w:rPr>
                <w:rFonts w:ascii="Arial" w:cs="Arial" w:eastAsia="Arial" w:hAnsi="Arial"/>
                <w:sz w:val="18"/>
                <w:szCs w:val="18"/>
                <w:color w:val="auto"/>
              </w:rPr>
              <w:t>F-49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Financial Income and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costs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For the year ended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6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2,650</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loan/bond issuance costs 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35,141</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620" w:type="dxa"/>
            <w:vAlign w:val="bottom"/>
          </w:tcPr>
          <w:p>
            <w:pPr>
              <w:jc w:val="right"/>
              <w:spacing w:after="0"/>
              <w:rPr>
                <w:sz w:val="20"/>
                <w:szCs w:val="20"/>
                <w:color w:val="auto"/>
              </w:rPr>
            </w:pPr>
            <w:r>
              <w:rPr>
                <w:rFonts w:ascii="Arial" w:cs="Arial" w:eastAsia="Arial" w:hAnsi="Arial"/>
                <w:sz w:val="18"/>
                <w:szCs w:val="18"/>
                <w:color w:val="auto"/>
              </w:rPr>
              <w:t>68,253</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76,495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85,813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Interest expense on bonds and realized loss on cross currency swaps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27,085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Finance lease charge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9,367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10,875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arising on NOK Bonds repurchase at a premium (Note 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 financial costs</w:t>
            </w:r>
          </w:p>
        </w:tc>
        <w:tc>
          <w:tcPr>
            <w:tcW w:w="620" w:type="dxa"/>
            <w:vAlign w:val="bottom"/>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91,956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139,181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During the year ended December 31, 2016, an amount of $23,097 representing the write-off of the unamortized deferred loan and bond issuance costs in connection with the loan and NOK Bond refinancings described in Note 13 is included in Amortization and write-off of deferred loan/bond issuance costs and premium.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Contingencies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had the following balances with related parties which have been included in the consolidated statements of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00" w:type="dxa"/>
            <w:vAlign w:val="bottom"/>
            <w:gridSpan w:val="4"/>
          </w:tcPr>
          <w:p>
            <w:pPr>
              <w:ind w:left="460"/>
              <w:spacing w:after="0"/>
              <w:rPr>
                <w:sz w:val="20"/>
                <w:szCs w:val="20"/>
                <w:color w:val="auto"/>
              </w:rPr>
            </w:pPr>
            <w:r>
              <w:rPr>
                <w:rFonts w:ascii="Arial" w:cs="Arial" w:eastAsia="Arial" w:hAnsi="Arial"/>
                <w:sz w:val="14"/>
                <w:szCs w:val="14"/>
                <w:b w:val="1"/>
                <w:bCs w:val="1"/>
                <w:color w:val="auto"/>
                <w:w w:val="91"/>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600" w:type="dxa"/>
            <w:vAlign w:val="bottom"/>
          </w:tcPr>
          <w:p>
            <w:pPr>
              <w:spacing w:after="0"/>
              <w:rPr>
                <w:sz w:val="14"/>
                <w:szCs w:val="14"/>
                <w:color w:val="auto"/>
              </w:rPr>
            </w:pPr>
          </w:p>
        </w:tc>
        <w:tc>
          <w:tcPr>
            <w:tcW w:w="13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receivable from Egypt LNG Shipping Ltd. (Note 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Due from The Cool Pool Limited</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8,186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r>
      <w:tr>
        <w:trPr>
          <w:trHeight w:val="210"/>
        </w:trPr>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8,666</w:t>
            </w:r>
          </w:p>
        </w:tc>
        <w:tc>
          <w:tcPr>
            <w:tcW w:w="16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due from The Cool Pool Limited represents net revenue invoiced by GasLog which has not yet been collected.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720" w:type="dxa"/>
            <w:vAlign w:val="bottom"/>
            <w:gridSpan w:val="3"/>
          </w:tcPr>
          <w:p>
            <w:pPr>
              <w:ind w:left="400"/>
              <w:spacing w:after="0"/>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720" w:type="dxa"/>
            <w:vAlign w:val="bottom"/>
          </w:tcPr>
          <w:p>
            <w:pPr>
              <w:spacing w:after="0"/>
              <w:rPr>
                <w:sz w:val="14"/>
                <w:szCs w:val="14"/>
                <w:color w:val="auto"/>
              </w:rPr>
            </w:pPr>
          </w:p>
        </w:tc>
        <w:tc>
          <w:tcPr>
            <w:tcW w:w="12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creditors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bl>
    <w:p>
      <w:pPr>
        <w:spacing w:after="0" w:line="20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Amounts due to related parties of $35 (December 31, 2016: $105) are expenses paid by a related party on behalf of the Group and payables to other related parties for the office lease and other operating expenses.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had the following transactions with related parties which have been included in the consolidated statements of profit or loss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2016 and 2017:</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4"/>
              </w:rPr>
              <w:t>Statement of</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4"/>
                <w:szCs w:val="14"/>
                <w:color w:val="auto"/>
              </w:rPr>
            </w:pPr>
          </w:p>
        </w:tc>
        <w:tc>
          <w:tcPr>
            <w:tcW w:w="2140" w:type="dxa"/>
            <w:vAlign w:val="bottom"/>
          </w:tcPr>
          <w:p>
            <w:pPr>
              <w:ind w:left="860"/>
              <w:spacing w:after="0"/>
              <w:rPr>
                <w:sz w:val="20"/>
                <w:szCs w:val="20"/>
                <w:color w:val="auto"/>
              </w:rPr>
            </w:pPr>
            <w:r>
              <w:rPr>
                <w:rFonts w:ascii="Arial" w:cs="Arial" w:eastAsia="Arial" w:hAnsi="Arial"/>
                <w:sz w:val="14"/>
                <w:szCs w:val="14"/>
                <w:b w:val="1"/>
                <w:bCs w:val="1"/>
                <w:color w:val="auto"/>
              </w:rPr>
              <w:t>Details</w:t>
            </w:r>
          </w:p>
        </w:tc>
        <w:tc>
          <w:tcPr>
            <w:tcW w:w="1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2"/>
              </w:rPr>
              <w:t>income account</w:t>
            </w: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w:t>
            </w:r>
          </w:p>
        </w:tc>
        <w:tc>
          <w:tcPr>
            <w:tcW w:w="120" w:type="dxa"/>
            <w:vAlign w:val="bottom"/>
            <w:shd w:val="clear" w:color="auto" w:fill="CCEEFF"/>
          </w:tcPr>
          <w:p>
            <w:pPr>
              <w:spacing w:after="0"/>
              <w:rPr>
                <w:sz w:val="12"/>
                <w:szCs w:val="12"/>
                <w:color w:val="auto"/>
              </w:rPr>
            </w:pPr>
          </w:p>
        </w:tc>
        <w:tc>
          <w:tcPr>
            <w:tcW w:w="19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Egypt LNG Shipping Ltd.</w:t>
            </w:r>
          </w:p>
        </w:tc>
        <w:tc>
          <w:tcPr>
            <w:tcW w:w="23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Vessel management services</w:t>
            </w:r>
          </w:p>
        </w:tc>
        <w:tc>
          <w:tcPr>
            <w:tcW w:w="242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Revenues</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607</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211</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(b)</w:t>
            </w:r>
          </w:p>
        </w:tc>
        <w:tc>
          <w:tcPr>
            <w:tcW w:w="2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Nea Dimitra Property</w:t>
            </w:r>
          </w:p>
        </w:tc>
        <w:tc>
          <w:tcPr>
            <w:tcW w:w="2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Office rent and utilities</w:t>
            </w:r>
          </w:p>
        </w:tc>
        <w:tc>
          <w:tcPr>
            <w:tcW w:w="2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w:t>
            </w:r>
          </w:p>
        </w:tc>
        <w:tc>
          <w:tcPr>
            <w:tcW w:w="2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Nea Dimitra Property</w:t>
            </w:r>
          </w:p>
        </w:tc>
        <w:tc>
          <w:tcPr>
            <w:tcW w:w="2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office services</w:t>
            </w:r>
          </w:p>
        </w:tc>
        <w:tc>
          <w:tcPr>
            <w:tcW w:w="2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(c)</w:t>
            </w:r>
          </w:p>
        </w:tc>
        <w:tc>
          <w:tcPr>
            <w:tcW w:w="2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Euronav (UK) Agencies Ltd.</w:t>
            </w:r>
          </w:p>
        </w:tc>
        <w:tc>
          <w:tcPr>
            <w:tcW w:w="2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Office rent and utilities</w:t>
            </w:r>
          </w:p>
        </w:tc>
        <w:tc>
          <w:tcPr>
            <w:tcW w:w="2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w:t>
            </w:r>
          </w:p>
        </w:tc>
        <w:tc>
          <w:tcPr>
            <w:tcW w:w="2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Seres S.A.</w:t>
            </w:r>
          </w:p>
        </w:tc>
        <w:tc>
          <w:tcPr>
            <w:tcW w:w="2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Catering services</w:t>
            </w:r>
          </w:p>
        </w:tc>
        <w:tc>
          <w:tcPr>
            <w:tcW w:w="2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(d)</w:t>
            </w:r>
          </w:p>
        </w:tc>
        <w:tc>
          <w:tcPr>
            <w:tcW w:w="2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Seres S.A.</w:t>
            </w:r>
          </w:p>
        </w:tc>
        <w:tc>
          <w:tcPr>
            <w:tcW w:w="2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Consultancy services</w:t>
            </w:r>
          </w:p>
        </w:tc>
        <w:tc>
          <w:tcPr>
            <w:tcW w:w="2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w:t>
            </w:r>
          </w:p>
        </w:tc>
        <w:tc>
          <w:tcPr>
            <w:tcW w:w="2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C Transport Maritime S.A.M.</w:t>
            </w:r>
          </w:p>
        </w:tc>
        <w:tc>
          <w:tcPr>
            <w:tcW w:w="2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Claims and insurance fee</w:t>
            </w:r>
          </w:p>
        </w:tc>
        <w:tc>
          <w:tcPr>
            <w:tcW w:w="2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(f)</w:t>
            </w:r>
          </w:p>
        </w:tc>
        <w:tc>
          <w:tcPr>
            <w:tcW w:w="2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Chartwell Management Inc.</w:t>
            </w:r>
          </w:p>
        </w:tc>
        <w:tc>
          <w:tcPr>
            <w:tcW w:w="2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Travel expenses</w:t>
            </w:r>
          </w:p>
        </w:tc>
        <w:tc>
          <w:tcPr>
            <w:tcW w:w="2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w:t>
            </w:r>
          </w:p>
        </w:tc>
        <w:tc>
          <w:tcPr>
            <w:tcW w:w="2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Ceres Monaco S.A.M.</w:t>
            </w:r>
          </w:p>
        </w:tc>
        <w:tc>
          <w:tcPr>
            <w:tcW w:w="2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Professional services</w:t>
            </w:r>
          </w:p>
        </w:tc>
        <w:tc>
          <w:tcPr>
            <w:tcW w:w="2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(h)</w:t>
            </w:r>
          </w:p>
        </w:tc>
        <w:tc>
          <w:tcPr>
            <w:tcW w:w="2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Blenheim Holdings Ltd.</w:t>
            </w:r>
          </w:p>
        </w:tc>
        <w:tc>
          <w:tcPr>
            <w:tcW w:w="2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Professional services</w:t>
            </w:r>
          </w:p>
        </w:tc>
        <w:tc>
          <w:tcPr>
            <w:tcW w:w="24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6"/>
              </w:rPr>
              <w:t>General and administrative expenses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w:t>
            </w:r>
          </w:p>
        </w:tc>
        <w:tc>
          <w:tcPr>
            <w:tcW w:w="2080" w:type="dxa"/>
            <w:vAlign w:val="bottom"/>
            <w:gridSpan w:val="4"/>
            <w:shd w:val="clear" w:color="auto" w:fill="CCEEFF"/>
          </w:tcPr>
          <w:p>
            <w:pPr>
              <w:ind w:left="120"/>
              <w:spacing w:after="0" w:line="138" w:lineRule="exact"/>
              <w:rPr>
                <w:sz w:val="20"/>
                <w:szCs w:val="20"/>
                <w:color w:val="auto"/>
              </w:rPr>
            </w:pPr>
            <w:r>
              <w:rPr>
                <w:rFonts w:ascii="Arial" w:cs="Arial" w:eastAsia="Arial" w:hAnsi="Arial"/>
                <w:sz w:val="14"/>
                <w:szCs w:val="14"/>
                <w:color w:val="auto"/>
                <w:w w:val="96"/>
              </w:rPr>
              <w:t>A.S. Papadimitriou and Partners</w:t>
            </w:r>
          </w:p>
        </w:tc>
        <w:tc>
          <w:tcPr>
            <w:tcW w:w="22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60" w:type="dxa"/>
            <w:vAlign w:val="bottom"/>
            <w:gridSpan w:val="3"/>
            <w:shd w:val="clear" w:color="auto" w:fill="CCEEFF"/>
          </w:tcPr>
          <w:p>
            <w:pPr>
              <w:ind w:left="140"/>
              <w:spacing w:after="0" w:line="159" w:lineRule="exact"/>
              <w:rPr>
                <w:sz w:val="20"/>
                <w:szCs w:val="20"/>
                <w:color w:val="auto"/>
              </w:rPr>
            </w:pPr>
            <w:r>
              <w:rPr>
                <w:rFonts w:ascii="Arial" w:cs="Arial" w:eastAsia="Arial" w:hAnsi="Arial"/>
                <w:sz w:val="14"/>
                <w:szCs w:val="14"/>
                <w:color w:val="auto"/>
              </w:rPr>
              <w:t>Law Firm</w:t>
            </w:r>
          </w:p>
        </w:tc>
        <w:tc>
          <w:tcPr>
            <w:tcW w:w="23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Professional services</w:t>
            </w:r>
          </w:p>
        </w:tc>
        <w:tc>
          <w:tcPr>
            <w:tcW w:w="24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96"/>
              </w:rPr>
              <w:t>General and administrative expenses</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73</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(j)</w:t>
            </w:r>
          </w:p>
        </w:tc>
        <w:tc>
          <w:tcPr>
            <w:tcW w:w="2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The Cool Pool Limited</w:t>
            </w:r>
          </w:p>
        </w:tc>
        <w:tc>
          <w:tcPr>
            <w:tcW w:w="2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Pool gross revenues</w:t>
            </w:r>
          </w:p>
        </w:tc>
        <w:tc>
          <w:tcPr>
            <w:tcW w:w="2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Revenues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w:t>
            </w:r>
          </w:p>
        </w:tc>
        <w:tc>
          <w:tcPr>
            <w:tcW w:w="2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The Cool Pool Limited</w:t>
            </w:r>
          </w:p>
        </w:tc>
        <w:tc>
          <w:tcPr>
            <w:tcW w:w="2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Pool gross bunkers</w:t>
            </w:r>
          </w:p>
        </w:tc>
        <w:tc>
          <w:tcPr>
            <w:tcW w:w="2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Voyage expenses and commissions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(j)</w:t>
            </w:r>
          </w:p>
        </w:tc>
        <w:tc>
          <w:tcPr>
            <w:tcW w:w="20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The Cool Pool Limited</w:t>
            </w:r>
          </w:p>
        </w:tc>
        <w:tc>
          <w:tcPr>
            <w:tcW w:w="2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Pool other voyage expenses</w:t>
            </w:r>
          </w:p>
        </w:tc>
        <w:tc>
          <w:tcPr>
            <w:tcW w:w="2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Voyage expenses and commissions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w:t>
            </w:r>
          </w:p>
        </w:tc>
        <w:tc>
          <w:tcPr>
            <w:tcW w:w="20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The Cool Pool Limited</w:t>
            </w:r>
          </w:p>
        </w:tc>
        <w:tc>
          <w:tcPr>
            <w:tcW w:w="2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 for net pool allocation</w:t>
            </w:r>
          </w:p>
        </w:tc>
        <w:tc>
          <w:tcPr>
            <w:tcW w:w="2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Voyage expenses and commissions</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4,674</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One of the Group's subsidiaries, GasLog LNG Services Ltd. provides vessel management services to Egypt LNG Shipping Ltd., the LNG vessel owning company, in which another subsidiary, GasLog Shipping Company Ltd., holds a 25% ownership interest.</w:t>
      </w:r>
    </w:p>
    <w:p>
      <w:pPr>
        <w:spacing w:after="0" w:line="111" w:lineRule="exact"/>
        <w:rPr>
          <w:rFonts w:ascii="Arial" w:cs="Arial" w:eastAsia="Arial" w:hAnsi="Arial"/>
          <w:sz w:val="11"/>
          <w:szCs w:val="11"/>
          <w:color w:val="auto"/>
        </w:rPr>
      </w:pPr>
    </w:p>
    <w:p>
      <w:pPr>
        <w:ind w:left="1680" w:right="340" w:hanging="531"/>
        <w:spacing w:after="0" w:line="239" w:lineRule="auto"/>
        <w:tabs>
          <w:tab w:leader="none" w:pos="168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Through its subsidiary GasLog LNG Services Ltd., the Group leases office space in Piraeus, Greece, from an entity controlled by Ceres Shipping, Nea Dimitra Ktimatikh Kai Emporikh S.A.</w:t>
      </w:r>
    </w:p>
    <w:p>
      <w:pPr>
        <w:spacing w:after="0" w:line="111" w:lineRule="exact"/>
        <w:rPr>
          <w:rFonts w:ascii="Arial" w:cs="Arial" w:eastAsia="Arial" w:hAnsi="Arial"/>
          <w:sz w:val="11"/>
          <w:szCs w:val="11"/>
          <w:color w:val="auto"/>
        </w:rPr>
      </w:pPr>
    </w:p>
    <w:p>
      <w:pPr>
        <w:ind w:left="1680" w:right="40" w:hanging="531"/>
        <w:spacing w:after="0" w:line="273" w:lineRule="auto"/>
        <w:tabs>
          <w:tab w:leader="none" w:pos="1680" w:val="left"/>
        </w:tabs>
        <w:numPr>
          <w:ilvl w:val="0"/>
          <w:numId w:val="130"/>
        </w:numPr>
        <w:rPr>
          <w:rFonts w:ascii="Arial" w:cs="Arial" w:eastAsia="Arial" w:hAnsi="Arial"/>
          <w:sz w:val="10"/>
          <w:szCs w:val="10"/>
          <w:color w:val="auto"/>
        </w:rPr>
      </w:pPr>
      <w:r>
        <w:rPr>
          <w:rFonts w:ascii="Arial" w:cs="Arial" w:eastAsia="Arial" w:hAnsi="Arial"/>
          <w:sz w:val="12"/>
          <w:szCs w:val="12"/>
          <w:color w:val="auto"/>
        </w:rPr>
        <w:t>Through its subsidiary GasLog Services (UK) Ltd., the Group makes payments to Euronav (UK) Agencies Ltd. ("Euronav UK"), a subsidiary of Euronav NV, whose major shareholder was Mr. Livanos until November 2015, for the use of its office space in London. Euronav UK leases operating space pursuant to a service agreement with a third-party property owner and the Group occupies a portion of the leased space. The Group pays Euronav UK £223 per year for the office space plus a stamp duty, which reflects a pro rata portion of the fees payable to the third-party property owner determined based on the amount of occupied space. In 2016, Euronav UK was no longer a related party of the Group, thus the respective office rent and utilities' expenses recorded in 2016 and 2017 were not included in the above table.</w:t>
      </w:r>
    </w:p>
    <w:p>
      <w:pPr>
        <w:spacing w:after="0" w:line="93" w:lineRule="exact"/>
        <w:rPr>
          <w:rFonts w:ascii="Arial" w:cs="Arial" w:eastAsia="Arial" w:hAnsi="Arial"/>
          <w:sz w:val="10"/>
          <w:szCs w:val="10"/>
          <w:color w:val="auto"/>
        </w:rPr>
      </w:pPr>
    </w:p>
    <w:p>
      <w:pPr>
        <w:jc w:val="both"/>
        <w:ind w:left="1680" w:right="220" w:hanging="531"/>
        <w:spacing w:after="0" w:line="230" w:lineRule="auto"/>
        <w:tabs>
          <w:tab w:leader="none" w:pos="168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 but are slightly higher on special occasions. In addition, GasLog LNG Services Ltd. has entered into an agreement with Seres S.A. for the latter to provide human resources, telephone and documentation services for the staff based in Piraeus.</w:t>
      </w:r>
    </w:p>
    <w:p>
      <w:pPr>
        <w:spacing w:after="0" w:line="112" w:lineRule="exact"/>
        <w:rPr>
          <w:rFonts w:ascii="Arial" w:cs="Arial" w:eastAsia="Arial" w:hAnsi="Arial"/>
          <w:sz w:val="11"/>
          <w:szCs w:val="11"/>
          <w:color w:val="auto"/>
        </w:rPr>
      </w:pPr>
    </w:p>
    <w:p>
      <w:pPr>
        <w:ind w:left="1680" w:right="240" w:hanging="531"/>
        <w:spacing w:after="0" w:line="288" w:lineRule="auto"/>
        <w:tabs>
          <w:tab w:leader="none" w:pos="1680" w:val="left"/>
        </w:tabs>
        <w:numPr>
          <w:ilvl w:val="0"/>
          <w:numId w:val="130"/>
        </w:numPr>
        <w:rPr>
          <w:rFonts w:ascii="Arial" w:cs="Arial" w:eastAsia="Arial" w:hAnsi="Arial"/>
          <w:sz w:val="10"/>
          <w:szCs w:val="10"/>
          <w:color w:val="auto"/>
        </w:rPr>
      </w:pPr>
      <w:r>
        <w:rPr>
          <w:rFonts w:ascii="Arial" w:cs="Arial" w:eastAsia="Arial" w:hAnsi="Arial"/>
          <w:sz w:val="12"/>
          <w:szCs w:val="12"/>
          <w:color w:val="auto"/>
        </w:rPr>
        <w:t>The Group through one of its subsidiaries, GasLog LNG Services Ltd., procured insurance for the vessels through C Transport Maritime S.A.M., an affiliate of Ceres Shipping, which has a dedicated insurance function. From July 1, 2011, this relationship is covered by a service agreement under which GasLog LNG Services Ltd. pays C Transport Maritime S.A.M. $10 per owned vessel per annum and $3 per managed vessel per annum. The service agreement was terminated in 2015.</w:t>
      </w:r>
    </w:p>
    <w:p>
      <w:pPr>
        <w:spacing w:after="0" w:line="83" w:lineRule="exact"/>
        <w:rPr>
          <w:rFonts w:ascii="Arial" w:cs="Arial" w:eastAsia="Arial" w:hAnsi="Arial"/>
          <w:sz w:val="10"/>
          <w:szCs w:val="10"/>
          <w:color w:val="auto"/>
        </w:rPr>
      </w:pPr>
    </w:p>
    <w:p>
      <w:pPr>
        <w:ind w:left="1680" w:hanging="531"/>
        <w:spacing w:after="0"/>
        <w:tabs>
          <w:tab w:leader="none" w:pos="168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Chartwell Management Inc. is an entity controlled by the Livanos family, which provides travel services to GasLog's directors and officers.</w:t>
      </w:r>
    </w:p>
    <w:p>
      <w:pPr>
        <w:spacing w:after="0" w:line="122" w:lineRule="exact"/>
        <w:rPr>
          <w:rFonts w:ascii="Arial" w:cs="Arial" w:eastAsia="Arial" w:hAnsi="Arial"/>
          <w:sz w:val="11"/>
          <w:szCs w:val="11"/>
          <w:color w:val="auto"/>
        </w:rPr>
      </w:pPr>
    </w:p>
    <w:p>
      <w:pPr>
        <w:ind w:left="1680" w:right="380" w:hanging="531"/>
        <w:spacing w:after="0" w:line="239" w:lineRule="auto"/>
        <w:tabs>
          <w:tab w:leader="none" w:pos="168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GasLog entered into a consulting agreement for the services of an employee of Ceres Monaco S.A.M., an entity controlled by the Livanos family, for consultancy services in connection with the acquisition of GasLog's shareholding in Gastrade.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 (Continued)</w:t>
      </w:r>
    </w:p>
    <w:p>
      <w:pPr>
        <w:spacing w:after="0" w:line="229" w:lineRule="exact"/>
        <w:rPr>
          <w:sz w:val="20"/>
          <w:szCs w:val="20"/>
          <w:color w:val="auto"/>
        </w:rPr>
      </w:pPr>
    </w:p>
    <w:p>
      <w:pPr>
        <w:ind w:left="1680" w:right="40"/>
        <w:spacing w:after="0" w:line="233" w:lineRule="auto"/>
        <w:rPr>
          <w:sz w:val="20"/>
          <w:szCs w:val="20"/>
          <w:color w:val="auto"/>
        </w:rPr>
      </w:pPr>
      <w:r>
        <w:rPr>
          <w:rFonts w:ascii="Arial" w:cs="Arial" w:eastAsia="Arial" w:hAnsi="Arial"/>
          <w:sz w:val="14"/>
          <w:szCs w:val="14"/>
          <w:color w:val="auto"/>
        </w:rPr>
        <w:t>GasLog agreed to pay a fixed fee for work carried out between May 1, 2016 and December 31, 2017 in the sum of $100 and an ongoing consultancy arrangement fee of $12 per month for a minimum of 12 days per month, terminable upon notice by GasLog. For the year ended December 31, 2016, the amount of $100 was included in the line "Other non-current assets".</w:t>
      </w:r>
    </w:p>
    <w:p>
      <w:pPr>
        <w:spacing w:after="0" w:line="179" w:lineRule="exact"/>
        <w:rPr>
          <w:sz w:val="20"/>
          <w:szCs w:val="20"/>
          <w:color w:val="auto"/>
        </w:rPr>
      </w:pPr>
    </w:p>
    <w:p>
      <w:pPr>
        <w:ind w:left="1680" w:hanging="531"/>
        <w:spacing w:after="0"/>
        <w:tabs>
          <w:tab w:leader="none" w:pos="1680" w:val="left"/>
        </w:tabs>
        <w:numPr>
          <w:ilvl w:val="0"/>
          <w:numId w:val="131"/>
        </w:numPr>
        <w:rPr>
          <w:rFonts w:ascii="Arial" w:cs="Arial" w:eastAsia="Arial" w:hAnsi="Arial"/>
          <w:sz w:val="11"/>
          <w:szCs w:val="11"/>
          <w:color w:val="auto"/>
        </w:rPr>
      </w:pPr>
      <w:r>
        <w:rPr>
          <w:rFonts w:ascii="Arial" w:cs="Arial" w:eastAsia="Arial" w:hAnsi="Arial"/>
          <w:sz w:val="14"/>
          <w:szCs w:val="14"/>
          <w:color w:val="auto"/>
        </w:rPr>
        <w:t>Blenheim Holdings Ltd. that is controlled by Ceres Shipping (Note 1), requested reimbursement of professional expenses provided in 2015.</w:t>
      </w:r>
    </w:p>
    <w:p>
      <w:pPr>
        <w:spacing w:after="0" w:line="122" w:lineRule="exact"/>
        <w:rPr>
          <w:rFonts w:ascii="Arial" w:cs="Arial" w:eastAsia="Arial" w:hAnsi="Arial"/>
          <w:sz w:val="11"/>
          <w:szCs w:val="11"/>
          <w:color w:val="auto"/>
        </w:rPr>
      </w:pPr>
    </w:p>
    <w:p>
      <w:pPr>
        <w:jc w:val="both"/>
        <w:ind w:left="1680" w:right="100" w:hanging="531"/>
        <w:spacing w:after="0" w:line="233" w:lineRule="auto"/>
        <w:tabs>
          <w:tab w:leader="none" w:pos="1680" w:val="left"/>
        </w:tabs>
        <w:numPr>
          <w:ilvl w:val="0"/>
          <w:numId w:val="131"/>
        </w:numPr>
        <w:rPr>
          <w:rFonts w:ascii="Arial" w:cs="Arial" w:eastAsia="Arial" w:hAnsi="Arial"/>
          <w:sz w:val="11"/>
          <w:szCs w:val="11"/>
          <w:color w:val="auto"/>
        </w:rPr>
      </w:pPr>
      <w:r>
        <w:rPr>
          <w:rFonts w:ascii="Arial" w:cs="Arial" w:eastAsia="Arial" w:hAnsi="Arial"/>
          <w:sz w:val="14"/>
          <w:szCs w:val="14"/>
          <w:color w:val="auto"/>
        </w:rPr>
        <w:t>A.S. Papadimitriou and Partners Law Firm, an entity controlled by one of our directors, provided legal services in relation to the legal due diligence process of our investment in Gastrade. In addition to the $15 recognized in profit or loss (December 31, 2016: $73), an amount of $24 was capitalized under "Investment in associates" (December 31, 2016: $56).</w:t>
      </w:r>
    </w:p>
    <w:p>
      <w:pPr>
        <w:spacing w:after="0" w:line="111" w:lineRule="exact"/>
        <w:rPr>
          <w:rFonts w:ascii="Arial" w:cs="Arial" w:eastAsia="Arial" w:hAnsi="Arial"/>
          <w:sz w:val="11"/>
          <w:szCs w:val="11"/>
          <w:color w:val="auto"/>
        </w:rPr>
      </w:pPr>
    </w:p>
    <w:p>
      <w:pPr>
        <w:ind w:left="1680" w:right="280" w:hanging="531"/>
        <w:spacing w:after="0" w:line="288" w:lineRule="auto"/>
        <w:tabs>
          <w:tab w:leader="none" w:pos="1680" w:val="left"/>
        </w:tabs>
        <w:numPr>
          <w:ilvl w:val="0"/>
          <w:numId w:val="131"/>
        </w:numPr>
        <w:rPr>
          <w:rFonts w:ascii="Arial" w:cs="Arial" w:eastAsia="Arial" w:hAnsi="Arial"/>
          <w:sz w:val="10"/>
          <w:szCs w:val="10"/>
          <w:color w:val="auto"/>
        </w:rPr>
      </w:pPr>
      <w:r>
        <w:rPr>
          <w:rFonts w:ascii="Arial" w:cs="Arial" w:eastAsia="Arial" w:hAnsi="Arial"/>
          <w:sz w:val="12"/>
          <w:szCs w:val="12"/>
          <w:color w:val="auto"/>
        </w:rPr>
        <w:t>GasLog recognized gross revenues and total voyage expenses of $38,046 and $9,122, respectively, from the operation of its vessels in the Cool Pool during the year ended December 31, 2017 (December 31, 2016: $19,789 and $3,332, respectively). The aforementioned pool results were further adjusted by a net gain of $7,254 (2016: net loss of $4,674) to include the net allocation from the pool in accordance with the profit sharing terms specified in the Pool Agreement.</w:t>
      </w:r>
    </w:p>
    <w:p>
      <w:pPr>
        <w:spacing w:after="0" w:line="83" w:lineRule="exact"/>
        <w:rPr>
          <w:rFonts w:ascii="Arial" w:cs="Arial" w:eastAsia="Arial" w:hAnsi="Arial"/>
          <w:sz w:val="10"/>
          <w:szCs w:val="10"/>
          <w:color w:val="auto"/>
        </w:rPr>
      </w:pPr>
    </w:p>
    <w:p>
      <w:pPr>
        <w:ind w:left="1680" w:hanging="531"/>
        <w:spacing w:after="0" w:line="278" w:lineRule="auto"/>
        <w:tabs>
          <w:tab w:leader="none" w:pos="1680" w:val="left"/>
        </w:tabs>
        <w:numPr>
          <w:ilvl w:val="0"/>
          <w:numId w:val="131"/>
        </w:numPr>
        <w:rPr>
          <w:rFonts w:ascii="Arial" w:cs="Arial" w:eastAsia="Arial" w:hAnsi="Arial"/>
          <w:sz w:val="10"/>
          <w:szCs w:val="10"/>
          <w:color w:val="auto"/>
        </w:rPr>
      </w:pPr>
      <w:r>
        <w:rPr>
          <w:rFonts w:ascii="Arial" w:cs="Arial" w:eastAsia="Arial" w:hAnsi="Arial"/>
          <w:sz w:val="12"/>
          <w:szCs w:val="12"/>
          <w:color w:val="auto"/>
        </w:rPr>
        <w:t xml:space="preserve">In connection with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in February 2016, GasLog entered into a consulting agreement with Unisea Maritime, under the terms of which GasLog agreed to pay a brokerage commission fee equal to 0.25% of the agreed charter rates under the sale and leaseback transaction plus reasonable expenses (incurred in line with the Group policies). The brokerage commission fee of $430 was paid in advance for the full 20-year period of the bareboat charter, discounted to the date of the agreement at an annual discount rate of 7.5% and was included under "Vessel held under finance 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key management personnel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remuneration of directors and key management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500" w:type="dxa"/>
            <w:vAlign w:val="bottom"/>
            <w:gridSpan w:val="6"/>
          </w:tcPr>
          <w:p>
            <w:pPr>
              <w:jc w:val="center"/>
              <w:ind w:left="319"/>
              <w:spacing w:after="0"/>
              <w:rPr>
                <w:sz w:val="20"/>
                <w:szCs w:val="20"/>
                <w:color w:val="auto"/>
              </w:rPr>
            </w:pPr>
            <w:r>
              <w:rPr>
                <w:rFonts w:ascii="Arial" w:cs="Arial" w:eastAsia="Arial" w:hAnsi="Arial"/>
                <w:sz w:val="14"/>
                <w:szCs w:val="14"/>
                <w:b w:val="1"/>
                <w:bCs w:val="1"/>
                <w:color w:val="auto"/>
                <w:w w:val="87"/>
              </w:rPr>
              <w:t>For the year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Remuneration</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6,627</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6,117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7,603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Short-term benefits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Expense recognized in respect of share-based compensation</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1,821</w:t>
            </w:r>
          </w:p>
        </w:tc>
      </w:tr>
      <w:tr>
        <w:trPr>
          <w:trHeight w:val="210"/>
        </w:trPr>
        <w:tc>
          <w:tcPr>
            <w:tcW w:w="5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9,530</w:t>
            </w:r>
          </w:p>
        </w:tc>
        <w:tc>
          <w:tcPr>
            <w:tcW w:w="16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Incentive Compensation Plan</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May 17, 2013, April 1, 2014, April 1, 2015, April 1, 2016 and April 3, 2017, GasLog granted to executives, managers and certain employees of the Group, Restricted Stock Units ("RSUs") and Stock Appreciation Rights or Stock Options (collectively, the "SARs") in accordance with its 2013 Omnibus Incentive Compensation Plan (the "Plan"). The RSUs vest three years after the grant dates while the SARs vest incrementally with one-third of the SARs vesting on each of the three anniversaries of the grant dates. The compensation cost for the SARs is recognized on an accelerated basis as though each separate vesting portion of the SARs is a separate award. Prior to the exercise date the holders of the awards have no voting rights. In addition, the holders of the awards granted in 2013 and 2014 are not entitled to dividends or other distributions.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aforementioned awards are presented in the following table: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Fair value at</w:t>
            </w:r>
          </w:p>
        </w:tc>
        <w:tc>
          <w:tcPr>
            <w:tcW w:w="0" w:type="dxa"/>
            <w:vAlign w:val="bottom"/>
          </w:tcPr>
          <w:p>
            <w:pPr>
              <w:spacing w:after="0"/>
              <w:rPr>
                <w:sz w:val="1"/>
                <w:szCs w:val="1"/>
                <w:color w:val="auto"/>
              </w:rPr>
            </w:pPr>
          </w:p>
        </w:tc>
      </w:tr>
      <w:tr>
        <w:trPr>
          <w:trHeight w:val="161"/>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Awards</w:t>
            </w: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Grant date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Expiry date</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 price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5"/>
              </w:rPr>
              <w:t>RSUs</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17, 2013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tcPr>
          <w:p>
            <w:pPr>
              <w:jc w:val="right"/>
              <w:spacing w:after="0"/>
              <w:rPr>
                <w:sz w:val="20"/>
                <w:szCs w:val="20"/>
                <w:color w:val="auto"/>
              </w:rPr>
            </w:pPr>
            <w:r>
              <w:rPr>
                <w:rFonts w:ascii="Arial" w:cs="Arial" w:eastAsia="Arial" w:hAnsi="Arial"/>
                <w:sz w:val="18"/>
                <w:szCs w:val="18"/>
                <w:color w:val="auto"/>
              </w:rPr>
              <w:t>325,943</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May 17, 2013</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April 29, 2023</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$13.26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tcPr>
          <w:p>
            <w:pPr>
              <w:jc w:val="right"/>
              <w:spacing w:after="0"/>
              <w:rPr>
                <w:sz w:val="20"/>
                <w:szCs w:val="20"/>
                <w:color w:val="auto"/>
              </w:rPr>
            </w:pPr>
            <w:r>
              <w:rPr>
                <w:rFonts w:ascii="Arial" w:cs="Arial" w:eastAsia="Arial" w:hAnsi="Arial"/>
                <w:sz w:val="18"/>
                <w:szCs w:val="18"/>
                <w:color w:val="auto"/>
              </w:rPr>
              <w:t>286,746</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March 31, 2024</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tcPr>
          <w:p>
            <w:pPr>
              <w:jc w:val="right"/>
              <w:spacing w:after="0"/>
              <w:rPr>
                <w:sz w:val="20"/>
                <w:szCs w:val="20"/>
                <w:color w:val="auto"/>
              </w:rPr>
            </w:pPr>
            <w:r>
              <w:rPr>
                <w:rFonts w:ascii="Arial" w:cs="Arial" w:eastAsia="Arial" w:hAnsi="Arial"/>
                <w:sz w:val="18"/>
                <w:szCs w:val="18"/>
                <w:color w:val="auto"/>
              </w:rPr>
              <w:t>305,859</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2015</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March 31, 2025</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$19.48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212,837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tcPr>
          <w:p>
            <w:pPr>
              <w:jc w:val="right"/>
              <w:spacing w:after="0"/>
              <w:rPr>
                <w:sz w:val="20"/>
                <w:szCs w:val="20"/>
                <w:color w:val="auto"/>
              </w:rPr>
            </w:pPr>
            <w:r>
              <w:rPr>
                <w:rFonts w:ascii="Arial" w:cs="Arial" w:eastAsia="Arial" w:hAnsi="Arial"/>
                <w:sz w:val="18"/>
                <w:szCs w:val="18"/>
                <w:color w:val="auto"/>
              </w:rPr>
              <w:t>848,981</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2016</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March 31, 2026</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$9.28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3, 2017</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tcPr>
          <w:p>
            <w:pPr>
              <w:jc w:val="right"/>
              <w:spacing w:after="0"/>
              <w:rPr>
                <w:sz w:val="20"/>
                <w:szCs w:val="20"/>
                <w:color w:val="auto"/>
              </w:rPr>
            </w:pPr>
            <w:r>
              <w:rPr>
                <w:rFonts w:ascii="Arial" w:cs="Arial" w:eastAsia="Arial" w:hAnsi="Arial"/>
                <w:sz w:val="18"/>
                <w:szCs w:val="18"/>
                <w:color w:val="auto"/>
              </w:rPr>
              <w:t>448,045</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April 3, 2017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April 3, 2027</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$15.55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5.0021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fair value of the SARs has been calculated based on the Modified Black-Scholes-Merton method. Expected volatility was based on historical share price volatility for the period since the Group's initial public offering. The expected dividend is based on management's expectations of future payments on the grant date. The significant assumptions used to estimate the fair value of the SARs are set out below:</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Inputs into the model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date share closing price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13.26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200"/>
              <w:spacing w:after="0"/>
              <w:rPr>
                <w:sz w:val="20"/>
                <w:szCs w:val="20"/>
                <w:color w:val="auto"/>
              </w:rPr>
            </w:pPr>
            <w:r>
              <w:rPr>
                <w:rFonts w:ascii="Arial" w:cs="Arial" w:eastAsia="Arial" w:hAnsi="Arial"/>
                <w:sz w:val="18"/>
                <w:szCs w:val="18"/>
                <w:color w:val="auto"/>
                <w:w w:val="79"/>
              </w:rPr>
              <w:t>24.00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9.28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5"/>
              </w:rPr>
              <w:t>29.42%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47.3%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6 years</w:t>
            </w: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6 years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 years</w:t>
            </w: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6 years</w:t>
            </w: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Risk-free interest rate for the period similar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 the expected term</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2.03%</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1.37%</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2013, the fair value of the RSUs in accordance with the Plan was determined by using the grant date closing price of $13.26 per share and adjusting for the effect of the expected dividends to which holders of RSUs are not entitled using a risk-free interest rate of 0.4% for the three years until the expiry of the RSUs, which resulted in a fair value of $11.95 per RSU.</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 (Continued)</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2014, the fair value of the RSUs in accordance with the Plan was determined by using the grant date closing price of $24.00 per share and adjusting for the effect of the expected dividends to which holders of RSUs are not entitled using a risk-free interest rate of 0.91% for the three years until the expiry of the RSUs which resulted in a fair value of $22.58 per RSU.</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2015, 2016 and 2017, the fair value of the RSUs in accordance with the Plan was determined by using the grant date closing price of $19.48, $9.28 and $15.55 per share, respectively, and was not further adjusted since the holders are entitled to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RSUs and SARs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RSUs and SARs is presented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 price at</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Number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the date of</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Aggregate</w:t>
            </w: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awards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RSUs</w:t>
            </w: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216,968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212,837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Vested during the year</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(61,028)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(729)</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368,437</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Vested during the year</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(72,189)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425,702</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SARs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873,228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8.28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4,056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848,981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(8,115)</w:t>
            </w:r>
          </w:p>
        </w:tc>
        <w:tc>
          <w:tcPr>
            <w:tcW w:w="960" w:type="dxa"/>
            <w:vAlign w:val="bottom"/>
          </w:tcPr>
          <w:p>
            <w:pPr>
              <w:jc w:val="right"/>
              <w:spacing w:after="0"/>
              <w:rPr>
                <w:sz w:val="20"/>
                <w:szCs w:val="20"/>
                <w:color w:val="auto"/>
              </w:rPr>
            </w:pPr>
            <w:r>
              <w:rPr>
                <w:rFonts w:ascii="Arial" w:cs="Arial" w:eastAsia="Arial" w:hAnsi="Arial"/>
                <w:sz w:val="18"/>
                <w:szCs w:val="18"/>
                <w:color w:val="auto"/>
              </w:rPr>
              <w:t>13.26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1,713,702</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448,045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(93,265)</w:t>
            </w:r>
          </w:p>
        </w:tc>
        <w:tc>
          <w:tcPr>
            <w:tcW w:w="960" w:type="dxa"/>
            <w:vAlign w:val="bottom"/>
          </w:tcPr>
          <w:p>
            <w:pPr>
              <w:jc w:val="right"/>
              <w:spacing w:after="0"/>
              <w:rPr>
                <w:sz w:val="20"/>
                <w:szCs w:val="20"/>
                <w:color w:val="auto"/>
              </w:rPr>
            </w:pPr>
            <w:r>
              <w:rPr>
                <w:rFonts w:ascii="Arial" w:cs="Arial" w:eastAsia="Arial" w:hAnsi="Arial"/>
                <w:sz w:val="18"/>
                <w:szCs w:val="18"/>
                <w:color w:val="auto"/>
              </w:rPr>
              <w:t>11.06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2,031,279</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14.59</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958,322 SARs have vested but not been exercised.</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April 1, 2015, April 1, 2016 and April 3, 2017, GasLog Partners granted to its executives Restricted Common Units ("RCUs") and Performance Common Units ("PCUs") in accordance with its 2015 Long-Term Incentive Plan (the "GasLog Partners' Plan"). The RCUs and PCUs will vest three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 (Continued)</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will be settled on vesting.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aforementioned awards are presented in the following table: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Fair value at</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Grant date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Expiry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3"/>
              </w:rPr>
              <w:t>RCUs</w:t>
            </w:r>
          </w:p>
        </w:tc>
        <w:tc>
          <w:tcPr>
            <w:tcW w:w="3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April 1, 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April 1, 2015</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1, 2016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April 1, 2016</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 2017</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April 3, 2017</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the RCUs and PCUs granted in 2015, 2016 and 2017 was determined by using the grant date closing price of $24.12, $16.45 and $23.85 per common unit, respectively, and was not further adjusted since the holders are entitled to cash distribution.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RCUs and PCUs is presented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contractual life</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1,429</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PCUs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16,999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41,924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820</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total expense recognized in respect of share-based compensation for the year ended December 31, 2017 was $4,565 (December 31, 2016: $3,869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$2,872). The total accrued cash distribution as of December 31, 2017 is $814 (December 31, 2016: $353).</w:t>
      </w:r>
    </w:p>
    <w:p>
      <w:pPr>
        <w:spacing w:after="0" w:line="213"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31" w:lineRule="exact"/>
        <w:rPr>
          <w:rFonts w:ascii="Arial" w:cs="Arial" w:eastAsia="Arial" w:hAnsi="Arial"/>
          <w:sz w:val="18"/>
          <w:szCs w:val="18"/>
          <w:b w:val="1"/>
          <w:bCs w:val="1"/>
          <w:color w:val="auto"/>
        </w:rPr>
      </w:pPr>
    </w:p>
    <w:p>
      <w:pPr>
        <w:ind w:left="680" w:hanging="321"/>
        <w:spacing w:after="0"/>
        <w:tabs>
          <w:tab w:leader="none" w:pos="6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On December 31, 2017 the Group had the following commitments as lessee relating to buildings under operating leases: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More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3,276</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rental expense relating to operating leases for the year ended December 31, 2017 was $1,525 (December 31, 2016: $1,527 and December 31, 2015: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$1,493).</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31" w:lineRule="exact"/>
        <w:rPr>
          <w:rFonts w:ascii="Arial" w:cs="Arial" w:eastAsia="Arial" w:hAnsi="Arial"/>
          <w:sz w:val="18"/>
          <w:szCs w:val="18"/>
          <w:b w:val="1"/>
          <w:bCs w:val="1"/>
          <w:color w:val="auto"/>
        </w:rPr>
      </w:pPr>
    </w:p>
    <w:p>
      <w:pPr>
        <w:ind w:left="700" w:hanging="341"/>
        <w:spacing w:after="0"/>
        <w:tabs>
          <w:tab w:leader="none" w:pos="7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Commitments relating to the vessels under construction (Note 6) on December 31, 2017 payable to Samsung and Hyundai were as follows: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553,812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328,798</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882,610</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1"/>
        <w:spacing w:after="0" w:line="318" w:lineRule="auto"/>
        <w:rPr>
          <w:sz w:val="20"/>
          <w:szCs w:val="20"/>
          <w:color w:val="auto"/>
        </w:rPr>
      </w:pPr>
      <w:r>
        <w:rPr>
          <w:rFonts w:ascii="Arial" w:cs="Arial" w:eastAsia="Arial" w:hAnsi="Arial"/>
          <w:sz w:val="15"/>
          <w:szCs w:val="15"/>
          <w:color w:val="auto"/>
        </w:rPr>
        <w:t>Also, pursuant to a Heads of Agreement entered into by GAS-twenty two Ltd. and GAS-twenty three Ltd. with Methane Services Limited ("MSL"), a subsidiary of Shell, on March 8, 2016, the GasLog entities declared their options with Samsung to install reliquefaction plants on board the vessels. MSL agreed to reimburse 50% of such cost per vessel, resulting in an aggregate commitment to pay $3,200 per vessel to GasLog after the installation has been completed. In the event the reliquefaction plants do not meet certain specified performance criteria during operation, GasLog will have a liability to pay a daily compensation amount per vessel which will in whole or in part be met by the liabilities of the manufacturers for failure to meet the specified performance criteria.</w:t>
      </w:r>
    </w:p>
    <w:p>
      <w:pPr>
        <w:spacing w:after="0" w:line="154" w:lineRule="exact"/>
        <w:rPr>
          <w:sz w:val="20"/>
          <w:szCs w:val="20"/>
          <w:color w:val="auto"/>
        </w:rPr>
      </w:pPr>
    </w:p>
    <w:p>
      <w:pPr>
        <w:ind w:right="100" w:firstLine="359"/>
        <w:spacing w:after="0" w:line="306" w:lineRule="auto"/>
        <w:tabs>
          <w:tab w:leader="none" w:pos="6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Future gross minimum revenues receivable upon collection of hire under non-cancellable time charter agreements for vessels in operation as of December 31, 2017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442,976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662,888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364,510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386,121</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1,856,495</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Future gross minimum lease revenues disclosed in the above table excludes the revenues of the vessels that are under construction as of December 31, 2017 (Note 6). For these vessels, the following charter party agreements have been signed:</w:t>
      </w:r>
    </w:p>
    <w:p>
      <w:pPr>
        <w:spacing w:after="0" w:line="199" w:lineRule="exact"/>
        <w:rPr>
          <w:sz w:val="20"/>
          <w:szCs w:val="20"/>
          <w:color w:val="auto"/>
        </w:rPr>
      </w:pPr>
    </w:p>
    <w:p>
      <w:pPr>
        <w:ind w:left="10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April 2015, GAS-twenty two Ltd., GAS-twenty three Ltd. and GAS-twenty four Ltd. signed time charter agreements with a subsidiary of Royal Dutch Shell plc ("Shell") for the employment of the respective owned vessels for average initial terms of approximately 9.5 years, which were amended to commence between early 2018 and early 2019.</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44" w:lineRule="exact"/>
        <w:rPr>
          <w:rFonts w:ascii="Arial" w:cs="Arial" w:eastAsia="Arial" w:hAnsi="Arial"/>
          <w:sz w:val="18"/>
          <w:szCs w:val="18"/>
          <w:b w:val="1"/>
          <w:bCs w:val="1"/>
          <w:color w:val="auto"/>
        </w:rPr>
      </w:pPr>
    </w:p>
    <w:p>
      <w:pPr>
        <w:ind w:left="1080" w:hanging="532"/>
        <w:spacing w:after="0" w:line="268" w:lineRule="auto"/>
        <w:tabs>
          <w:tab w:leader="none" w:pos="108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July 2016, GAS-twenty five Ltd. signed a time charter agreement with Total Gas &amp; Power Chartering Limited for the employment of its owned vessel for a period of seven years, commencing in the first quarter of 2018.</w:t>
      </w:r>
    </w:p>
    <w:p>
      <w:pPr>
        <w:spacing w:after="0" w:line="212" w:lineRule="exact"/>
        <w:rPr>
          <w:rFonts w:ascii="Arial" w:cs="Arial" w:eastAsia="Arial" w:hAnsi="Arial"/>
          <w:sz w:val="18"/>
          <w:szCs w:val="18"/>
          <w:color w:val="auto"/>
        </w:rPr>
      </w:pPr>
    </w:p>
    <w:p>
      <w:pPr>
        <w:ind w:left="1080" w:right="40" w:hanging="532"/>
        <w:spacing w:after="0" w:line="298" w:lineRule="auto"/>
        <w:tabs>
          <w:tab w:leader="none" w:pos="1080" w:val="left"/>
        </w:tabs>
        <w:numPr>
          <w:ilvl w:val="2"/>
          <w:numId w:val="136"/>
        </w:numPr>
        <w:rPr>
          <w:rFonts w:ascii="Arial" w:cs="Arial" w:eastAsia="Arial" w:hAnsi="Arial"/>
          <w:sz w:val="16"/>
          <w:szCs w:val="16"/>
          <w:color w:val="auto"/>
        </w:rPr>
      </w:pPr>
      <w:r>
        <w:rPr>
          <w:rFonts w:ascii="Arial" w:cs="Arial" w:eastAsia="Arial" w:hAnsi="Arial"/>
          <w:sz w:val="16"/>
          <w:szCs w:val="16"/>
          <w:color w:val="auto"/>
        </w:rPr>
        <w:t>In October 2016, GAS-twenty eight Ltd., signed an agreement with Pioneer Shipping Limited, a wholly owned subsidiary of Centrica plc ("Centrica") for its newbuilding Hull No. 2212 to be chartered to Centrica upon delivery in 2019 for an initial term of seven years. However, in December 2017, GasLog amended the shipbuilding contract for newbuilding Hull No. 2212 such that it becomes the GasLog uncommitted vessel and newbuilding Hull No. 2213 becomes the committed Centrica vessel. The charter will now commence in the second quarter of 2020.</w:t>
      </w:r>
    </w:p>
    <w:p>
      <w:pPr>
        <w:spacing w:after="0" w:line="166" w:lineRule="exact"/>
        <w:rPr>
          <w:rFonts w:ascii="Arial" w:cs="Arial" w:eastAsia="Arial" w:hAnsi="Arial"/>
          <w:sz w:val="16"/>
          <w:szCs w:val="16"/>
          <w:color w:val="auto"/>
        </w:rPr>
      </w:pPr>
    </w:p>
    <w:p>
      <w:pPr>
        <w:jc w:val="both"/>
        <w:ind w:right="80" w:firstLine="359"/>
        <w:spacing w:after="0" w:line="259" w:lineRule="auto"/>
        <w:tabs>
          <w:tab w:leader="none" w:pos="6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April and May 2017, GasLog LNG Services Ltd. entered into agreements in relation to some of the Group's vessels, with the aim of enhancing their operational performance. Commitments relating to these agreements, without including additional estimated costs for which no agreement had been signed as of December 31, 2017, are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25,189</w:t>
            </w:r>
          </w:p>
        </w:tc>
        <w:tc>
          <w:tcPr>
            <w:tcW w:w="14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9"/>
        <w:spacing w:after="0" w:line="335" w:lineRule="auto"/>
        <w:tabs>
          <w:tab w:leader="none" w:pos="67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Related to the acquisition of six vessels from a subsidiary of MSL in 2014 and another two vessels in 2015, the Group is committed to purchase depot spares from MSL with an aggregate value of $8,000 of which depot spares with value $660 have been purchased and paid as of December 31, 2017 and are included in Tangible fixed assets (Note 6). The remaining spares are expected to be acquired before the end of the initial term of the charter party agreements.</w:t>
      </w:r>
    </w:p>
    <w:p>
      <w:pPr>
        <w:spacing w:after="0" w:line="142" w:lineRule="exact"/>
        <w:rPr>
          <w:rFonts w:ascii="Arial" w:cs="Arial" w:eastAsia="Arial" w:hAnsi="Arial"/>
          <w:sz w:val="15"/>
          <w:szCs w:val="15"/>
          <w:color w:val="auto"/>
        </w:rPr>
      </w:pPr>
    </w:p>
    <w:p>
      <w:pPr>
        <w:ind w:right="40" w:firstLine="359"/>
        <w:spacing w:after="0" w:line="256" w:lineRule="auto"/>
        <w:tabs>
          <w:tab w:leader="none" w:pos="70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November 2, 2015, a letter agreement between GasLog and MSL was signed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and/or modifications of existing vessels as agreed between the parties. As of December 31, 2017, the outstanding commitment is $1,292.</w:t>
      </w:r>
    </w:p>
    <w:p>
      <w:pPr>
        <w:spacing w:after="0" w:line="197" w:lineRule="exact"/>
        <w:rPr>
          <w:rFonts w:ascii="Arial" w:cs="Arial" w:eastAsia="Arial" w:hAnsi="Arial"/>
          <w:sz w:val="18"/>
          <w:szCs w:val="18"/>
          <w:color w:val="auto"/>
        </w:rPr>
      </w:pPr>
    </w:p>
    <w:p>
      <w:pPr>
        <w:ind w:firstLine="359"/>
        <w:spacing w:after="0" w:line="255" w:lineRule="auto"/>
        <w:tabs>
          <w:tab w:leader="none" w:pos="68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October 11, 2016, GasLog LNG Services Ltd. entered into an agreement whereby it has access to all long lead items ("LLIs") necessary for the conversion of a GasLog LNG carrier vessel into an FSRU whereby such conversion work would be undertaken by Keppel.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31" w:lineRule="exact"/>
        <w:rPr>
          <w:rFonts w:ascii="Arial" w:cs="Arial" w:eastAsia="Arial" w:hAnsi="Arial"/>
          <w:sz w:val="18"/>
          <w:szCs w:val="18"/>
          <w:b w:val="1"/>
          <w:bCs w:val="1"/>
          <w:color w:val="auto"/>
        </w:rPr>
      </w:pPr>
    </w:p>
    <w:p>
      <w:pPr>
        <w:ind w:right="640" w:firstLine="359"/>
        <w:spacing w:after="0" w:line="268" w:lineRule="auto"/>
        <w:tabs>
          <w:tab w:leader="none" w:pos="6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On July 10, 2017, GasLog entered into an agreement with Keppel for the detailed engineering in relation to an FSRU conversion of one vessel. Commitment relating to this agreement as of December 31, 2017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3,787</w:t>
            </w:r>
          </w:p>
        </w:tc>
        <w:tc>
          <w:tcPr>
            <w:tcW w:w="14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9"/>
        <w:spacing w:after="0" w:line="298" w:lineRule="auto"/>
        <w:tabs>
          <w:tab w:leader="none" w:pos="69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On September 27, 2017 (and in addition to the seven existing maintenance agreements signed in 2014 in relation to GasLog vessels), GasLog LNG Services Ltd. entered into further maintenance agreements with Wartsila Greece S.A. ("Wartsila") in respect of eight GasLog LNG carriers. The agreements cover the renewal of existing maintenance agreements on four GasLog vessels and extend the servicing to four additional LNG carriers. The agreements ensure dynamic maintenance planning, technical support, security of spare parts supply, specialist technical personnel and performance monitoring.</w:t>
      </w:r>
    </w:p>
    <w:p>
      <w:pPr>
        <w:spacing w:after="0" w:line="166" w:lineRule="exact"/>
        <w:rPr>
          <w:rFonts w:ascii="Arial" w:cs="Arial" w:eastAsia="Arial" w:hAnsi="Arial"/>
          <w:sz w:val="16"/>
          <w:szCs w:val="16"/>
          <w:color w:val="auto"/>
        </w:rPr>
      </w:pPr>
    </w:p>
    <w:p>
      <w:pPr>
        <w:ind w:left="700" w:hanging="341"/>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 Guarantees: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GasLog LNG Services Ltd. has provided bank guarantees as follows:</w:t>
      </w:r>
    </w:p>
    <w:p>
      <w:pPr>
        <w:spacing w:after="0" w:line="239" w:lineRule="exact"/>
        <w:rPr>
          <w:sz w:val="20"/>
          <w:szCs w:val="20"/>
          <w:color w:val="auto"/>
        </w:rPr>
      </w:pPr>
    </w:p>
    <w:p>
      <w:pPr>
        <w:ind w:left="1080" w:hanging="532"/>
        <w:spacing w:after="0"/>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Up to $500 to third parties relating to the satisfactory performance of its ship management activities;</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Bank guarantee of $10 to the Greek Ministry of Finance relating to the satisfactory performance of the obligations arising under Greek laws 89/1967, 378/1968 as amended by law 814/1978.</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31"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The Group is subject to market risks relating to changes in interest rates because it has floating rate debt outstanding.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increases in interest rates could adversely affect the Group's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2017, the Group has economically hedged 53.92% of its variable rate interest exposure relating to its existing loan facilities and the bonds by swapping the variable rate to a fixed rate (December 31, 2016: 37.77%).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Financial Risk Management (Continued)</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aggregate principal amount of our outstanding floating rate debt as of December 31, 2017 was $1,077,016. As an indication of the extent of our sensitivity to interest rate changes, an increase in LIBOR by 10 basis points would increase the interest expense on the un-hedged portion of the Group's loans by approximately $1,264 (December 31, 2016: $1,433 and December 31, 2015: $1,315).</w:t>
      </w:r>
    </w:p>
    <w:p>
      <w:pPr>
        <w:spacing w:after="0" w:line="194" w:lineRule="exact"/>
        <w:rPr>
          <w:sz w:val="20"/>
          <w:szCs w:val="20"/>
          <w:color w:val="auto"/>
        </w:rPr>
      </w:pPr>
    </w:p>
    <w:p>
      <w:pPr>
        <w:ind w:left="360"/>
        <w:spacing w:after="0"/>
        <w:tabs>
          <w:tab w:leader="none" w:pos="2840" w:val="left"/>
        </w:tabs>
        <w:rPr>
          <w:sz w:val="20"/>
          <w:szCs w:val="20"/>
          <w:color w:val="auto"/>
        </w:rPr>
      </w:pPr>
      <w:r>
        <w:rPr>
          <w:rFonts w:ascii="Arial" w:cs="Arial" w:eastAsia="Arial" w:hAnsi="Arial"/>
          <w:sz w:val="18"/>
          <w:szCs w:val="18"/>
          <w:b w:val="1"/>
          <w:bCs w:val="1"/>
          <w:i w:val="1"/>
          <w:iCs w:val="1"/>
          <w:color w:val="auto"/>
        </w:rPr>
        <w:t>Interest rate sensitivity analysis:</w:t>
      </w:r>
      <w:r>
        <w:rPr>
          <w:sz w:val="20"/>
          <w:szCs w:val="20"/>
          <w:color w:val="auto"/>
        </w:rPr>
        <w:tab/>
      </w:r>
      <w:r>
        <w:rPr>
          <w:rFonts w:ascii="Arial" w:cs="Arial" w:eastAsia="Arial" w:hAnsi="Arial"/>
          <w:sz w:val="15"/>
          <w:szCs w:val="15"/>
          <w:color w:val="auto"/>
        </w:rPr>
        <w:t>The fair value of the interest rate swaps as of December 31, 2017 was estimated as a net asset of $10,325 (December 31,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2016: net asset of $1,796). The effective movement in the fair value of the interest rate swaps designated as cash flow hedging instruments (Note 25) amounting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$0 (December 31, 2016: $4,922 loss and December 31, 2015: $979 loss) was recognized directly in equity.</w:t>
      </w:r>
    </w:p>
    <w:p>
      <w:pPr>
        <w:spacing w:after="0" w:line="219"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2017, if interest rates had increased or decreased by 10 basis points with all other variables held constant, the positive/(negative) impact, respectively, on the fair value of the interest rate and cross currency swaps would have amounted to $4,724 (December 31, 2016: $4,526 and December 31, 2015: $3,349). This amount would have affected other comprehensive income by $308 (December 31, 2016: $499 and December 31, 2015: $1,483) and the gain/loss on swaps by $4,416 (December 31, 2016: $4,027 and December 31, 2015: $1,866).</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Other price risk: </w:t>
      </w:r>
      <w:r>
        <w:rPr>
          <w:rFonts w:ascii="Arial" w:cs="Arial" w:eastAsia="Arial" w:hAnsi="Arial"/>
          <w:sz w:val="18"/>
          <w:szCs w:val="18"/>
          <w:color w:val="auto"/>
        </w:rPr>
        <w:t>The decrease in the fair value of Egypt LNG Shipping Ltd., in response to unfavorable market conditions resulting in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rates and vessel values, could negatively impact the value of the Group's investment in associate. Therefore, management might conclude that impairment is necessary in the future.</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 fluctuate due to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exchange rates. 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Euros ("EUR"). Specifically, for the year ended December 31, 2017, approximately $87,400 of the operating and administrative expenses were denominated in EUR (December 31, 2016: $85,777 and December 31, 2015: $78,131). As of December 31, 2017, approximately $14,743 of the Group's outstanding trade payables and accruals were denominated in EUR (December 31, 2016: $12,799).</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Group has entered into cross currency swaps (Note 25) to hedge its currency exposure from the NOK 2021 Bonds and forward foreign exchange contracts to hedge its currency exposure from payments in EUR and GBP. In addition, management monitors the exchange rate fluctuations on a continuous basis. As an indication of the extent of the Group's sensitivity to changes in exchange rate, a 10% increase in the average EUR/USD exchange rate would have decreased the Group's profit and cash flows during the year ended December 31, 2017 by $8,740, based upon its expenses during the year (December 31, 2016: $8,578 and December 31, 2015: $7,813).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Financial Risk Management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 The Group is not significantly exposed to liquidity risk resulting from the commitments under the vessel construction contracts as bank facilities have been contracted to meet a significant proportion of the obligations.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tables detail the Group's expected cash flows for its non-derivative financial liabilities. The tables have been drawn up based on the undiscounted cash flows of financial liabilities based on the earliest date on which the Group can be required to pay. The table includes both interest and principal cash flows. Variable future interest payments were determined based on an average LIBOR plus the margins applicable to the Group's loans at the end of each year presented.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effective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82"/>
              </w:rPr>
              <w:t>Less than</w:t>
            </w:r>
          </w:p>
        </w:tc>
        <w:tc>
          <w:tcPr>
            <w:tcW w:w="780" w:type="dxa"/>
            <w:vAlign w:val="bottom"/>
            <w:gridSpan w:val="2"/>
          </w:tcPr>
          <w:p>
            <w:pPr>
              <w:jc w:val="right"/>
              <w:ind w:right="95"/>
              <w:spacing w:after="0" w:line="149" w:lineRule="exact"/>
              <w:rPr>
                <w:sz w:val="20"/>
                <w:szCs w:val="20"/>
                <w:color w:val="auto"/>
              </w:rPr>
            </w:pPr>
            <w:r>
              <w:rPr>
                <w:rFonts w:ascii="Arial" w:cs="Arial" w:eastAsia="Arial" w:hAnsi="Arial"/>
                <w:sz w:val="14"/>
                <w:szCs w:val="14"/>
                <w:b w:val="1"/>
                <w:bCs w:val="1"/>
                <w:color w:val="auto"/>
              </w:rPr>
              <w:t>1 - 3</w:t>
            </w:r>
          </w:p>
        </w:tc>
        <w:tc>
          <w:tcPr>
            <w:tcW w:w="860" w:type="dxa"/>
            <w:vAlign w:val="bottom"/>
            <w:gridSpan w:val="2"/>
          </w:tcPr>
          <w:p>
            <w:pPr>
              <w:jc w:val="right"/>
              <w:ind w:right="115"/>
              <w:spacing w:after="0" w:line="149" w:lineRule="exact"/>
              <w:rPr>
                <w:sz w:val="20"/>
                <w:szCs w:val="20"/>
                <w:color w:val="auto"/>
              </w:rPr>
            </w:pPr>
            <w:r>
              <w:rPr>
                <w:rFonts w:ascii="Arial" w:cs="Arial" w:eastAsia="Arial" w:hAnsi="Arial"/>
                <w:sz w:val="14"/>
                <w:szCs w:val="14"/>
                <w:b w:val="1"/>
                <w:bCs w:val="1"/>
                <w:color w:val="auto"/>
              </w:rPr>
              <w:t>3 - 12</w:t>
            </w:r>
          </w:p>
        </w:tc>
        <w:tc>
          <w:tcPr>
            <w:tcW w:w="1000" w:type="dxa"/>
            <w:vAlign w:val="bottom"/>
            <w:gridSpan w:val="2"/>
          </w:tcPr>
          <w:p>
            <w:pPr>
              <w:jc w:val="right"/>
              <w:ind w:right="214"/>
              <w:spacing w:after="0" w:line="149" w:lineRule="exact"/>
              <w:rPr>
                <w:sz w:val="20"/>
                <w:szCs w:val="20"/>
                <w:color w:val="auto"/>
              </w:rPr>
            </w:pPr>
            <w:r>
              <w:rPr>
                <w:rFonts w:ascii="Arial" w:cs="Arial" w:eastAsia="Arial" w:hAnsi="Arial"/>
                <w:sz w:val="14"/>
                <w:szCs w:val="14"/>
                <w:b w:val="1"/>
                <w:bCs w:val="1"/>
                <w:color w:val="auto"/>
              </w:rPr>
              <w:t>1 - 5</w:t>
            </w:r>
          </w:p>
        </w:tc>
        <w:tc>
          <w:tcPr>
            <w:tcW w:w="880" w:type="dxa"/>
            <w:vAlign w:val="bottom"/>
            <w:gridSpan w:val="2"/>
          </w:tcPr>
          <w:p>
            <w:pPr>
              <w:jc w:val="right"/>
              <w:ind w:right="214"/>
              <w:spacing w:after="0" w:line="149" w:lineRule="exact"/>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interest 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1 month</w:t>
            </w:r>
          </w:p>
        </w:tc>
        <w:tc>
          <w:tcPr>
            <w:tcW w:w="16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months</w:t>
            </w:r>
          </w:p>
        </w:tc>
        <w:tc>
          <w:tcPr>
            <w:tcW w:w="16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months</w:t>
            </w:r>
          </w:p>
        </w:tc>
        <w:tc>
          <w:tcPr>
            <w:tcW w:w="18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w w:val="93"/>
              </w:rPr>
              <w:t>Trade and other accounts payable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7,189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payables and accruals*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26,130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55,864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21,063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158,831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2,231,522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454,020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2,901,320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NOK Bonds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164,255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Finance lease liability</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71,443</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253,240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52,311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183,401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2,467,573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708,036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3,483,718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00" w:type="dxa"/>
            <w:vAlign w:val="bottom"/>
            <w:gridSpan w:val="3"/>
            <w:vMerge w:val="continue"/>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Trade and other accounts payable</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Amounts due to related parties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1,887,806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400,935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Bonds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206,427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255,054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490,727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235,393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108,361</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59,840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192,332</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2,166,255</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892,388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3,419,176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Excludes Unearned revenue as it is not a financial liability.</w:t>
      </w:r>
    </w:p>
    <w:p>
      <w:pPr>
        <w:spacing w:after="0" w:line="20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Financial Risk Management (Continued)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tables detail the Group's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derivatives.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Less than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 month</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1 - 3 months</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3 - 12 months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1 - 5 years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5+ years</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5,010</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(5,707)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17,366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(12,602)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Cross currency swaps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(4,863)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(17,465)</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The Group is exposed to credit risk in the event of non-performance by any of its counterparties. To limit this risk, the Group currently deals primarily with financial institutions and customers with high credit ratings.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60" w:type="dxa"/>
            <w:vAlign w:val="bottom"/>
            <w:gridSpan w:val="3"/>
          </w:tcPr>
          <w:p>
            <w:pPr>
              <w:ind w:left="640"/>
              <w:spacing w:after="0"/>
              <w:rPr>
                <w:sz w:val="20"/>
                <w:szCs w:val="20"/>
                <w:color w:val="auto"/>
              </w:rPr>
            </w:pPr>
            <w:r>
              <w:rPr>
                <w:rFonts w:ascii="Arial" w:cs="Arial" w:eastAsia="Arial" w:hAnsi="Arial"/>
                <w:sz w:val="14"/>
                <w:szCs w:val="14"/>
                <w:b w:val="1"/>
                <w:bCs w:val="1"/>
                <w:color w:val="auto"/>
                <w:w w:val="85"/>
              </w:rPr>
              <w:t>As of</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26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227,024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384,092</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Short-term investments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8,666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18,211</w:t>
            </w:r>
          </w:p>
        </w:tc>
      </w:tr>
    </w:tbl>
    <w:p>
      <w:pPr>
        <w:spacing w:after="0" w:line="20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the year ended December 31, 2017, 92.6% of the Group's revenue was earned from Shell. For the year ended December 31, 2016, 94.9% of the Group's revenue was earned from Shell and for the year ended December 31, 2015, 83.1% of the Group's revenue was earned from BG Group and 11.8% from Shell and accounts receivable were not collateralized; however, management believes that the credit risk is partially offset by the creditworthiness of the Group's counterparties. BG Group was acquired by Shell on February 15, 2016. This acquisition does not impact the contractual obligations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Financial Risk Management (Continued)</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under the existing charter party agreements. The Group did not experience significant credit losses on its accounts receivable portfolio during the three years ended December 31, 2017. The carrying amount of financial assets recorded in the consolidated financial statements represents the Group's maximum exposure to credit risk. Management monitors exposure to credit risk, and they believe that there is no substantial credit risk arising from the Group's counterparties.</w:t>
      </w:r>
    </w:p>
    <w:p>
      <w:pPr>
        <w:spacing w:after="0" w:line="16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credit risk on liquid funds and derivative financial instruments is limited because the counterparties are banks with high credit ratings assigned by international credit-rating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Capital Risk Management</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monitors capital using a gearing ratio, which is total debt divided by total equity plus total debt. The gearing ratio is calculated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9"/>
              </w:rPr>
              <w:t>As of</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4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Borrowings, current portion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147,448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179,367</w:t>
            </w:r>
          </w:p>
        </w:tc>
        <w:tc>
          <w:tcPr>
            <w:tcW w:w="32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2,504,578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2,368,189</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liability, current portion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32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22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214,455</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207,126</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2,872,427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2,760,984</w:t>
            </w:r>
          </w:p>
        </w:tc>
        <w:tc>
          <w:tcPr>
            <w:tcW w:w="32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2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1,509,682</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1,763,134</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and equity</w:t>
            </w:r>
          </w:p>
        </w:tc>
        <w:tc>
          <w:tcPr>
            <w:tcW w:w="2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4,382,109</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4,524,118</w:t>
            </w:r>
          </w:p>
        </w:tc>
        <w:tc>
          <w:tcPr>
            <w:tcW w:w="32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Gearing ratio</w:t>
            </w:r>
          </w:p>
        </w:tc>
        <w:tc>
          <w:tcPr>
            <w:tcW w:w="226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11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65.55%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20" w:type="dxa"/>
            <w:vAlign w:val="bottom"/>
            <w:gridSpan w:val="3"/>
          </w:tcPr>
          <w:p>
            <w:pPr>
              <w:jc w:val="right"/>
              <w:ind w:right="2592"/>
              <w:spacing w:after="0"/>
              <w:rPr>
                <w:sz w:val="20"/>
                <w:szCs w:val="20"/>
                <w:color w:val="auto"/>
              </w:rPr>
            </w:pPr>
            <w:r>
              <w:rPr>
                <w:rFonts w:ascii="Arial" w:cs="Arial" w:eastAsia="Arial" w:hAnsi="Arial"/>
                <w:sz w:val="18"/>
                <w:szCs w:val="18"/>
                <w:color w:val="auto"/>
              </w:rPr>
              <w:t>F-64</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Derivative Financial Instruments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derivative assets is as follows:</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rate swaps</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7,856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52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89"/>
              </w:rPr>
              <w:t>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b w:val="1"/>
                <w:bCs w:val="1"/>
                <w:color w:val="auto"/>
                <w:w w:val="94"/>
              </w:rPr>
              <w:t>Derivative assets designated and effective as hedging instruments carried at fair</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60" w:type="dxa"/>
            <w:vAlign w:val="bottom"/>
          </w:tcPr>
          <w:p>
            <w:pPr>
              <w:spacing w:after="0"/>
              <w:rPr>
                <w:sz w:val="19"/>
                <w:szCs w:val="19"/>
                <w:color w:val="auto"/>
              </w:rPr>
            </w:pPr>
          </w:p>
        </w:tc>
        <w:tc>
          <w:tcPr>
            <w:tcW w:w="6520" w:type="dxa"/>
            <w:vAlign w:val="bottom"/>
          </w:tcPr>
          <w:p>
            <w:pPr>
              <w:ind w:left="180"/>
              <w:spacing w:after="0"/>
              <w:rPr>
                <w:sz w:val="20"/>
                <w:szCs w:val="20"/>
                <w:color w:val="auto"/>
              </w:rPr>
            </w:pPr>
            <w:r>
              <w:rPr>
                <w:rFonts w:ascii="Arial" w:cs="Arial" w:eastAsia="Arial" w:hAnsi="Arial"/>
                <w:sz w:val="18"/>
                <w:szCs w:val="18"/>
                <w:b w:val="1"/>
                <w:bCs w:val="1"/>
                <w:color w:val="auto"/>
              </w:rPr>
              <w:t>value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680" w:type="dxa"/>
            <w:vAlign w:val="bottom"/>
            <w:gridSpan w:val="4"/>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4"/>
              </w:rPr>
              <w:t>7,938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assets</w:t>
            </w:r>
          </w:p>
        </w:tc>
        <w:tc>
          <w:tcPr>
            <w:tcW w:w="520" w:type="dxa"/>
            <w:vAlign w:val="bottom"/>
            <w:shd w:val="clear" w:color="auto" w:fill="CCEEFF"/>
          </w:tcPr>
          <w:p>
            <w:pPr>
              <w:jc w:val="center"/>
              <w:ind w:left="257"/>
              <w:spacing w:after="0" w:line="196" w:lineRule="exact"/>
              <w:rPr>
                <w:sz w:val="20"/>
                <w:szCs w:val="20"/>
                <w:color w:val="auto"/>
              </w:rPr>
            </w:pPr>
            <w:r>
              <w:rPr>
                <w:rFonts w:ascii="Arial" w:cs="Arial" w:eastAsia="Arial" w:hAnsi="Arial"/>
                <w:sz w:val="18"/>
                <w:szCs w:val="18"/>
                <w:color w:val="auto"/>
                <w:w w:val="89"/>
              </w:rPr>
              <w:t>82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Derivative financial instruments, non-current assets</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7,856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16,012</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84"/>
              </w:rPr>
              <w:t>7,938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18,211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4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65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1"/>
              </w:rPr>
              <w:t>Derivative liabilities designated and effective as hedging instruments carried at fair</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value</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Cross currency swaps</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w w:val="87"/>
              </w:rPr>
              <w:t>24,279</w:t>
            </w: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rate swaps</w:t>
            </w:r>
          </w:p>
        </w:tc>
        <w:tc>
          <w:tcPr>
            <w:tcW w:w="620" w:type="dxa"/>
            <w:vAlign w:val="bottom"/>
            <w:gridSpan w:val="2"/>
          </w:tcPr>
          <w:p>
            <w:pPr>
              <w:jc w:val="center"/>
              <w:ind w:left="137"/>
              <w:spacing w:after="0"/>
              <w:rPr>
                <w:sz w:val="20"/>
                <w:szCs w:val="20"/>
                <w:color w:val="auto"/>
              </w:rPr>
            </w:pPr>
            <w:r>
              <w:rPr>
                <w:rFonts w:ascii="Arial" w:cs="Arial" w:eastAsia="Arial" w:hAnsi="Arial"/>
                <w:sz w:val="18"/>
                <w:szCs w:val="18"/>
                <w:color w:val="auto"/>
                <w:w w:val="88"/>
              </w:rPr>
              <w:t>6,060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83"/>
              </w:rPr>
              <w:t>30,339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1,815</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1360"/>
              <w:spacing w:after="0"/>
              <w:rPr>
                <w:sz w:val="20"/>
                <w:szCs w:val="20"/>
                <w:color w:val="auto"/>
              </w:rPr>
            </w:pPr>
            <w:r>
              <w:rPr>
                <w:rFonts w:ascii="Arial" w:cs="Arial" w:eastAsia="Arial" w:hAnsi="Arial"/>
                <w:sz w:val="18"/>
                <w:szCs w:val="18"/>
                <w:color w:val="auto"/>
              </w:rPr>
              <w:t>Derivative financial instruments, current liability</w:t>
            </w: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gridSpan w:val="2"/>
            <w:vMerge w:val="continue"/>
          </w:tcPr>
          <w:p>
            <w:pPr>
              <w:spacing w:after="0"/>
              <w:rPr>
                <w:sz w:val="17"/>
                <w:szCs w:val="17"/>
                <w:color w:val="auto"/>
              </w:rPr>
            </w:pPr>
          </w:p>
        </w:tc>
        <w:tc>
          <w:tcPr>
            <w:tcW w:w="620" w:type="dxa"/>
            <w:vAlign w:val="bottom"/>
            <w:gridSpan w:val="2"/>
          </w:tcPr>
          <w:p>
            <w:pPr>
              <w:jc w:val="center"/>
              <w:ind w:left="137"/>
              <w:spacing w:after="0" w:line="196" w:lineRule="exact"/>
              <w:rPr>
                <w:sz w:val="20"/>
                <w:szCs w:val="20"/>
                <w:color w:val="auto"/>
              </w:rPr>
            </w:pPr>
            <w:r>
              <w:rPr>
                <w:rFonts w:ascii="Arial" w:cs="Arial" w:eastAsia="Arial" w:hAnsi="Arial"/>
                <w:sz w:val="18"/>
                <w:szCs w:val="18"/>
                <w:color w:val="auto"/>
                <w:w w:val="88"/>
              </w:rPr>
              <w:t>7,854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87"/>
              </w:rPr>
              <w:t>22,485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3"/>
              </w:rPr>
              <w:t>30,339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 at the respective fixed rates.</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Derivative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2016, the Group terminated the interest rate swap agreements associated with the six legacy facilities that were refinanced by the Legacy Facility Refinancing (Note 13) paying the fair value on the date of termination. The cumulative loss of $12,953 from the period that hedging was effective was recycled to profit or loss during the year ended December 31, 2016.</w:t>
      </w:r>
    </w:p>
    <w:p>
      <w:pPr>
        <w:spacing w:after="0" w:line="194"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As of December 31, 2016 and 2017, there are no derivative financial instruments qualifying as cash flow hedging instruments for accounting purposes. For the years ended December 31, 2016 and 2015, the effective portion of changes in the fair value of derivatives designated as cash flow hedging instruments amounting to a loss of $7,550 and a loss of $7,279, respectively, has been recognized in Other comprehensive income. For the years ended December 31, 2016 and 2015, losses of $2,628 and $6,300, respectively, were recycled to profit or loss representing the realized loss on interest rate swaps in relation to the interest expenses component of the hedge.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Original</w:t>
            </w:r>
          </w:p>
        </w:tc>
        <w:tc>
          <w:tcPr>
            <w:tcW w:w="16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Fixed</w:t>
            </w:r>
          </w:p>
        </w:tc>
        <w:tc>
          <w:tcPr>
            <w:tcW w:w="2220" w:type="dxa"/>
            <w:vAlign w:val="bottom"/>
            <w:gridSpan w:val="4"/>
          </w:tcPr>
          <w:p>
            <w:pPr>
              <w:ind w:left="52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Trade</w:t>
            </w:r>
          </w:p>
        </w:tc>
        <w:tc>
          <w:tcPr>
            <w:tcW w:w="160" w:type="dxa"/>
            <w:vAlign w:val="bottom"/>
          </w:tcPr>
          <w:p>
            <w:pPr>
              <w:spacing w:after="0"/>
              <w:rPr>
                <w:sz w:val="12"/>
                <w:szCs w:val="12"/>
                <w:color w:val="auto"/>
              </w:rPr>
            </w:pPr>
          </w:p>
        </w:tc>
        <w:tc>
          <w:tcPr>
            <w:tcW w:w="82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2"/>
                <w:szCs w:val="12"/>
                <w:color w:val="auto"/>
              </w:rPr>
            </w:pP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Interest</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2160" w:type="dxa"/>
            <w:vAlign w:val="bottom"/>
            <w:gridSpan w:val="2"/>
          </w:tcPr>
          <w:p>
            <w:pPr>
              <w:ind w:left="680"/>
              <w:spacing w:after="0"/>
              <w:rPr>
                <w:sz w:val="20"/>
                <w:szCs w:val="20"/>
                <w:color w:val="auto"/>
              </w:rPr>
            </w:pPr>
            <w:r>
              <w:rPr>
                <w:rFonts w:ascii="Arial" w:cs="Arial" w:eastAsia="Arial" w:hAnsi="Arial"/>
                <w:sz w:val="14"/>
                <w:szCs w:val="14"/>
                <w:b w:val="1"/>
                <w:bCs w:val="1"/>
                <w:color w:val="auto"/>
              </w:rPr>
              <w:t>Counterparty</w:t>
            </w:r>
          </w:p>
        </w:tc>
        <w:tc>
          <w:tcPr>
            <w:tcW w:w="16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Rate</w:t>
            </w: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1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5"/>
              </w:rPr>
              <w:t>GasLog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Deutsche Bank AG</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w w:val="85"/>
              </w:rPr>
              <w:t>July 2021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1.98%</w:t>
            </w:r>
          </w:p>
        </w:tc>
        <w:tc>
          <w:tcPr>
            <w:tcW w:w="940" w:type="dxa"/>
            <w:vAlign w:val="bottom"/>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Deutsche Bank AG</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DNB Bank ASA</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w w:val="85"/>
              </w:rPr>
              <w:t>July 2020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1.784%</w:t>
            </w:r>
          </w:p>
        </w:tc>
        <w:tc>
          <w:tcPr>
            <w:tcW w:w="940" w:type="dxa"/>
            <w:vAlign w:val="bottom"/>
          </w:tcPr>
          <w:p>
            <w:pPr>
              <w:jc w:val="right"/>
              <w:spacing w:after="0"/>
              <w:rPr>
                <w:sz w:val="20"/>
                <w:szCs w:val="20"/>
                <w:color w:val="auto"/>
              </w:rPr>
            </w:pPr>
            <w:r>
              <w:rPr>
                <w:rFonts w:ascii="Arial" w:cs="Arial" w:eastAsia="Arial" w:hAnsi="Arial"/>
                <w:sz w:val="18"/>
                <w:szCs w:val="18"/>
                <w:color w:val="auto"/>
              </w:rPr>
              <w:t>73,333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DNB Bank ASA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DNB Bank ASA</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w w:val="85"/>
              </w:rPr>
              <w:t>July 2022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1.719%</w:t>
            </w:r>
          </w:p>
        </w:tc>
        <w:tc>
          <w:tcPr>
            <w:tcW w:w="940" w:type="dxa"/>
            <w:vAlign w:val="bottom"/>
          </w:tcPr>
          <w:p>
            <w:pPr>
              <w:jc w:val="right"/>
              <w:spacing w:after="0"/>
              <w:rPr>
                <w:sz w:val="20"/>
                <w:szCs w:val="20"/>
                <w:color w:val="auto"/>
              </w:rPr>
            </w:pPr>
            <w:r>
              <w:rPr>
                <w:rFonts w:ascii="Arial" w:cs="Arial" w:eastAsia="Arial" w:hAnsi="Arial"/>
                <w:sz w:val="18"/>
                <w:szCs w:val="18"/>
                <w:color w:val="auto"/>
              </w:rPr>
              <w:t>73,333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HSBC Bank plc</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HSBC Bank plc</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w w:val="85"/>
              </w:rPr>
              <w:t>July 2021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1.818%</w:t>
            </w:r>
          </w:p>
        </w:tc>
        <w:tc>
          <w:tcPr>
            <w:tcW w:w="940" w:type="dxa"/>
            <w:vAlign w:val="bottom"/>
          </w:tcPr>
          <w:p>
            <w:pPr>
              <w:jc w:val="right"/>
              <w:spacing w:after="0"/>
              <w:rPr>
                <w:sz w:val="20"/>
                <w:szCs w:val="20"/>
                <w:color w:val="auto"/>
              </w:rPr>
            </w:pPr>
            <w:r>
              <w:rPr>
                <w:rFonts w:ascii="Arial" w:cs="Arial" w:eastAsia="Arial" w:hAnsi="Arial"/>
                <w:sz w:val="18"/>
                <w:szCs w:val="18"/>
                <w:color w:val="auto"/>
              </w:rPr>
              <w:t>33,333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HSBC Bank plc</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w w:val="85"/>
              </w:rPr>
              <w:t>July 2020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1.905%</w:t>
            </w:r>
          </w:p>
        </w:tc>
        <w:tc>
          <w:tcPr>
            <w:tcW w:w="940" w:type="dxa"/>
            <w:vAlign w:val="bottom"/>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w w:val="85"/>
              </w:rPr>
              <w:t>July 2022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1.815%</w:t>
            </w:r>
          </w:p>
        </w:tc>
        <w:tc>
          <w:tcPr>
            <w:tcW w:w="940" w:type="dxa"/>
            <w:vAlign w:val="bottom"/>
          </w:tcPr>
          <w:p>
            <w:pPr>
              <w:jc w:val="right"/>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Skandinavinska Enskilda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Banken AB (publ) ("SEB")</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w w:val="85"/>
              </w:rPr>
              <w:t>July 2021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1.8405%</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July 2022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(1)</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HSBC Bank plc</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tcPr>
          <w:p>
            <w:pPr>
              <w:spacing w:after="0"/>
              <w:rPr>
                <w:sz w:val="22"/>
                <w:szCs w:val="22"/>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w w:val="84"/>
              </w:rPr>
              <w:t>Feb 2022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2.005%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GasLog</w:t>
            </w:r>
            <w:r>
              <w:rPr>
                <w:rFonts w:ascii="Arial" w:cs="Arial" w:eastAsia="Arial" w:hAnsi="Arial"/>
                <w:sz w:val="29"/>
                <w:szCs w:val="29"/>
                <w:color w:val="auto"/>
                <w:w w:val="89"/>
                <w:vertAlign w:val="superscript"/>
              </w:rPr>
              <w:t>(1)</w:t>
            </w:r>
          </w:p>
        </w:tc>
        <w:tc>
          <w:tcPr>
            <w:tcW w:w="2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Nordea Bank Finland</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Mar 2022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tcPr>
          <w:p>
            <w:pPr>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(1)</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ABN Amro Bank NV</w:t>
            </w:r>
          </w:p>
        </w:tc>
        <w:tc>
          <w:tcPr>
            <w:tcW w:w="16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Feb 2017</w:t>
            </w:r>
          </w:p>
        </w:tc>
        <w:tc>
          <w:tcPr>
            <w:tcW w:w="160" w:type="dxa"/>
            <w:vAlign w:val="bottom"/>
          </w:tcPr>
          <w:p>
            <w:pPr>
              <w:spacing w:after="0"/>
              <w:rPr>
                <w:sz w:val="18"/>
                <w:szCs w:val="18"/>
                <w:color w:val="auto"/>
              </w:rPr>
            </w:pPr>
          </w:p>
        </w:tc>
        <w:tc>
          <w:tcPr>
            <w:tcW w:w="860" w:type="dxa"/>
            <w:vAlign w:val="bottom"/>
            <w:vMerge w:val="restart"/>
          </w:tcPr>
          <w:p>
            <w:pPr>
              <w:ind w:left="180"/>
              <w:spacing w:after="0"/>
              <w:rPr>
                <w:sz w:val="20"/>
                <w:szCs w:val="20"/>
                <w:color w:val="auto"/>
              </w:rPr>
            </w:pPr>
            <w:r>
              <w:rPr>
                <w:rFonts w:ascii="Arial" w:cs="Arial" w:eastAsia="Arial" w:hAnsi="Arial"/>
                <w:sz w:val="18"/>
                <w:szCs w:val="18"/>
                <w:color w:val="auto"/>
                <w:w w:val="86"/>
              </w:rPr>
              <w:t>Mar 2022</w:t>
            </w:r>
          </w:p>
        </w:tc>
        <w:tc>
          <w:tcPr>
            <w:tcW w:w="10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2.003%</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("ABN")</w:t>
            </w: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42"/>
        </w:numPr>
        <w:rPr>
          <w:rFonts w:ascii="Arial" w:cs="Arial" w:eastAsia="Arial" w:hAnsi="Arial"/>
          <w:sz w:val="11"/>
          <w:szCs w:val="11"/>
          <w:color w:val="auto"/>
        </w:rPr>
      </w:pPr>
      <w:r>
        <w:rPr>
          <w:rFonts w:ascii="Arial" w:cs="Arial" w:eastAsia="Arial" w:hAnsi="Arial"/>
          <w:sz w:val="14"/>
          <w:szCs w:val="14"/>
          <w:color w:val="auto"/>
        </w:rPr>
        <w:t>In February 2017, GasLog entered into new interest rate swap agreements with a notional amount of $300,000 in aggregate, maturing in 2022.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Derivative Financial Instruments (Continued)</w:t>
      </w:r>
    </w:p>
    <w:p>
      <w:pPr>
        <w:spacing w:after="0" w:line="231"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In July 2016, the Group terminated the interest rate swap agreements associated with the six legacy facilities that were refinanced by the Legacy Facility Refinancing (Note 13) paying their fair value on that date. During the year ended December 31, 2016, the amount of the cumulative loss from the period that these hedges were effective that was recycled to profit or loss was $4,978 (December 31, 2015: $1,129).</w:t>
      </w:r>
    </w:p>
    <w:p>
      <w:pPr>
        <w:spacing w:after="0" w:line="161"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derivative instruments listed above were not designated as cash flow hedging instruments. The change in the fair value of these contracts for the year ended December 31, 2017 amounted to a net gain of $8,529 (December 31, 2016: $18,448 net gain, December 31, 2015: $149 loss), which was recognized against profit or loss in the period incurred and is included in (Loss)/gain on swaps. During the year ended December 31, 2017, the net gain of $8,529 derived mainly from the fact that the LIBOR yield curve, which was used to calculate the present value of the estimated future cash flows, was higher than the agreed fixed interest rates resulting in a decrease in derivative liabilities from interest rate swaps held for trading.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NOK Bonds.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CCSs qualified as cash flow hedging instruments for accounting purposes.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CCSs designated as cash flow hedging instruments were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Fixed</w:t>
            </w:r>
          </w:p>
        </w:tc>
        <w:tc>
          <w:tcPr>
            <w:tcW w:w="2240" w:type="dxa"/>
            <w:vAlign w:val="bottom"/>
            <w:gridSpan w:val="4"/>
          </w:tcPr>
          <w:p>
            <w:pPr>
              <w:ind w:left="52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Trade</w:t>
            </w:r>
          </w:p>
        </w:tc>
        <w:tc>
          <w:tcPr>
            <w:tcW w:w="160" w:type="dxa"/>
            <w:vAlign w:val="bottom"/>
          </w:tcPr>
          <w:p>
            <w:pPr>
              <w:spacing w:after="0"/>
              <w:rPr>
                <w:sz w:val="12"/>
                <w:szCs w:val="12"/>
                <w:color w:val="auto"/>
              </w:rPr>
            </w:pPr>
          </w:p>
        </w:tc>
        <w:tc>
          <w:tcPr>
            <w:tcW w:w="9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Interest</w:t>
            </w:r>
          </w:p>
        </w:tc>
        <w:tc>
          <w:tcPr>
            <w:tcW w:w="9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240" w:type="dxa"/>
            <w:vAlign w:val="bottom"/>
          </w:tcPr>
          <w:p>
            <w:pPr>
              <w:spacing w:after="0"/>
              <w:rPr>
                <w:sz w:val="14"/>
                <w:szCs w:val="14"/>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Counterparty</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Rate</w:t>
            </w:r>
          </w:p>
        </w:tc>
        <w:tc>
          <w:tcPr>
            <w:tcW w:w="9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12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9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GasLog</w:t>
            </w:r>
            <w:r>
              <w:rPr>
                <w:rFonts w:ascii="Arial" w:cs="Arial" w:eastAsia="Arial" w:hAnsi="Arial"/>
                <w:sz w:val="28"/>
                <w:szCs w:val="28"/>
                <w:color w:val="auto"/>
                <w:vertAlign w:val="superscript"/>
              </w:rPr>
              <w:t>(1)</w:t>
            </w:r>
          </w:p>
        </w:tc>
        <w:tc>
          <w:tcPr>
            <w:tcW w:w="1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DNB Bank ASA</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2014</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May 2014</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June 2018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22,965</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40" w:type="dxa"/>
            <w:vAlign w:val="bottom"/>
            <w:gridSpan w:val="2"/>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900" w:type="dxa"/>
            <w:vAlign w:val="bottom"/>
            <w:gridSpan w:val="3"/>
          </w:tcPr>
          <w:p>
            <w:pPr>
              <w:ind w:left="220"/>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April 2014</w:t>
            </w:r>
          </w:p>
        </w:tc>
        <w:tc>
          <w:tcPr>
            <w:tcW w:w="160" w:type="dxa"/>
            <w:vAlign w:val="bottom"/>
          </w:tcPr>
          <w:p>
            <w:pPr>
              <w:spacing w:after="0"/>
              <w:rPr>
                <w:sz w:val="22"/>
                <w:szCs w:val="22"/>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w w:val="91"/>
              </w:rPr>
              <w:t>May 2014</w:t>
            </w:r>
          </w:p>
        </w:tc>
        <w:tc>
          <w:tcPr>
            <w:tcW w:w="1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3"/>
              </w:rPr>
              <w:t>June 2018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5.99%</w:t>
            </w:r>
          </w:p>
        </w:tc>
        <w:tc>
          <w:tcPr>
            <w:tcW w:w="960" w:type="dxa"/>
            <w:vAlign w:val="bottom"/>
          </w:tcPr>
          <w:p>
            <w:pPr>
              <w:jc w:val="right"/>
              <w:spacing w:after="0"/>
              <w:rPr>
                <w:sz w:val="20"/>
                <w:szCs w:val="20"/>
                <w:color w:val="auto"/>
              </w:rPr>
            </w:pPr>
            <w:r>
              <w:rPr>
                <w:rFonts w:ascii="Arial" w:cs="Arial" w:eastAsia="Arial" w:hAnsi="Arial"/>
                <w:sz w:val="18"/>
                <w:szCs w:val="18"/>
                <w:color w:val="auto"/>
              </w:rPr>
              <w:t>22,965</w:t>
            </w:r>
          </w:p>
        </w:tc>
        <w:tc>
          <w:tcPr>
            <w:tcW w:w="1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Nordea Bank Finland</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2014</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May 2014</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June 2018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22,965</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40" w:type="dxa"/>
            <w:vAlign w:val="bottom"/>
            <w:gridSpan w:val="2"/>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(2)</w:t>
            </w:r>
          </w:p>
        </w:tc>
        <w:tc>
          <w:tcPr>
            <w:tcW w:w="1900" w:type="dxa"/>
            <w:vAlign w:val="bottom"/>
            <w:gridSpan w:val="3"/>
          </w:tcPr>
          <w:p>
            <w:pPr>
              <w:ind w:left="220"/>
              <w:spacing w:after="0"/>
              <w:rPr>
                <w:sz w:val="20"/>
                <w:szCs w:val="20"/>
                <w:color w:val="auto"/>
              </w:rPr>
            </w:pPr>
            <w:r>
              <w:rPr>
                <w:rFonts w:ascii="Arial" w:cs="Arial" w:eastAsia="Arial" w:hAnsi="Arial"/>
                <w:sz w:val="18"/>
                <w:szCs w:val="18"/>
                <w:color w:val="auto"/>
              </w:rPr>
              <w:t>DNB Bank ASA</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22"/>
                <w:szCs w:val="22"/>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8"/>
              </w:rPr>
              <w:t>May 2021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8.59%</w:t>
            </w:r>
          </w:p>
        </w:tc>
        <w:tc>
          <w:tcPr>
            <w:tcW w:w="960" w:type="dxa"/>
            <w:vAlign w:val="bottom"/>
          </w:tcPr>
          <w:p>
            <w:pPr>
              <w:jc w:val="right"/>
              <w:spacing w:after="0"/>
              <w:rPr>
                <w:sz w:val="20"/>
                <w:szCs w:val="20"/>
                <w:color w:val="auto"/>
              </w:rPr>
            </w:pPr>
            <w:r>
              <w:rPr>
                <w:rFonts w:ascii="Arial" w:cs="Arial" w:eastAsia="Arial" w:hAnsi="Arial"/>
                <w:sz w:val="18"/>
                <w:szCs w:val="18"/>
                <w:color w:val="auto"/>
              </w:rPr>
              <w:t>30,050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(2)</w:t>
            </w:r>
          </w:p>
        </w:tc>
        <w:tc>
          <w:tcPr>
            <w:tcW w:w="1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5"/>
              </w:rPr>
              <w:t>June 2016</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May 2021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40" w:type="dxa"/>
            <w:vAlign w:val="bottom"/>
            <w:gridSpan w:val="2"/>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(2)</w:t>
            </w:r>
          </w:p>
        </w:tc>
        <w:tc>
          <w:tcPr>
            <w:tcW w:w="1900" w:type="dxa"/>
            <w:vAlign w:val="bottom"/>
            <w:gridSpan w:val="3"/>
          </w:tcPr>
          <w:p>
            <w:pPr>
              <w:ind w:left="220"/>
              <w:spacing w:after="0"/>
              <w:rPr>
                <w:sz w:val="20"/>
                <w:szCs w:val="20"/>
                <w:color w:val="auto"/>
              </w:rPr>
            </w:pPr>
            <w:r>
              <w:rPr>
                <w:rFonts w:ascii="Arial" w:cs="Arial" w:eastAsia="Arial" w:hAnsi="Arial"/>
                <w:sz w:val="18"/>
                <w:szCs w:val="18"/>
                <w:color w:val="auto"/>
                <w:w w:val="98"/>
              </w:rPr>
              <w:t>Nordea Bank Finland</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22"/>
                <w:szCs w:val="22"/>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w w:val="85"/>
              </w:rPr>
              <w:t>June 2016</w:t>
            </w:r>
          </w:p>
        </w:tc>
        <w:tc>
          <w:tcPr>
            <w:tcW w:w="1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8"/>
              </w:rPr>
              <w:t>May 2021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8.59%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31"/>
        <w:spacing w:after="0" w:line="239" w:lineRule="auto"/>
        <w:tabs>
          <w:tab w:leader="none" w:pos="1680" w:val="left"/>
        </w:tabs>
        <w:numPr>
          <w:ilvl w:val="0"/>
          <w:numId w:val="143"/>
        </w:numPr>
        <w:rPr>
          <w:rFonts w:ascii="Arial" w:cs="Arial" w:eastAsia="Arial" w:hAnsi="Arial"/>
          <w:sz w:val="11"/>
          <w:szCs w:val="11"/>
          <w:color w:val="auto"/>
        </w:rPr>
      </w:pPr>
      <w:r>
        <w:rPr>
          <w:rFonts w:ascii="Arial" w:cs="Arial" w:eastAsia="Arial" w:hAnsi="Arial"/>
          <w:sz w:val="14"/>
          <w:szCs w:val="14"/>
          <w:color w:val="auto"/>
        </w:rPr>
        <w:t>On June 27, 2017, GasLog terminated the three CCS agreements by paying their fair value of $20,603 on that date. The cumulative loss of $4,368 from the period that hedging was effective was recycled to profit or loss during the year ended December 31, 2017.</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143"/>
        </w:numPr>
        <w:rPr>
          <w:rFonts w:ascii="Arial" w:cs="Arial" w:eastAsia="Arial" w:hAnsi="Arial"/>
          <w:sz w:val="11"/>
          <w:szCs w:val="11"/>
          <w:color w:val="auto"/>
        </w:rPr>
      </w:pPr>
      <w:r>
        <w:rPr>
          <w:rFonts w:ascii="Arial" w:cs="Arial" w:eastAsia="Arial" w:hAnsi="Arial"/>
          <w:sz w:val="14"/>
          <w:szCs w:val="14"/>
          <w:color w:val="auto"/>
        </w:rPr>
        <w:t>On June 20, 2016, in conjunction with the issuance of the NOK 2021 Bonds (Note 13), GasLog entered into these CCSs to exchange interest payments and principal on maturity on the same terms as the NOK 2021 Bonds.</w:t>
      </w:r>
    </w:p>
    <w:p>
      <w:pPr>
        <w:spacing w:after="0" w:line="19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On June 27, 2016, GasLog terminated three CCS agreements and decreased the notional amount of the other three CCSs by paying their fair value on that date. The cumulative loss of $5,583 from the period that hedging was effective was recycled to profit or loss during the year ended December 31, 2016.</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Derivative Financial Instruments (Continued)</w:t>
      </w:r>
    </w:p>
    <w:p>
      <w:pPr>
        <w:spacing w:after="0" w:line="231" w:lineRule="exact"/>
        <w:rPr>
          <w:sz w:val="20"/>
          <w:szCs w:val="20"/>
          <w:color w:val="auto"/>
        </w:rPr>
      </w:pPr>
    </w:p>
    <w:p>
      <w:pPr>
        <w:ind w:right="260" w:firstLine="351"/>
        <w:spacing w:after="0" w:line="318" w:lineRule="auto"/>
        <w:rPr>
          <w:sz w:val="20"/>
          <w:szCs w:val="20"/>
          <w:color w:val="auto"/>
        </w:rPr>
      </w:pPr>
      <w:r>
        <w:rPr>
          <w:rFonts w:ascii="Arial" w:cs="Arial" w:eastAsia="Arial" w:hAnsi="Arial"/>
          <w:sz w:val="15"/>
          <w:szCs w:val="15"/>
          <w:color w:val="auto"/>
        </w:rPr>
        <w:t>For the year ended December 31, 2017, the effective portion of changes in the fair value of CCSs amounting to a gain of $7,291 has been recognized in Other comprehensive income (December 31, 2016: $2,559 loss, December 31, 2015: $23,584 loss). For the year ended December 31, 2017, a loss of $398 was recycled to profit or loss representing the realized loss on CCSs in relation to the interest expenses component of the hedge (December 31, 2016: $2,446 loss, December 31, 2015: $2,714 loss). Additionally, for the year ended December 31, 2017, a loss of $5,022 was recognized in Other comprehensive income in relation to the retranslation of the NOK Bonds in U.S. dollars as of December 31, 2017 (December 31, 2016: $1,487 loss, December 31, 2015: $21,000 gain).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British Pounds Sterling ("GBP") and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Fixed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Exchange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6"/>
              </w:rPr>
              <w:t>Settlement</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61"/>
        </w:trPr>
        <w:tc>
          <w:tcPr>
            <w:tcW w:w="8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Company</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Counterparty</w:t>
            </w:r>
          </w:p>
        </w:tc>
        <w:tc>
          <w:tcPr>
            <w:tcW w:w="160" w:type="dxa"/>
            <w:vAlign w:val="bottom"/>
          </w:tcPr>
          <w:p>
            <w:pPr>
              <w:spacing w:after="0"/>
              <w:rPr>
                <w:sz w:val="14"/>
                <w:szCs w:val="14"/>
                <w:color w:val="auto"/>
              </w:rPr>
            </w:pPr>
          </w:p>
        </w:tc>
        <w:tc>
          <w:tcPr>
            <w:tcW w:w="1240" w:type="dxa"/>
            <w:vAlign w:val="bottom"/>
            <w:gridSpan w:val="5"/>
          </w:tcPr>
          <w:p>
            <w:pPr>
              <w:jc w:val="center"/>
              <w:ind w:right="212"/>
              <w:spacing w:after="0"/>
              <w:rPr>
                <w:sz w:val="20"/>
                <w:szCs w:val="20"/>
                <w:color w:val="auto"/>
              </w:rPr>
            </w:pPr>
            <w:r>
              <w:rPr>
                <w:rFonts w:ascii="Arial" w:cs="Arial" w:eastAsia="Arial" w:hAnsi="Arial"/>
                <w:sz w:val="14"/>
                <w:szCs w:val="14"/>
                <w:b w:val="1"/>
                <w:bCs w:val="1"/>
                <w:color w:val="auto"/>
                <w:w w:val="88"/>
              </w:rPr>
              <w:t>Trade Date</w:t>
            </w:r>
          </w:p>
        </w:tc>
        <w:tc>
          <w:tcPr>
            <w:tcW w:w="68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82"/>
              </w:rPr>
              <w:t>contracts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ind w:right="272"/>
              <w:spacing w:after="0"/>
              <w:rPr>
                <w:sz w:val="20"/>
                <w:szCs w:val="20"/>
                <w:color w:val="auto"/>
              </w:rPr>
            </w:pPr>
            <w:r>
              <w:rPr>
                <w:rFonts w:ascii="Arial" w:cs="Arial" w:eastAsia="Arial" w:hAnsi="Arial"/>
                <w:sz w:val="14"/>
                <w:szCs w:val="14"/>
                <w:b w:val="1"/>
                <w:bCs w:val="1"/>
                <w:color w:val="auto"/>
                <w:w w:val="83"/>
              </w:rPr>
              <w:t>Dates</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(USD/GBP)</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2"/>
              </w:rPr>
              <w:t>GasLog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SEB</w:t>
            </w:r>
          </w:p>
        </w:tc>
        <w:tc>
          <w:tcPr>
            <w:tcW w:w="16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center"/>
              <w:ind w:right="192"/>
              <w:spacing w:after="0"/>
              <w:rPr>
                <w:sz w:val="20"/>
                <w:szCs w:val="20"/>
                <w:color w:val="auto"/>
              </w:rPr>
            </w:pPr>
            <w:r>
              <w:rPr>
                <w:rFonts w:ascii="Arial" w:cs="Arial" w:eastAsia="Arial" w:hAnsi="Arial"/>
                <w:sz w:val="18"/>
                <w:szCs w:val="18"/>
                <w:color w:val="auto"/>
                <w:w w:val="88"/>
              </w:rPr>
              <w:t>August 2017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January - December 2018</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Fixed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Total Exchange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Settlement</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1480" w:type="dxa"/>
            <w:vAlign w:val="bottom"/>
            <w:gridSpan w:val="2"/>
          </w:tcPr>
          <w:p>
            <w:pPr>
              <w:ind w:left="520"/>
              <w:spacing w:after="0"/>
              <w:rPr>
                <w:sz w:val="20"/>
                <w:szCs w:val="20"/>
                <w:color w:val="auto"/>
              </w:rPr>
            </w:pPr>
            <w:r>
              <w:rPr>
                <w:rFonts w:ascii="Arial" w:cs="Arial" w:eastAsia="Arial" w:hAnsi="Arial"/>
                <w:sz w:val="14"/>
                <w:szCs w:val="14"/>
                <w:b w:val="1"/>
                <w:bCs w:val="1"/>
                <w:color w:val="auto"/>
              </w:rPr>
              <w:t>Counterparty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8"/>
              </w:rPr>
              <w:t>Trade Date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8"/>
              </w:rPr>
              <w:t>contracts</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Dates</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(USD/EUR)</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2" w:lineRule="exact"/>
              <w:rPr>
                <w:sz w:val="20"/>
                <w:szCs w:val="20"/>
                <w:color w:val="auto"/>
              </w:rPr>
            </w:pPr>
            <w:r>
              <w:rPr>
                <w:rFonts w:ascii="Arial" w:cs="Arial" w:eastAsia="Arial" w:hAnsi="Arial"/>
                <w:sz w:val="14"/>
                <w:szCs w:val="14"/>
                <w:color w:val="auto"/>
              </w:rPr>
              <w:t>HSBC</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82"/>
              </w:rPr>
              <w:t>June 2017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January - June 2018</w:t>
            </w:r>
          </w:p>
        </w:tc>
        <w:tc>
          <w:tcPr>
            <w:tcW w:w="120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1.1297</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ABN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2"/>
              </w:rPr>
              <w:t>June 2017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6"/>
              </w:rPr>
              <w:t>January - June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1.1291</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Nordea</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0"/>
              </w:rPr>
              <w:t>July 2017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January - June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1.1817</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SEB</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90"/>
              </w:rPr>
              <w:t>July 2017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6"/>
              </w:rPr>
              <w:t>January - June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1.1816</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Nordea</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8"/>
              </w:rPr>
              <w:t>August 2017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January - December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1.1986</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SEB</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8"/>
              </w:rPr>
              <w:t>August 2017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 December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1.1966</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DNB Bank ASA ("DNB")</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7"/>
              </w:rPr>
              <w:t>October 2017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January - February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1.1746</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DNB</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7"/>
              </w:rPr>
              <w:t>October 2017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1.1746</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3,990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DNB</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7"/>
              </w:rPr>
              <w:t>October 2017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May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1.1746</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DNB</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32"/>
              <w:spacing w:after="0" w:line="149" w:lineRule="exact"/>
              <w:rPr>
                <w:sz w:val="20"/>
                <w:szCs w:val="20"/>
                <w:color w:val="auto"/>
              </w:rPr>
            </w:pPr>
            <w:r>
              <w:rPr>
                <w:rFonts w:ascii="Arial" w:cs="Arial" w:eastAsia="Arial" w:hAnsi="Arial"/>
                <w:sz w:val="14"/>
                <w:szCs w:val="14"/>
                <w:color w:val="auto"/>
                <w:w w:val="87"/>
              </w:rPr>
              <w:t>October 2017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July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1.1746</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Citibank</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July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1.2023</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Citibank</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8"/>
              </w:rPr>
              <w:t>August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1.2048</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Citibank</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1.2072</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Citibank</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1.2099</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Citibank</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November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1.2123</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Citibank</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2018</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1.2148</w:t>
            </w:r>
          </w:p>
        </w:tc>
        <w:tc>
          <w:tcPr>
            <w:tcW w:w="180" w:type="dxa"/>
            <w:vAlign w:val="bottom"/>
          </w:tcPr>
          <w:p>
            <w:pPr>
              <w:spacing w:after="0"/>
              <w:rPr>
                <w:sz w:val="12"/>
                <w:szCs w:val="12"/>
                <w:color w:val="auto"/>
              </w:rPr>
            </w:pP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GasLog</w:t>
            </w:r>
          </w:p>
        </w:tc>
        <w:tc>
          <w:tcPr>
            <w:tcW w:w="16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SEB</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November 2017</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January - June 2018</w:t>
            </w:r>
          </w:p>
        </w:tc>
        <w:tc>
          <w:tcPr>
            <w:tcW w:w="120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1.19445</w:t>
            </w: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Derivative Financial Instruments (Continued)</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December 31, 2017. The change in the fair value of these contracts for the year ended December 31, 2017 amounted to a net gain of $2,041 (for the year ended December 31, 2016: $82 net gain, December 31, 2015: $0), which was recognized against profit or loss in the period incurred and is included in Loss on swaps.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(Loss)/gain on swaps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780" w:type="dxa"/>
            <w:vAlign w:val="bottom"/>
            <w:gridSpan w:val="6"/>
          </w:tcPr>
          <w:p>
            <w:pPr>
              <w:jc w:val="center"/>
              <w:ind w:left="458"/>
              <w:spacing w:after="0"/>
              <w:rPr>
                <w:sz w:val="20"/>
                <w:szCs w:val="20"/>
                <w:color w:val="auto"/>
              </w:rPr>
            </w:pPr>
            <w:r>
              <w:rPr>
                <w:rFonts w:ascii="Arial" w:cs="Arial" w:eastAsia="Arial" w:hAnsi="Arial"/>
                <w:sz w:val="14"/>
                <w:szCs w:val="14"/>
                <w:b w:val="1"/>
                <w:bCs w:val="1"/>
                <w:color w:val="auto"/>
                <w:w w:val="86"/>
              </w:rPr>
              <w:t>For the year ended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(loss)/gain on derivative financial instruments held for trading</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10,570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Realized loss on derivative financial instruments held for trading</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(8,904)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(8,435)</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(4,112)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(23,514)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Ineffective portion of cash flow hedges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0"/>
        </w:trPr>
        <w:tc>
          <w:tcPr>
            <w:tcW w:w="5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(10,332)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2,025</w:t>
            </w:r>
          </w:p>
        </w:tc>
      </w:tr>
      <w:tr>
        <w:trPr>
          <w:trHeight w:val="20"/>
        </w:trPr>
        <w:tc>
          <w:tcPr>
            <w:tcW w:w="5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Group's financial assets and liabilities approximate to their carrying amounts at the reporting date.</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and cross currency swaps. The interest rate swaps, the forward foreign exchange contracts and the CCSs meet Level 2 classification, according to the fair value hierarchy as defined by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There were no financial instruments in Levels 1 or 3 and no transfers between Levels 1, 2 or 3 during the periods presented. The definitions of the levels, provided by IFRS 13 are based on the degree to which the fair value is observable:</w:t>
      </w:r>
    </w:p>
    <w:p>
      <w:pPr>
        <w:spacing w:after="0" w:line="186"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44" w:lineRule="exact"/>
        <w:rPr>
          <w:rFonts w:ascii="Arial" w:cs="Arial" w:eastAsia="Arial" w:hAnsi="Arial"/>
          <w:sz w:val="18"/>
          <w:szCs w:val="18"/>
          <w:b w:val="1"/>
          <w:bCs w:val="1"/>
          <w:color w:val="auto"/>
        </w:rPr>
      </w:pPr>
    </w:p>
    <w:p>
      <w:pPr>
        <w:ind w:left="1080" w:right="400" w:hanging="532"/>
        <w:spacing w:after="0" w:line="268" w:lineRule="auto"/>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Reconciliations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of the Group's non-cash investing and financing activities for the year ended December 31, 2017 is presented in the tables below:</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Deferred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Opening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Non-cash</w:t>
            </w:r>
          </w:p>
        </w:tc>
        <w:tc>
          <w:tcPr>
            <w:tcW w:w="11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financing</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balance</w:t>
            </w:r>
          </w:p>
        </w:tc>
        <w:tc>
          <w:tcPr>
            <w:tcW w:w="10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w w:val="83"/>
              </w:rPr>
              <w:t>Cash flows</w:t>
            </w:r>
          </w:p>
        </w:tc>
        <w:tc>
          <w:tcPr>
            <w:tcW w:w="16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items</w:t>
            </w:r>
          </w:p>
        </w:tc>
        <w:tc>
          <w:tcPr>
            <w:tcW w:w="1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75"/>
              </w:rPr>
              <w:t>costs, assets</w:t>
            </w:r>
          </w:p>
        </w:tc>
        <w:tc>
          <w:tcPr>
            <w:tcW w:w="8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Borrowings outstanding as of January 1,</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2,652,026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2,652,026</w:t>
            </w: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280,000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280,000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bond repayments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w w:val="98"/>
              </w:rPr>
              <w:t>(397,008)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(397,008)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Additions in deferred loan/bond fees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ind w:right="12"/>
              <w:spacing w:after="0"/>
              <w:rPr>
                <w:sz w:val="20"/>
                <w:szCs w:val="20"/>
                <w:color w:val="auto"/>
              </w:rPr>
            </w:pPr>
            <w:r>
              <w:rPr>
                <w:rFonts w:ascii="Arial" w:cs="Arial" w:eastAsia="Arial" w:hAnsi="Arial"/>
                <w:sz w:val="18"/>
                <w:szCs w:val="18"/>
                <w:color w:val="auto"/>
              </w:rPr>
              <w:t>(8,830)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(1,526)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(4,882)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7"/>
              </w:rPr>
              <w:t>Amortization of deferred loan and bond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issuance costs and premium (Note 18)</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6"/>
              </w:rPr>
              <w:t>Retranslation of the NOK Bonds in U.S.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dollars</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jc w:val="right"/>
              <w:ind w:right="2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5,022</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Borrowings outstanding as of</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2,652,026</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8"/>
              </w:rPr>
              <w:t>(125,838)</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5,022</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10,872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5,474</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2,547,556</w:t>
            </w: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80" w:type="dxa"/>
            <w:vAlign w:val="bottom"/>
            <w:gridSpan w:val="10"/>
          </w:tcPr>
          <w:p>
            <w:pPr>
              <w:jc w:val="right"/>
              <w:ind w:right="472"/>
              <w:spacing w:after="0"/>
              <w:rPr>
                <w:sz w:val="20"/>
                <w:szCs w:val="20"/>
                <w:color w:val="auto"/>
              </w:rPr>
            </w:pPr>
            <w:r>
              <w:rPr>
                <w:rFonts w:ascii="Arial" w:cs="Arial" w:eastAsia="Arial" w:hAnsi="Arial"/>
                <w:sz w:val="18"/>
                <w:szCs w:val="18"/>
                <w:color w:val="auto"/>
                <w:w w:val="96"/>
              </w:rPr>
              <w:t>A reconciliation of derivatives arising from financing activities is as follows: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right"/>
              <w:ind w:right="12"/>
              <w:spacing w:after="0" w:line="149" w:lineRule="exact"/>
              <w:rPr>
                <w:sz w:val="20"/>
                <w:szCs w:val="20"/>
                <w:color w:val="auto"/>
              </w:rPr>
            </w:pPr>
            <w:r>
              <w:rPr>
                <w:rFonts w:ascii="Arial" w:cs="Arial" w:eastAsia="Arial" w:hAnsi="Arial"/>
                <w:sz w:val="14"/>
                <w:szCs w:val="14"/>
                <w:b w:val="1"/>
                <w:bCs w:val="1"/>
                <w:color w:val="auto"/>
                <w:w w:val="98"/>
              </w:rPr>
              <w:t>Opening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Non-cash</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99"/>
              </w:rPr>
              <w:t>balance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Cash flows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left="102"/>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items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derivative liabilities as of January 1, 2017</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40" w:type="dxa"/>
            <w:vAlign w:val="bottom"/>
            <w:shd w:val="clear" w:color="auto" w:fill="CCEEFF"/>
          </w:tcPr>
          <w:p>
            <w:pPr>
              <w:spacing w:after="0"/>
              <w:rPr>
                <w:sz w:val="18"/>
                <w:szCs w:val="18"/>
                <w:color w:val="auto"/>
              </w:rPr>
            </w:pP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5"/>
          </w:tcPr>
          <w:p>
            <w:pPr>
              <w:spacing w:after="0"/>
              <w:rPr>
                <w:sz w:val="20"/>
                <w:szCs w:val="20"/>
                <w:color w:val="auto"/>
              </w:rPr>
            </w:pPr>
            <w:r>
              <w:rPr>
                <w:rFonts w:ascii="Arial" w:cs="Arial" w:eastAsia="Arial" w:hAnsi="Arial"/>
                <w:sz w:val="18"/>
                <w:szCs w:val="18"/>
                <w:color w:val="auto"/>
                <w:w w:val="90"/>
              </w:rPr>
              <w:t>Unrealized gain on derivative financial instruments held for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20" w:type="dxa"/>
            <w:vAlign w:val="bottom"/>
            <w:gridSpan w:val="4"/>
          </w:tcPr>
          <w:p>
            <w:pPr>
              <w:ind w:left="160"/>
              <w:spacing w:after="0"/>
              <w:rPr>
                <w:sz w:val="20"/>
                <w:szCs w:val="20"/>
                <w:color w:val="auto"/>
              </w:rPr>
            </w:pPr>
            <w:r>
              <w:rPr>
                <w:rFonts w:ascii="Arial" w:cs="Arial" w:eastAsia="Arial" w:hAnsi="Arial"/>
                <w:sz w:val="18"/>
                <w:szCs w:val="18"/>
                <w:color w:val="auto"/>
                <w:w w:val="91"/>
              </w:rPr>
              <w:t>trading including ineffective portion of cash flow hedge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(10,505)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(10,505)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6"/>
              </w:rPr>
              <w:t>Payment for CCS termination (Note 25)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(20,603)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(20,603)</w:t>
            </w: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5"/>
          </w:tcPr>
          <w:p>
            <w:pPr>
              <w:spacing w:after="0"/>
              <w:rPr>
                <w:sz w:val="20"/>
                <w:szCs w:val="20"/>
                <w:color w:val="auto"/>
              </w:rPr>
            </w:pPr>
            <w:r>
              <w:rPr>
                <w:rFonts w:ascii="Arial" w:cs="Arial" w:eastAsia="Arial" w:hAnsi="Arial"/>
                <w:sz w:val="18"/>
                <w:szCs w:val="18"/>
                <w:color w:val="auto"/>
                <w:w w:val="91"/>
              </w:rPr>
              <w:t>Effective portion of changes in the fair value of derivatives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gridSpan w:val="4"/>
          </w:tcPr>
          <w:p>
            <w:pPr>
              <w:ind w:left="160"/>
              <w:spacing w:after="0"/>
              <w:rPr>
                <w:sz w:val="20"/>
                <w:szCs w:val="20"/>
                <w:color w:val="auto"/>
              </w:rPr>
            </w:pPr>
            <w:r>
              <w:rPr>
                <w:rFonts w:ascii="Arial" w:cs="Arial" w:eastAsia="Arial" w:hAnsi="Arial"/>
                <w:sz w:val="18"/>
                <w:szCs w:val="18"/>
                <w:color w:val="auto"/>
              </w:rPr>
              <w:t>designated as cash flow hedging instruments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(7,689)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(7,689)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86"/>
              </w:rPr>
              <w:t>Net derivative liabilities/(assets) as of December 31, 2017</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22,401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(20,603)</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(7,689)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(10,505)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(16,396)</w:t>
            </w:r>
          </w:p>
        </w:tc>
        <w:tc>
          <w:tcPr>
            <w:tcW w:w="1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right"/>
              <w:ind w:right="332"/>
              <w:spacing w:after="0"/>
              <w:rPr>
                <w:sz w:val="20"/>
                <w:szCs w:val="20"/>
                <w:color w:val="auto"/>
              </w:rPr>
            </w:pPr>
            <w:r>
              <w:rPr>
                <w:rFonts w:ascii="Arial" w:cs="Arial" w:eastAsia="Arial" w:hAnsi="Arial"/>
                <w:sz w:val="18"/>
                <w:szCs w:val="18"/>
                <w:color w:val="auto"/>
              </w:rPr>
              <w:t>F-70</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Cash Flow Reconciliations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tangible fixed assets and vessels under construction arising from investing activities is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Opening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1"/>
              </w:rPr>
              <w:t>Non-cash</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balance</w:t>
            </w:r>
          </w:p>
        </w:tc>
        <w:tc>
          <w:tcPr>
            <w:tcW w:w="10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6"/>
              </w:rPr>
              <w:t>Cash flows</w:t>
            </w:r>
          </w:p>
        </w:tc>
        <w:tc>
          <w:tcPr>
            <w:tcW w:w="100" w:type="dxa"/>
            <w:vAlign w:val="bottom"/>
          </w:tcPr>
          <w:p>
            <w:pPr>
              <w:spacing w:after="0"/>
              <w:rPr>
                <w:sz w:val="14"/>
                <w:szCs w:val="14"/>
                <w:color w:val="auto"/>
              </w:rPr>
            </w:pPr>
          </w:p>
        </w:tc>
        <w:tc>
          <w:tcPr>
            <w:tcW w:w="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1"/>
              </w:rPr>
              <w:t>items</w:t>
            </w: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Tangible fixed assets and vessels under construction as of January 1,</w:t>
            </w: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3,985,403</w:t>
            </w: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3,985,403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Additions (Note 6)</w:t>
            </w:r>
          </w:p>
        </w:tc>
        <w:tc>
          <w:tcPr>
            <w:tcW w:w="340" w:type="dxa"/>
            <w:vAlign w:val="bottom"/>
          </w:tcPr>
          <w:p>
            <w:pPr>
              <w:spacing w:after="0"/>
              <w:rPr>
                <w:sz w:val="18"/>
                <w:szCs w:val="18"/>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82,352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83,330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6)</w:t>
            </w: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(129,512)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(129,512)</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b w:val="1"/>
                <w:bCs w:val="1"/>
                <w:color w:val="auto"/>
              </w:rPr>
              <w:t>Tangible fixed assets and vessels under construction as of</w:t>
            </w: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b w:val="1"/>
                <w:bCs w:val="1"/>
                <w:color w:val="auto"/>
              </w:rPr>
              <w:t>December 31, 2017</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3,985,403</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82,352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0"/>
              </w:rPr>
              <w:t>(128,534)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3,939,221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100" w:type="dxa"/>
            <w:vAlign w:val="bottom"/>
            <w:gridSpan w:val="5"/>
          </w:tcPr>
          <w:p>
            <w:pPr>
              <w:spacing w:after="0"/>
              <w:rPr>
                <w:sz w:val="20"/>
                <w:szCs w:val="20"/>
                <w:color w:val="auto"/>
              </w:rPr>
            </w:pPr>
            <w:r>
              <w:rPr>
                <w:rFonts w:ascii="Arial" w:cs="Arial" w:eastAsia="Arial" w:hAnsi="Arial"/>
                <w:sz w:val="18"/>
                <w:szCs w:val="18"/>
                <w:color w:val="auto"/>
              </w:rPr>
              <w:t>A reconciliation of finance lease liabilities arising from financing activities is as follows: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Opening</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Non-cash</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Cash flows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7"/>
              </w:rPr>
              <w:t>items</w:t>
            </w: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as of January 1, 2017</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220,401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Finance lease charge (Note 18)</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(14,276)</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(14,276)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Payments for finance lease liability</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 as of December 31, 2017</w:t>
            </w: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220,401</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(17,848)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10,875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w w:val="96"/>
              </w:rPr>
              <w:t>A reconciliation of equity offerings arising from financing activities is as follows:</w:t>
            </w: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Non-cash</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Cash flows</w:t>
            </w:r>
          </w:p>
        </w:tc>
        <w:tc>
          <w:tcPr>
            <w:tcW w:w="10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items</w:t>
            </w:r>
          </w:p>
        </w:tc>
        <w:tc>
          <w:tcPr>
            <w:tcW w:w="6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6280" w:type="dxa"/>
            <w:vAlign w:val="bottom"/>
            <w:tcBorders>
              <w:right w:val="single" w:sz="8" w:color="CCEEFF"/>
            </w:tcBorders>
            <w:gridSpan w:val="4"/>
            <w:shd w:val="clear" w:color="auto" w:fill="CCEEFF"/>
          </w:tcPr>
          <w:p>
            <w:pPr>
              <w:spacing w:after="0" w:line="201" w:lineRule="exact"/>
              <w:rPr>
                <w:sz w:val="20"/>
                <w:szCs w:val="20"/>
                <w:color w:val="auto"/>
              </w:rPr>
            </w:pPr>
            <w:r>
              <w:rPr>
                <w:rFonts w:ascii="Arial" w:cs="Arial" w:eastAsia="Arial" w:hAnsi="Arial"/>
                <w:sz w:val="18"/>
                <w:szCs w:val="18"/>
                <w:color w:val="auto"/>
                <w:w w:val="91"/>
              </w:rPr>
              <w:t>Proceeds from GasLog Partners' common unit offerings (net of underwriting discounts</w:t>
            </w: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commissions)</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141,395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141,395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6280" w:type="dxa"/>
            <w:vAlign w:val="bottom"/>
            <w:gridSpan w:val="4"/>
          </w:tcPr>
          <w:p>
            <w:pPr>
              <w:spacing w:after="0"/>
              <w:rPr>
                <w:sz w:val="20"/>
                <w:szCs w:val="20"/>
                <w:color w:val="auto"/>
              </w:rPr>
            </w:pPr>
            <w:r>
              <w:rPr>
                <w:rFonts w:ascii="Arial" w:cs="Arial" w:eastAsia="Arial" w:hAnsi="Arial"/>
                <w:sz w:val="18"/>
                <w:szCs w:val="18"/>
                <w:color w:val="auto"/>
                <w:w w:val="89"/>
              </w:rPr>
              <w:t>Proceeds from GasLog Partners' preference unit offerings (net of underwriting discounts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and commissions)</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139,222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139,222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(2,032)</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Net proceeds from equity offerings in the year ended December 31, 2017</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278,585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(359)</w:t>
            </w: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278,226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Taxation</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w:t>
      </w:r>
    </w:p>
    <w:p>
      <w:pPr>
        <w:spacing w:after="0" w:line="13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Taxation (Continued)</w:t>
      </w:r>
    </w:p>
    <w:p>
      <w:pPr>
        <w:spacing w:after="0" w:line="231" w:lineRule="exact"/>
        <w:rPr>
          <w:sz w:val="20"/>
          <w:szCs w:val="20"/>
          <w:color w:val="auto"/>
        </w:rPr>
      </w:pPr>
    </w:p>
    <w:p>
      <w:pPr>
        <w:jc w:val="both"/>
        <w:ind w:right="200"/>
        <w:spacing w:after="0" w:line="370" w:lineRule="auto"/>
        <w:rPr>
          <w:sz w:val="20"/>
          <w:szCs w:val="20"/>
          <w:color w:val="auto"/>
        </w:rPr>
      </w:pPr>
      <w:r>
        <w:rPr>
          <w:rFonts w:ascii="Arial" w:cs="Arial" w:eastAsia="Arial" w:hAnsi="Arial"/>
          <w:sz w:val="15"/>
          <w:szCs w:val="15"/>
          <w:color w:val="auto"/>
        </w:rPr>
        <w:t>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did not qualify for this exemption for the three years ended December 31, 2017; however, the effect on the results is insignificant.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Earnings/(losses) per share ("EPS")</w:t>
      </w:r>
    </w:p>
    <w:p>
      <w:pPr>
        <w:spacing w:after="0" w:line="231"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Basic earnings/(losses) per share was calculated by dividing the profit for the year attributable to the owners of the common shares after deducting the dividend on Preference Shares by the weighted average number of common shares issued and outstanding during the year.</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Diluted EPS is calculated by dividing the profit for the year attributable to the owners of the Group adjusted for the effects of all dilutive potential ordinary shares by the weighted average number of all potential ordinary shares assumed to have been converted into common shares, unless such potential ordinary shares have an antidilutive effect.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1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Basic earnings/(loss) per share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Profit/(loss) for the year attributable to owners of the Group</w:t>
            </w:r>
          </w:p>
        </w:tc>
        <w:tc>
          <w:tcPr>
            <w:tcW w:w="880" w:type="dxa"/>
            <w:vAlign w:val="bottom"/>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(21,486)</w:t>
            </w:r>
          </w:p>
        </w:tc>
        <w:tc>
          <w:tcPr>
            <w:tcW w:w="880" w:type="dxa"/>
            <w:vAlign w:val="bottom"/>
          </w:tcPr>
          <w:p>
            <w:pPr>
              <w:jc w:val="right"/>
              <w:spacing w:after="0"/>
              <w:rPr>
                <w:sz w:val="20"/>
                <w:szCs w:val="20"/>
                <w:color w:val="auto"/>
              </w:rPr>
            </w:pPr>
            <w:r>
              <w:rPr>
                <w:rFonts w:ascii="Arial" w:cs="Arial" w:eastAsia="Arial" w:hAnsi="Arial"/>
                <w:sz w:val="18"/>
                <w:szCs w:val="18"/>
                <w:color w:val="auto"/>
              </w:rPr>
              <w:t>15,506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 Dividends on Preference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(10,064)</w:t>
            </w: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color w:val="auto"/>
              </w:rPr>
              <w:t>Profit/(loss) for the year available to owners of the Group</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(31,549)</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80,496,314</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80,534,702</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80,622,788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Basic earnings/(loss) per share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Diluted earnings/(loss) per share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4"/>
              </w:rPr>
              <w:t>Profit/(loss) for the year available to owners of the Group used in the calculation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of diluted EPS</w:t>
            </w:r>
          </w:p>
        </w:tc>
        <w:tc>
          <w:tcPr>
            <w:tcW w:w="880" w:type="dxa"/>
            <w:vAlign w:val="bottom"/>
          </w:tcPr>
          <w:p>
            <w:pPr>
              <w:jc w:val="right"/>
              <w:spacing w:after="0"/>
              <w:rPr>
                <w:sz w:val="20"/>
                <w:szCs w:val="20"/>
                <w:color w:val="auto"/>
              </w:rPr>
            </w:pPr>
            <w:r>
              <w:rPr>
                <w:rFonts w:ascii="Arial" w:cs="Arial" w:eastAsia="Arial" w:hAnsi="Arial"/>
                <w:sz w:val="18"/>
                <w:szCs w:val="18"/>
                <w:color w:val="auto"/>
              </w:rPr>
              <w:t>3,450</w:t>
            </w: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(31,549)</w:t>
            </w:r>
          </w:p>
        </w:tc>
        <w:tc>
          <w:tcPr>
            <w:tcW w:w="880" w:type="dxa"/>
            <w:vAlign w:val="bottom"/>
          </w:tcPr>
          <w:p>
            <w:pPr>
              <w:jc w:val="right"/>
              <w:spacing w:after="0"/>
              <w:rPr>
                <w:sz w:val="20"/>
                <w:szCs w:val="20"/>
                <w:color w:val="auto"/>
              </w:rPr>
            </w:pPr>
            <w:r>
              <w:rPr>
                <w:rFonts w:ascii="Arial" w:cs="Arial" w:eastAsia="Arial" w:hAnsi="Arial"/>
                <w:sz w:val="18"/>
                <w:szCs w:val="18"/>
                <w:color w:val="auto"/>
              </w:rPr>
              <w:t>5,442</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80,496,314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80,534,702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80,622,788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Dilutive potential ordinary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114,106</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643,342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the calculation of diluted EPS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80,610,420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80,534,702</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81,266,130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Diluted earnings/(loss) per share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Group excluded the effect of 998,502 SARs and 0 RSUs in calculating diluted EPS for the year ended December 31, 2017, as they were anti-dilutive (December 31, 2016: 1,713,702 SARs and 368,437 RSUs, December 31, 2015: 576,014 SARs and 83,751 RSUs).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Subsequent Events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January 5, 2018, the Group prepaid $29,750 of the outstanding debt of GAS-nineteen Ltd., GAS-twenty Ltd. and GAS-twenty one Ltd., which would have been originally due in April 2018.</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 xml:space="preserve">On January 8, 2018, GasLog took delivery of the </w:t>
      </w:r>
      <w:r>
        <w:rPr>
          <w:rFonts w:ascii="Arial" w:cs="Arial" w:eastAsia="Arial" w:hAnsi="Arial"/>
          <w:sz w:val="18"/>
          <w:szCs w:val="18"/>
          <w:i w:val="1"/>
          <w:iCs w:val="1"/>
          <w:color w:val="auto"/>
        </w:rPr>
        <w:t>GasLog Houston</w:t>
      </w:r>
      <w:r>
        <w:rPr>
          <w:rFonts w:ascii="Arial" w:cs="Arial" w:eastAsia="Arial" w:hAnsi="Arial"/>
          <w:sz w:val="18"/>
          <w:szCs w:val="18"/>
          <w:color w:val="auto"/>
        </w:rPr>
        <w:t>, an LNG carrier of 174,000 cbm with low pressure, dual-fuel two-stroke engine propulsion ("LP-2S") constructed by Hyundai.</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12, 2018, GasLog entered into a shipbuilding contract with Samsung for the construction of a 180,000 cbm GTT Mark III Flex LNG Carrier with LP-2S propulsion (Hull No. 2213) that is scheduled to be delivered in the second quarter of 2020. This vessel will now be the vessel to be chartered to Centrica for an initial period of approximately seven years. The 180,000 cbm GTT Mark III Flex Plus LNG Carrier with LP-2S propulsion (Hull No. 2212) to be delivered in the third quarter of 2019 is currently without charter.</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January 17, 2018, GasLog Partners completed a public offering of 4,600,000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at a price to the public of $25.00 per preference unit. The net proceeds from the offering, after deducting underwriting discounts, commissions and other offering expenses, were $110,988. The Partnership's Series B Preference Units are listed on the New York Stock Exchange under the symbol "GLOP PR B".</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February 15, 2018, the board of directors declared a quarterly cash dividend of $0.14 per common share payable on March 15, 2018 to shareholders of record as of March 5, 2018.</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February 23, 2018, a wholly owned subsidiary of GasLog executed an FSRU Operation and Maintenance Agreement with Gastrade. This agreement is tied to the Terminal Use Agreement and subject to final investment decision ("FID") of the Alexandroupolis Project.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8" w:name="page219"/>
    <w:bookmarkEnd w:id="2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9" w:name="page220"/>
    <w:bookmarkEnd w:id="219"/>
    <w:p>
      <w:pPr>
        <w:spacing w:after="0"/>
        <w:rPr>
          <w:rFonts w:ascii="Arial" w:cs="Arial" w:eastAsia="Arial" w:hAnsi="Arial"/>
          <w:sz w:val="22"/>
          <w:szCs w:val="22"/>
          <w:color w:val="0000EE"/>
        </w:rPr>
      </w:pPr>
      <w:hyperlink w:anchor="page2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SUBSIDIARIES OF GASLOG LTD.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companies are subsidiaries of GasLog Ltd.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4"/>
                <w:szCs w:val="14"/>
                <w:color w:val="auto"/>
              </w:rPr>
            </w:pPr>
          </w:p>
        </w:tc>
        <w:tc>
          <w:tcPr>
            <w:tcW w:w="26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61"/>
        </w:trPr>
        <w:tc>
          <w:tcPr>
            <w:tcW w:w="718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of Subsidiary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26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8"/>
              </w:rPr>
              <w:t>Ownership Interest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Investments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BVI</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GasLog Monaco S.A.M.</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LNG Services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GasLog Carriers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Shipping Company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GasLog Shipping Limited.</w:t>
            </w:r>
          </w:p>
        </w:tc>
        <w:tc>
          <w:tcPr>
            <w:tcW w:w="1480" w:type="dxa"/>
            <w:vAlign w:val="bottom"/>
          </w:tcPr>
          <w:p>
            <w:pPr>
              <w:jc w:val="center"/>
              <w:spacing w:after="0"/>
              <w:rPr>
                <w:sz w:val="20"/>
                <w:szCs w:val="20"/>
                <w:color w:val="auto"/>
              </w:rPr>
            </w:pPr>
            <w:r>
              <w:rPr>
                <w:rFonts w:ascii="Arial" w:cs="Arial" w:eastAsia="Arial" w:hAnsi="Arial"/>
                <w:sz w:val="18"/>
                <w:szCs w:val="18"/>
                <w:color w:val="auto"/>
              </w:rPr>
              <w:t>BVI</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Services US Inc.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 U.S.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GasLog Services UK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England and Wales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Asia Pte.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GasLog Cyprus Investments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Cyprus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GAS-one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GAS-two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GAS-six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GAS-nine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GAS-twelve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GAS-fourteen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GAS-fifteen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GAS-twenty two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three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GAS-twenty four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five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GAS-twenty six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seven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GAS-twenty eight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nine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GAS-thirty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GAS-thirty one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GAS-thirty two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 GP LLC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Marshall Islands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GasLog Partners LP</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Marshall Islands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 Holdings LLC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Marshall Islands</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GAS-three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GAS-four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GAS-five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GAS-seven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GAS-eight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GAS-eleven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GAS-thirteen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GAS-sixteen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GAS-seventeen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GAS-nineteen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GAS-twenty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one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EXHIBIT 8.1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0">
        <w:r>
          <w:rPr>
            <w:rFonts w:ascii="Arial" w:cs="Arial" w:eastAsia="Arial" w:hAnsi="Arial"/>
            <w:sz w:val="16"/>
            <w:szCs w:val="16"/>
            <w:u w:val="single" w:color="auto"/>
            <w:color w:val="0000EE"/>
          </w:rPr>
          <w:t>SUBSIDIARIES OF GASLOG LTD.</w:t>
        </w:r>
      </w:hyperlink>
    </w:p>
    <w:p>
      <w:pPr>
        <w:sectPr>
          <w:pgSz w:w="11900" w:h="16838" w:orient="portrait"/>
          <w:cols w:equalWidth="0" w:num="1">
            <w:col w:w="10219"/>
          </w:cols>
          <w:pgMar w:left="240" w:top="820" w:right="1440" w:bottom="1440" w:gutter="0" w:footer="0" w:header="0"/>
        </w:sectPr>
      </w:pPr>
    </w:p>
    <w:bookmarkStart w:id="221" w:name="page222"/>
    <w:bookmarkEnd w:id="221"/>
    <w:p>
      <w:pPr>
        <w:spacing w:after="0"/>
        <w:rPr>
          <w:rFonts w:ascii="Arial" w:cs="Arial" w:eastAsia="Arial" w:hAnsi="Arial"/>
          <w:sz w:val="22"/>
          <w:szCs w:val="22"/>
          <w:color w:val="0000EE"/>
        </w:rPr>
      </w:pPr>
      <w:hyperlink w:anchor="page2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Paul Wogan, certify that:</w:t>
      </w:r>
    </w:p>
    <w:p>
      <w:pPr>
        <w:spacing w:after="0" w:line="245"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332" w:lineRule="auto"/>
        <w:tabs>
          <w:tab w:leader="none" w:pos="10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68" w:lineRule="exact"/>
        <w:rPr>
          <w:rFonts w:ascii="Arial" w:cs="Arial" w:eastAsia="Arial" w:hAnsi="Arial"/>
          <w:sz w:val="16"/>
          <w:szCs w:val="16"/>
          <w:color w:val="auto"/>
        </w:rPr>
      </w:pPr>
    </w:p>
    <w:p>
      <w:pPr>
        <w:ind w:left="540" w:right="500" w:hanging="532"/>
        <w:spacing w:after="0" w:line="332" w:lineRule="auto"/>
        <w:tabs>
          <w:tab w:leader="none" w:pos="5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25"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62230</wp:posOffset>
            </wp:positionV>
            <wp:extent cx="2675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 Paul A. Wogan</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2">
        <w:r>
          <w:rPr>
            <w:rFonts w:ascii="Arial" w:cs="Arial" w:eastAsia="Arial" w:hAnsi="Arial"/>
            <w:sz w:val="16"/>
            <w:szCs w:val="16"/>
            <w:u w:val="single" w:color="auto"/>
            <w:color w:val="0000EE"/>
          </w:rPr>
          <w:t>CERTIFICATION OF CHIEF EXECUTIVE OFFICER</w:t>
        </w:r>
      </w:hyperlink>
    </w:p>
    <w:p>
      <w:pPr>
        <w:sectPr>
          <w:pgSz w:w="11900" w:h="16838" w:orient="portrait"/>
          <w:cols w:equalWidth="0" w:num="1">
            <w:col w:w="10219"/>
          </w:cols>
          <w:pgMar w:left="240" w:top="821" w:right="1440" w:bottom="1440" w:gutter="0" w:footer="0" w:header="0"/>
        </w:sectPr>
      </w:pPr>
    </w:p>
    <w:bookmarkStart w:id="223" w:name="page224"/>
    <w:bookmarkEnd w:id="223"/>
    <w:p>
      <w:pPr>
        <w:spacing w:after="0"/>
        <w:rPr>
          <w:rFonts w:ascii="Arial" w:cs="Arial" w:eastAsia="Arial" w:hAnsi="Arial"/>
          <w:sz w:val="22"/>
          <w:szCs w:val="22"/>
          <w:color w:val="0000EE"/>
        </w:rPr>
      </w:pPr>
      <w:hyperlink w:anchor="page2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Alastair Maxwell, certify that:</w:t>
      </w:r>
    </w:p>
    <w:p>
      <w:pPr>
        <w:spacing w:after="0" w:line="245"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332" w:lineRule="auto"/>
        <w:tabs>
          <w:tab w:leader="none" w:pos="10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368" w:lineRule="exact"/>
        <w:rPr>
          <w:rFonts w:ascii="Arial" w:cs="Arial" w:eastAsia="Arial" w:hAnsi="Arial"/>
          <w:sz w:val="16"/>
          <w:szCs w:val="16"/>
          <w:color w:val="auto"/>
        </w:rPr>
      </w:pPr>
    </w:p>
    <w:p>
      <w:pPr>
        <w:ind w:left="540" w:right="500" w:hanging="532"/>
        <w:spacing w:after="0" w:line="332"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2018</w:t>
      </w:r>
    </w:p>
    <w:p>
      <w:pPr>
        <w:spacing w:after="0" w:line="225"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62230</wp:posOffset>
            </wp:positionV>
            <wp:extent cx="2675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 Alastair Maxwell</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4">
        <w:r>
          <w:rPr>
            <w:rFonts w:ascii="Arial" w:cs="Arial" w:eastAsia="Arial" w:hAnsi="Arial"/>
            <w:sz w:val="16"/>
            <w:szCs w:val="16"/>
            <w:u w:val="single" w:color="auto"/>
            <w:color w:val="0000EE"/>
          </w:rPr>
          <w:t>CERTIFICATION OF CHIEF FINANCIAL OFFICER</w:t>
        </w:r>
      </w:hyperlink>
    </w:p>
    <w:p>
      <w:pPr>
        <w:sectPr>
          <w:pgSz w:w="11900" w:h="16838" w:orient="portrait"/>
          <w:cols w:equalWidth="0" w:num="1">
            <w:col w:w="10219"/>
          </w:cols>
          <w:pgMar w:left="240" w:top="820" w:right="1440" w:bottom="1440" w:gutter="0" w:footer="0" w:header="0"/>
        </w:sectPr>
      </w:pPr>
    </w:p>
    <w:bookmarkStart w:id="225" w:name="page226"/>
    <w:bookmarkEnd w:id="225"/>
    <w:p>
      <w:pPr>
        <w:spacing w:after="0"/>
        <w:rPr>
          <w:rFonts w:ascii="Arial" w:cs="Arial" w:eastAsia="Arial" w:hAnsi="Arial"/>
          <w:sz w:val="22"/>
          <w:szCs w:val="22"/>
          <w:color w:val="0000EE"/>
        </w:rPr>
      </w:pPr>
      <w:hyperlink w:anchor="page2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13.1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2017,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PAUL A. WOGAN</w:t>
      </w: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-66040</wp:posOffset>
            </wp:positionV>
            <wp:extent cx="26587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1640"/>
        <w:spacing w:after="0"/>
        <w:tabs>
          <w:tab w:leader="none" w:pos="2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Paul A. Wogan</w:t>
      </w:r>
    </w:p>
    <w:p>
      <w:pPr>
        <w:spacing w:after="0" w:line="9" w:lineRule="exact"/>
        <w:rPr>
          <w:sz w:val="20"/>
          <w:szCs w:val="20"/>
          <w:color w:val="auto"/>
        </w:rPr>
      </w:pPr>
    </w:p>
    <w:p>
      <w:pPr>
        <w:ind w:left="1640"/>
        <w:spacing w:after="0"/>
        <w:tabs>
          <w:tab w:leader="none" w:pos="2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EXHIBIT 13.1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6">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240" w:top="820" w:right="399" w:bottom="1440" w:gutter="0" w:footer="0" w:header="0"/>
        </w:sectPr>
      </w:pPr>
    </w:p>
    <w:bookmarkStart w:id="227" w:name="page228"/>
    <w:bookmarkEnd w:id="227"/>
    <w:p>
      <w:pPr>
        <w:spacing w:after="0"/>
        <w:rPr>
          <w:rFonts w:ascii="Arial" w:cs="Arial" w:eastAsia="Arial" w:hAnsi="Arial"/>
          <w:sz w:val="22"/>
          <w:szCs w:val="22"/>
          <w:color w:val="0000EE"/>
        </w:rPr>
      </w:pPr>
      <w:hyperlink w:anchor="page2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13.2</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2017,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ALASTAIR MAXWELL</w:t>
      </w: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-66040</wp:posOffset>
            </wp:positionV>
            <wp:extent cx="26587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1640"/>
        <w:spacing w:after="0"/>
        <w:tabs>
          <w:tab w:leader="none" w:pos="2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Alastair Maxwell</w:t>
      </w:r>
    </w:p>
    <w:p>
      <w:pPr>
        <w:spacing w:after="0" w:line="9" w:lineRule="exact"/>
        <w:rPr>
          <w:sz w:val="20"/>
          <w:szCs w:val="20"/>
          <w:color w:val="auto"/>
        </w:rPr>
      </w:pPr>
    </w:p>
    <w:p>
      <w:pPr>
        <w:ind w:left="1640"/>
        <w:spacing w:after="0"/>
        <w:tabs>
          <w:tab w:leader="none" w:pos="2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EXHIBIT 13.2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8">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240" w:top="821" w:right="399" w:bottom="1440" w:gutter="0" w:footer="0" w:header="0"/>
        </w:sectPr>
      </w:pPr>
    </w:p>
    <w:bookmarkStart w:id="229" w:name="page230"/>
    <w:bookmarkEnd w:id="229"/>
    <w:p>
      <w:pPr>
        <w:spacing w:after="0"/>
        <w:rPr>
          <w:rFonts w:ascii="Arial" w:cs="Arial" w:eastAsia="Arial" w:hAnsi="Arial"/>
          <w:sz w:val="22"/>
          <w:szCs w:val="22"/>
          <w:color w:val="0000EE"/>
        </w:rPr>
      </w:pPr>
      <w:hyperlink w:anchor="page2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consent to the incorporation by reference in Registration Statements No. 333-210169 and 333-194894 on Form F-3 and No. 333-187020 on Form S-8, of our reports dated February 28, 2018, relating to the consolidated financial statements of GasLog Ltd., and the effectiveness of GasLog Ltd.'s internal control over financial reporting, appearing in this Annual Report on Form 20-F of GasLog Ltd. for the year ended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0">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o"/>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o"/>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1)"/>
      <w:numFmt w:val="decimal"/>
      <w:start w:val="1"/>
    </w:lvl>
  </w:abstractNum>
  <w:abstractNum w:abstractNumId="9">
    <w:nsid w:val="3B0FD379"/>
    <w:multiLevelType w:val="hybridMultilevel"/>
    <w:lvl w:ilvl="0">
      <w:lvlJc w:val="left"/>
      <w:lvlText w:val="(%1)"/>
      <w:numFmt w:val="decimal"/>
      <w:start w:val="1"/>
    </w:lvl>
  </w:abstractNum>
  <w:abstractNum w:abstractNumId="10">
    <w:nsid w:val="68EB2F63"/>
    <w:multiLevelType w:val="hybridMultilevel"/>
    <w:lvl w:ilvl="0">
      <w:lvlJc w:val="left"/>
      <w:lvlText w:val="%1"/>
      <w:numFmt w:val="upperLetter"/>
      <w:start w:val="1"/>
    </w:lvl>
    <w:lvl w:ilvl="1">
      <w:lvlJc w:val="left"/>
      <w:lvlText w:val="(%2)"/>
      <w:numFmt w:val="decimal"/>
      <w:start w:val="2"/>
    </w:lvl>
  </w:abstractNum>
  <w:abstractNum w:abstractNumId="11">
    <w:nsid w:val="4962813B"/>
    <w:multiLevelType w:val="hybridMultilevel"/>
    <w:lvl w:ilvl="0">
      <w:lvlJc w:val="left"/>
      <w:lvlText w:val="%1."/>
      <w:numFmt w:val="upperLetter"/>
      <w:start w:val="3"/>
    </w:lvl>
    <w:lvl w:ilvl="1">
      <w:lvlJc w:val="left"/>
      <w:lvlText w:val="%2"/>
      <w:numFmt w:val="decimal"/>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1)"/>
      <w:numFmt w:val="decimal"/>
      <w:start w:val="1"/>
    </w:lvl>
  </w:abstractNum>
  <w:abstractNum w:abstractNumId="34">
    <w:nsid w:val="39EE015C"/>
    <w:multiLevelType w:val="hybridMultilevel"/>
    <w:lvl w:ilvl="0">
      <w:lvlJc w:val="left"/>
      <w:lvlText w:val="(%1)"/>
      <w:numFmt w:val="decimal"/>
      <w:start w:val="3"/>
    </w:lvl>
  </w:abstractNum>
  <w:abstractNum w:abstractNumId="35">
    <w:nsid w:val="57FC4FBB"/>
    <w:multiLevelType w:val="hybridMultilevel"/>
    <w:lvl w:ilvl="0">
      <w:lvlJc w:val="left"/>
      <w:lvlText w:val="(%1)"/>
      <w:numFmt w:val="decimal"/>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1)"/>
      <w:numFmt w:val="decimal"/>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1)"/>
      <w:numFmt w:val="decimal"/>
      <w:start w:val="1"/>
    </w:lvl>
  </w:abstractNum>
  <w:abstractNum w:abstractNumId="44">
    <w:nsid w:val="50801EE1"/>
    <w:multiLevelType w:val="hybridMultilevel"/>
    <w:lvl w:ilvl="0">
      <w:lvlJc w:val="left"/>
      <w:lvlText w:val="(%1)"/>
      <w:numFmt w:val="lowerLetter"/>
      <w:start w:val="61"/>
    </w:lvl>
  </w:abstractNum>
  <w:abstractNum w:abstractNumId="45">
    <w:nsid w:val="488AC1A"/>
    <w:multiLevelType w:val="hybridMultilevel"/>
    <w:lvl w:ilvl="0">
      <w:lvlJc w:val="left"/>
      <w:lvlText w:val="(%1)"/>
      <w:numFmt w:val="lowerLetter"/>
      <w:start w:val="2"/>
    </w:lvl>
  </w:abstractNum>
  <w:abstractNum w:abstractNumId="46">
    <w:nsid w:val="5FB8011C"/>
    <w:multiLevelType w:val="hybridMultilevel"/>
    <w:lvl w:ilvl="0">
      <w:lvlJc w:val="left"/>
      <w:lvlText w:val="(%1)"/>
      <w:numFmt w:val="decimal"/>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1)"/>
      <w:numFmt w:val="lowerLetter"/>
      <w:start w:val="2"/>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1)"/>
      <w:numFmt w:val="decimal"/>
      <w:start w:val="1"/>
    </w:lvl>
  </w:abstractNum>
  <w:abstractNum w:abstractNumId="55">
    <w:nsid w:val="555C55B5"/>
    <w:multiLevelType w:val="hybridMultilevel"/>
    <w:lvl w:ilvl="0">
      <w:lvlJc w:val="left"/>
      <w:lvlText w:val="(%1)"/>
      <w:numFmt w:val="decimal"/>
      <w:start w:val="1"/>
    </w:lvl>
  </w:abstractNum>
  <w:abstractNum w:abstractNumId="56">
    <w:nsid w:val="3FA62ACA"/>
    <w:multiLevelType w:val="hybridMultilevel"/>
    <w:lvl w:ilvl="0">
      <w:lvlJc w:val="left"/>
      <w:lvlText w:val="(%1)"/>
      <w:numFmt w:val="decimal"/>
      <w:start w:val="1"/>
    </w:lvl>
  </w:abstractNum>
  <w:abstractNum w:abstractNumId="57">
    <w:nsid w:val="14FCE74E"/>
    <w:multiLevelType w:val="hybridMultilevel"/>
    <w:lvl w:ilvl="0">
      <w:lvlJc w:val="left"/>
      <w:lvlText w:val="%1."/>
      <w:numFmt w:val="upperLetter"/>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1)"/>
      <w:numFmt w:val="decimal"/>
      <w:start w:val="1"/>
    </w:lvl>
  </w:abstractNum>
  <w:abstractNum w:abstractNumId="68">
    <w:nsid w:val="1D9F6E5F"/>
    <w:multiLevelType w:val="hybridMultilevel"/>
    <w:lvl w:ilvl="0">
      <w:lvlJc w:val="left"/>
      <w:lvlText w:val="(%1)"/>
      <w:numFmt w:val="decimal"/>
      <w:start w:val="3"/>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1)"/>
      <w:numFmt w:val="decimal"/>
      <w:start w:val="1"/>
    </w:lvl>
    <w:lvl w:ilvl="1">
      <w:lvlJc w:val="left"/>
      <w:lvlText w:val="(%2)"/>
      <w:numFmt w:val="lowerLetter"/>
      <w:start w:val="24"/>
    </w:lvl>
  </w:abstractNum>
  <w:abstractNum w:abstractNumId="74">
    <w:nsid w:val="7C58FD05"/>
    <w:multiLevelType w:val="hybridMultilevel"/>
    <w:lvl w:ilvl="0">
      <w:lvlJc w:val="left"/>
      <w:lvlText w:val="%1"/>
      <w:numFmt w:val="decimal"/>
      <w:start w:val="1"/>
    </w:lvl>
    <w:lvl w:ilvl="1">
      <w:lvlJc w:val="left"/>
      <w:lvlText w:val="(%2)"/>
      <w:numFmt w:val="lowerLetter"/>
      <w:start w:val="1"/>
    </w:lvl>
  </w:abstractNum>
  <w:abstractNum w:abstractNumId="75">
    <w:nsid w:val="23D86AAC"/>
    <w:multiLevelType w:val="hybridMultilevel"/>
    <w:lvl w:ilvl="0">
      <w:lvlJc w:val="left"/>
      <w:lvlText w:val="%1"/>
      <w:numFmt w:val="decimal"/>
      <w:start w:val="1"/>
    </w:lvl>
    <w:lvl w:ilvl="1">
      <w:lvlJc w:val="left"/>
      <w:lvlText w:val="(%2)"/>
      <w:numFmt w:val="lowerLetter"/>
      <w:start w:val="2"/>
    </w:lvl>
  </w:abstractNum>
  <w:abstractNum w:abstractNumId="76">
    <w:nsid w:val="45E6D486"/>
    <w:multiLevelType w:val="hybridMultilevel"/>
    <w:lvl w:ilvl="0">
      <w:lvlJc w:val="left"/>
      <w:lvlText w:val="(%1)"/>
      <w:numFmt w:val="decimal"/>
      <w:start w:val="5"/>
    </w:lvl>
    <w:lvl w:ilvl="1">
      <w:lvlJc w:val="left"/>
      <w:lvlText w:val="%2"/>
      <w:numFmt w:val="lowerLetter"/>
      <w:start w:val="1"/>
    </w:lvl>
  </w:abstractNum>
  <w:abstractNum w:abstractNumId="77">
    <w:nsid w:val="5C10FE21"/>
    <w:multiLevelType w:val="hybridMultilevel"/>
    <w:lvl w:ilvl="0">
      <w:lvlJc w:val="left"/>
      <w:lvlText w:val="(%1)"/>
      <w:numFmt w:val="decimal"/>
      <w:start w:val="1"/>
    </w:lvl>
    <w:lvl w:ilvl="1">
      <w:lvlJc w:val="left"/>
      <w:lvlText w:val="(%2)"/>
      <w:numFmt w:val="lowerLetter"/>
      <w:start w:val="1"/>
    </w:lvl>
  </w:abstractNum>
  <w:abstractNum w:abstractNumId="78">
    <w:nsid w:val="E7FFA2B"/>
    <w:multiLevelType w:val="hybridMultilevel"/>
    <w:lvl w:ilvl="0">
      <w:lvlJc w:val="left"/>
      <w:lvlText w:val="%1"/>
      <w:numFmt w:val="decimal"/>
      <w:start w:val="1"/>
    </w:lvl>
    <w:lvl w:ilvl="1">
      <w:lvlJc w:val="left"/>
      <w:lvlText w:val="(%2)"/>
      <w:numFmt w:val="lowerLetter"/>
      <w:start w:val="2"/>
    </w:lvl>
  </w:abstractNum>
  <w:abstractNum w:abstractNumId="79">
    <w:nsid w:val="3C5991AA"/>
    <w:multiLevelType w:val="hybridMultilevel"/>
    <w:lvl w:ilvl="0">
      <w:lvlJc w:val="left"/>
      <w:lvlText w:val="(%1)"/>
      <w:numFmt w:val="decimal"/>
      <w:start w:val="3"/>
    </w:lvl>
    <w:lvl w:ilvl="1">
      <w:lvlJc w:val="left"/>
      <w:lvlText w:val="%2"/>
      <w:numFmt w:val="lowerLetter"/>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1)"/>
      <w:numFmt w:val="lowerLetter"/>
      <w:start w:val="1"/>
    </w:lvl>
  </w:abstractNum>
  <w:abstractNum w:abstractNumId="85">
    <w:nsid w:val="379E21B5"/>
    <w:multiLevelType w:val="hybridMultilevel"/>
    <w:lvl w:ilvl="0">
      <w:lvlJc w:val="left"/>
      <w:lvlText w:val="(%1)"/>
      <w:numFmt w:val="lowerLetter"/>
      <w:start w:val="11"/>
    </w:lvl>
    <w:lvl w:ilvl="1">
      <w:lvlJc w:val="left"/>
      <w:lvlText w:val="%2."/>
      <w:numFmt w:val="upperLetter"/>
      <w:start w:val="2"/>
    </w:lvl>
  </w:abstractNum>
  <w:abstractNum w:abstractNumId="86">
    <w:nsid w:val="69E373"/>
    <w:multiLevelType w:val="hybridMultilevel"/>
    <w:lvl w:ilvl="0">
      <w:lvlJc w:val="left"/>
      <w:lvlText w:val="(%1)"/>
      <w:numFmt w:val="lowerRoman"/>
      <w:start w:val="1"/>
    </w:lvl>
  </w:abstractNum>
  <w:abstractNum w:abstractNumId="87">
    <w:nsid w:val="2C27173B"/>
    <w:multiLevelType w:val="hybridMultilevel"/>
    <w:lvl w:ilvl="0">
      <w:lvlJc w:val="left"/>
      <w:lvlText w:val="(%1)"/>
      <w:numFmt w:val="lowerRoman"/>
      <w:start w:val="1"/>
    </w:lvl>
    <w:lvl w:ilvl="1">
      <w:lvlJc w:val="left"/>
      <w:lvlText w:val="(%2)"/>
      <w:numFmt w:val="lowerLetter"/>
      <w:start w:val="1"/>
    </w:lvl>
  </w:abstractNum>
  <w:abstractNum w:abstractNumId="88">
    <w:nsid w:val="4C9B0904"/>
    <w:multiLevelType w:val="hybridMultilevel"/>
    <w:lvl w:ilvl="0">
      <w:lvlJc w:val="left"/>
      <w:lvlText w:val="(%1)"/>
      <w:numFmt w:val="lowerRoman"/>
      <w:start w:val="1"/>
    </w:lvl>
  </w:abstractNum>
  <w:abstractNum w:abstractNumId="89">
    <w:nsid w:val="6AA7B75C"/>
    <w:multiLevelType w:val="hybridMultilevel"/>
    <w:lvl w:ilvl="0">
      <w:lvlJc w:val="left"/>
      <w:lvlText w:val="(%1)"/>
      <w:numFmt w:val="lowerRoman"/>
      <w:start w:val="2"/>
    </w:lvl>
  </w:abstractNum>
  <w:abstractNum w:abstractNumId="90">
    <w:nsid w:val="1DF029D3"/>
    <w:multiLevelType w:val="hybridMultilevel"/>
    <w:lvl w:ilvl="0">
      <w:lvlJc w:val="left"/>
      <w:lvlText w:val="(%1)"/>
      <w:numFmt w:val="lowerRoman"/>
      <w:start w:val="1"/>
    </w:lvl>
  </w:abstractNum>
  <w:abstractNum w:abstractNumId="91">
    <w:nsid w:val="5675FF36"/>
    <w:multiLevelType w:val="hybridMultilevel"/>
    <w:lvl w:ilvl="0">
      <w:lvlJc w:val="left"/>
      <w:lvlText w:val="(%1)"/>
      <w:numFmt w:val="lowerRoman"/>
      <w:start w:val="1"/>
    </w:lvl>
  </w:abstractNum>
  <w:abstractNum w:abstractNumId="92">
    <w:nsid w:val="3DD15094"/>
    <w:multiLevelType w:val="hybridMultilevel"/>
    <w:lvl w:ilvl="0">
      <w:lvlJc w:val="left"/>
      <w:lvlText w:val="(%1)"/>
      <w:numFmt w:val="lowerRoman"/>
      <w:start w:val="1"/>
    </w:lvl>
  </w:abstractNum>
  <w:abstractNum w:abstractNumId="93">
    <w:nsid w:val="3DB012B3"/>
    <w:multiLevelType w:val="hybridMultilevel"/>
    <w:lvl w:ilvl="0">
      <w:lvlJc w:val="left"/>
      <w:lvlText w:val="(%1)"/>
      <w:numFmt w:val="lowerRoman"/>
      <w:start w:val="1"/>
    </w:lvl>
  </w:abstractNum>
  <w:abstractNum w:abstractNumId="94">
    <w:nsid w:val="2708C9AF"/>
    <w:multiLevelType w:val="hybridMultilevel"/>
    <w:lvl w:ilvl="0">
      <w:lvlJc w:val="left"/>
      <w:lvlText w:val="(%1)"/>
      <w:numFmt w:val="lowerRoman"/>
      <w:start w:val="1"/>
    </w:lvl>
  </w:abstractNum>
  <w:abstractNum w:abstractNumId="95">
    <w:nsid w:val="5B25ACE2"/>
    <w:multiLevelType w:val="hybridMultilevel"/>
    <w:lvl w:ilvl="0">
      <w:lvlJc w:val="left"/>
      <w:lvlText w:val="(%1)"/>
      <w:numFmt w:val="lowerRoman"/>
      <w:start w:val="2"/>
    </w:lvl>
  </w:abstractNum>
  <w:abstractNum w:abstractNumId="96">
    <w:nsid w:val="175DFCF0"/>
    <w:multiLevelType w:val="hybridMultilevel"/>
    <w:lvl w:ilvl="0">
      <w:lvlJc w:val="left"/>
      <w:lvlText w:val="(%1)"/>
      <w:numFmt w:val="decimal"/>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1)"/>
      <w:numFmt w:val="decimal"/>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
      <w:numFmt w:val="bullet"/>
      <w:start w:val="1"/>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
      <w:numFmt w:val="bullet"/>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1)"/>
      <w:numFmt w:val="decimal"/>
      <w:start w:val="3"/>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1)"/>
      <w:numFmt w:val="lowerLetter"/>
      <w:start w:val="1"/>
    </w:lvl>
  </w:abstractNum>
  <w:abstractNum w:abstractNumId="109">
    <w:nsid w:val="5EC6AFD4"/>
    <w:multiLevelType w:val="hybridMultilevel"/>
    <w:lvl w:ilvl="0">
      <w:lvlJc w:val="left"/>
      <w:lvlText w:val="(%1)"/>
      <w:numFmt w:val="lowerLetter"/>
      <w:start w:val="2"/>
    </w:lvl>
  </w:abstractNum>
  <w:abstractNum w:abstractNumId="110">
    <w:nsid w:val="19E21BB2"/>
    <w:multiLevelType w:val="hybridMultilevel"/>
    <w:lvl w:ilvl="0">
      <w:lvlJc w:val="left"/>
      <w:lvlText w:val="(%1)"/>
      <w:numFmt w:val="lowerRoman"/>
      <w:start w:val="1"/>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1)"/>
      <w:numFmt w:val="decimal"/>
      <w:start w:val="1"/>
    </w:lvl>
  </w:abstractNum>
  <w:abstractNum w:abstractNumId="113">
    <w:nsid w:val="5399C654"/>
    <w:multiLevelType w:val="hybridMultilevel"/>
    <w:lvl w:ilvl="0">
      <w:lvlJc w:val="left"/>
      <w:lvlText w:val="(%1)"/>
      <w:numFmt w:val="decimal"/>
      <w:start w:val="1"/>
    </w:lvl>
  </w:abstractNum>
  <w:abstractNum w:abstractNumId="114">
    <w:nsid w:val="20EE1348"/>
    <w:multiLevelType w:val="hybridMultilevel"/>
    <w:lvl w:ilvl="0">
      <w:lvlJc w:val="left"/>
      <w:lvlText w:val="(%1)"/>
      <w:numFmt w:val="lowerLetter"/>
      <w:start w:val="1"/>
    </w:lvl>
  </w:abstractNum>
  <w:abstractNum w:abstractNumId="115">
    <w:nsid w:val="4427069A"/>
    <w:multiLevelType w:val="hybridMultilevel"/>
    <w:lvl w:ilvl="0">
      <w:lvlJc w:val="left"/>
      <w:lvlText w:val="(%1)"/>
      <w:numFmt w:val="lowerLetter"/>
      <w:start w:val="2"/>
    </w:lvl>
  </w:abstractNum>
  <w:abstractNum w:abstractNumId="116">
    <w:nsid w:val="B37E80A"/>
    <w:multiLevelType w:val="hybridMultilevel"/>
    <w:lvl w:ilvl="0">
      <w:lvlJc w:val="left"/>
      <w:lvlText w:val="(%1)"/>
      <w:numFmt w:val="lowerLetter"/>
      <w:start w:val="3"/>
    </w:lvl>
  </w:abstractNum>
  <w:abstractNum w:abstractNumId="117">
    <w:nsid w:val="2157F6BC"/>
    <w:multiLevelType w:val="hybridMultilevel"/>
    <w:lvl w:ilvl="0">
      <w:lvlJc w:val="left"/>
      <w:lvlText w:val="(%1)"/>
      <w:numFmt w:val="lowerLetter"/>
      <w:start w:val="4"/>
    </w:lvl>
  </w:abstractNum>
  <w:abstractNum w:abstractNumId="118">
    <w:nsid w:val="704E1DD5"/>
    <w:multiLevelType w:val="hybridMultilevel"/>
    <w:lvl w:ilvl="0">
      <w:lvlJc w:val="left"/>
      <w:lvlText w:val="(%1)"/>
      <w:numFmt w:val="lowerLetter"/>
      <w:start w:val="5"/>
    </w:lvl>
  </w:abstractNum>
  <w:abstractNum w:abstractNumId="119">
    <w:nsid w:val="57D2F10E"/>
    <w:multiLevelType w:val="hybridMultilevel"/>
    <w:lvl w:ilvl="0">
      <w:lvlJc w:val="left"/>
      <w:lvlText w:val="(%1)"/>
      <w:numFmt w:val="lowerLetter"/>
      <w:start w:val="6"/>
    </w:lvl>
  </w:abstractNum>
  <w:abstractNum w:abstractNumId="120">
    <w:nsid w:val="BFFAE18"/>
    <w:multiLevelType w:val="hybridMultilevel"/>
    <w:lvl w:ilvl="0">
      <w:lvlJc w:val="left"/>
      <w:lvlText w:val="(%1)"/>
      <w:numFmt w:val="lowerLetter"/>
      <w:start w:val="7"/>
    </w:lvl>
  </w:abstractNum>
  <w:abstractNum w:abstractNumId="121">
    <w:nsid w:val="E3E47A8"/>
    <w:multiLevelType w:val="hybridMultilevel"/>
    <w:lvl w:ilvl="0">
      <w:lvlJc w:val="left"/>
      <w:lvlText w:val="(%1)"/>
      <w:numFmt w:val="lowerLetter"/>
      <w:start w:val="8"/>
    </w:lvl>
  </w:abstractNum>
  <w:abstractNum w:abstractNumId="122">
    <w:nsid w:val="2E48F044"/>
    <w:multiLevelType w:val="hybridMultilevel"/>
    <w:lvl w:ilvl="0">
      <w:lvlJc w:val="left"/>
      <w:lvlText w:val="(%1)"/>
      <w:numFmt w:val="lowerRoman"/>
      <w:start w:val="1"/>
    </w:lvl>
  </w:abstractNum>
  <w:abstractNum w:abstractNumId="123">
    <w:nsid w:val="49D0FEAC"/>
    <w:multiLevelType w:val="hybridMultilevel"/>
    <w:lvl w:ilvl="0">
      <w:lvlJc w:val="left"/>
      <w:lvlText w:val="(%1)"/>
      <w:numFmt w:val="lowerLetter"/>
      <w:start w:val="10"/>
    </w:lvl>
  </w:abstractNum>
  <w:abstractNum w:abstractNumId="124">
    <w:nsid w:val="4BEE5A5B"/>
    <w:multiLevelType w:val="hybridMultilevel"/>
    <w:lvl w:ilvl="0">
      <w:lvlJc w:val="left"/>
      <w:lvlText w:val="(%1)"/>
      <w:numFmt w:val="lowerLetter"/>
      <w:start w:val="11"/>
    </w:lvl>
  </w:abstractNum>
  <w:abstractNum w:abstractNumId="125">
    <w:nsid w:val="5551B9F3"/>
    <w:multiLevelType w:val="hybridMultilevel"/>
    <w:lvl w:ilvl="0">
      <w:lvlJc w:val="left"/>
      <w:lvlText w:val="(%1)"/>
      <w:numFmt w:val="lowerLetter"/>
      <w:start w:val="12"/>
    </w:lvl>
  </w:abstractNum>
  <w:abstractNum w:abstractNumId="126">
    <w:nsid w:val="24F6AB8E"/>
    <w:multiLevelType w:val="hybridMultilevel"/>
    <w:lvl w:ilvl="0">
      <w:lvlJc w:val="left"/>
      <w:lvlText w:val="(%1)"/>
      <w:numFmt w:val="lowerRoman"/>
      <w:start w:val="1"/>
    </w:lvl>
  </w:abstractNum>
  <w:abstractNum w:abstractNumId="127">
    <w:nsid w:val="634C574C"/>
    <w:multiLevelType w:val="hybridMultilevel"/>
    <w:lvl w:ilvl="0">
      <w:lvlJc w:val="left"/>
      <w:lvlText w:val="(%1)"/>
      <w:numFmt w:val="lowerRoman"/>
      <w:start w:val="1"/>
    </w:lvl>
  </w:abstractNum>
  <w:abstractNum w:abstractNumId="128">
    <w:nsid w:val="24E99DD7"/>
    <w:multiLevelType w:val="hybridMultilevel"/>
    <w:lvl w:ilvl="0">
      <w:lvlJc w:val="left"/>
      <w:lvlText w:val="%1."/>
      <w:numFmt w:val="decimal"/>
      <w:start w:val="13"/>
    </w:lvl>
    <w:lvl w:ilvl="1">
      <w:lvlJc w:val="left"/>
      <w:lvlText w:val="(%2)"/>
      <w:numFmt w:val="lowerRoman"/>
      <w:start w:val="5"/>
    </w:lvl>
  </w:abstractNum>
  <w:abstractNum w:abstractNumId="129">
    <w:nsid w:val="2A31B62D"/>
    <w:multiLevelType w:val="hybridMultilevel"/>
    <w:lvl w:ilvl="0">
      <w:lvlJc w:val="left"/>
      <w:lvlText w:val="(%1)"/>
      <w:numFmt w:val="lowerLetter"/>
      <w:start w:val="1"/>
    </w:lvl>
  </w:abstractNum>
  <w:abstractNum w:abstractNumId="130">
    <w:nsid w:val="1849C29B"/>
    <w:multiLevelType w:val="hybridMultilevel"/>
    <w:lvl w:ilvl="0">
      <w:lvlJc w:val="left"/>
      <w:lvlText w:val="(%1)"/>
      <w:numFmt w:val="lowerLetter"/>
      <w:start w:val="8"/>
    </w:lvl>
  </w:abstractNum>
  <w:abstractNum w:abstractNumId="131">
    <w:nsid w:val="7DFF9D09"/>
    <w:multiLevelType w:val="hybridMultilevel"/>
    <w:lvl w:ilvl="0">
      <w:lvlJc w:val="left"/>
      <w:lvlText w:val="%1."/>
      <w:numFmt w:val="decimal"/>
      <w:start w:val="22"/>
    </w:lvl>
    <w:lvl w:ilvl="1">
      <w:lvlJc w:val="left"/>
      <w:lvlText w:val="(%2)"/>
      <w:numFmt w:val="lowerLetter"/>
      <w:start w:val="1"/>
    </w:lvl>
  </w:abstractNum>
  <w:abstractNum w:abstractNumId="132">
    <w:nsid w:val="754342"/>
    <w:multiLevelType w:val="hybridMultilevel"/>
    <w:lvl w:ilvl="0">
      <w:lvlJc w:val="left"/>
      <w:lvlText w:val="%1."/>
      <w:numFmt w:val="decimal"/>
      <w:start w:val="22"/>
    </w:lvl>
    <w:lvl w:ilvl="1">
      <w:lvlJc w:val="left"/>
      <w:lvlText w:val="(%2)"/>
      <w:numFmt w:val="lowerLetter"/>
      <w:start w:val="2"/>
    </w:lvl>
  </w:abstractNum>
  <w:abstractNum w:abstractNumId="133">
    <w:nsid w:val="69E7F3E5"/>
    <w:multiLevelType w:val="hybridMultilevel"/>
    <w:lvl w:ilvl="0">
      <w:lvlJc w:val="left"/>
      <w:lvlText w:val="(%1)"/>
      <w:numFmt w:val="lowerLetter"/>
      <w:start w:val="3"/>
    </w:lvl>
  </w:abstractNum>
  <w:abstractNum w:abstractNumId="134">
    <w:nsid w:val="2A6DE806"/>
    <w:multiLevelType w:val="hybridMultilevel"/>
    <w:lvl w:ilvl="0">
      <w:lvlJc w:val="left"/>
      <w:lvlText w:val="•"/>
      <w:numFmt w:val="bullet"/>
      <w:start w:val="1"/>
    </w:lvl>
  </w:abstractNum>
  <w:abstractNum w:abstractNumId="135">
    <w:nsid w:val="1816F8C4"/>
    <w:multiLevelType w:val="hybridMultilevel"/>
    <w:lvl w:ilvl="0">
      <w:lvlJc w:val="left"/>
      <w:lvlText w:val="%1."/>
      <w:numFmt w:val="decimal"/>
      <w:start w:val="22"/>
    </w:lvl>
    <w:lvl w:ilvl="1">
      <w:lvlJc w:val="left"/>
      <w:lvlText w:val="(%2)"/>
      <w:numFmt w:val="lowerLetter"/>
      <w:start w:val="3"/>
    </w:lvl>
    <w:lvl w:ilvl="2">
      <w:lvlJc w:val="left"/>
      <w:lvlText w:val="•"/>
      <w:numFmt w:val="bullet"/>
      <w:start w:val="1"/>
    </w:lvl>
  </w:abstractNum>
  <w:abstractNum w:abstractNumId="136">
    <w:nsid w:val="37DF2233"/>
    <w:multiLevelType w:val="hybridMultilevel"/>
    <w:lvl w:ilvl="0">
      <w:lvlJc w:val="left"/>
      <w:lvlText w:val="(%1)"/>
      <w:numFmt w:val="lowerLetter"/>
      <w:start w:val="5"/>
    </w:lvl>
  </w:abstractNum>
  <w:abstractNum w:abstractNumId="137">
    <w:nsid w:val="7AB49DAF"/>
    <w:multiLevelType w:val="hybridMultilevel"/>
    <w:lvl w:ilvl="0">
      <w:lvlJc w:val="left"/>
      <w:lvlText w:val="%1."/>
      <w:numFmt w:val="decimal"/>
      <w:start w:val="22"/>
    </w:lvl>
    <w:lvl w:ilvl="1">
      <w:lvlJc w:val="left"/>
      <w:lvlText w:val="(%2)"/>
      <w:numFmt w:val="lowerLetter"/>
      <w:start w:val="8"/>
    </w:lvl>
  </w:abstractNum>
  <w:abstractNum w:abstractNumId="138">
    <w:nsid w:val="759F82CD"/>
    <w:multiLevelType w:val="hybridMultilevel"/>
    <w:lvl w:ilvl="0">
      <w:lvlJc w:val="left"/>
      <w:lvlText w:val="(%1)"/>
      <w:numFmt w:val="lowerLetter"/>
      <w:start w:val="9"/>
    </w:lvl>
  </w:abstractNum>
  <w:abstractNum w:abstractNumId="139">
    <w:nsid w:val="61E74EA3"/>
    <w:multiLevelType w:val="hybridMultilevel"/>
    <w:lvl w:ilvl="0">
      <w:lvlJc w:val="left"/>
      <w:lvlText w:val="%1."/>
      <w:numFmt w:val="decimal"/>
      <w:start w:val="22"/>
    </w:lvl>
    <w:lvl w:ilvl="1">
      <w:lvlJc w:val="left"/>
      <w:lvlText w:val="•"/>
      <w:numFmt w:val="bullet"/>
      <w:start w:val="1"/>
    </w:lvl>
  </w:abstractNum>
  <w:abstractNum w:abstractNumId="140">
    <w:nsid w:val="597B4D84"/>
    <w:multiLevelType w:val="hybridMultilevel"/>
    <w:lvl w:ilvl="0">
      <w:lvlJc w:val="left"/>
      <w:lvlText w:val="*"/>
      <w:numFmt w:val="bullet"/>
      <w:start w:val="1"/>
    </w:lvl>
  </w:abstractNum>
  <w:abstractNum w:abstractNumId="141">
    <w:nsid w:val="F819E7F"/>
    <w:multiLevelType w:val="hybridMultilevel"/>
    <w:lvl w:ilvl="0">
      <w:lvlJc w:val="left"/>
      <w:lvlText w:val="(%1)"/>
      <w:numFmt w:val="decimal"/>
      <w:start w:val="1"/>
    </w:lvl>
  </w:abstractNum>
  <w:abstractNum w:abstractNumId="142">
    <w:nsid w:val="57C7D42D"/>
    <w:multiLevelType w:val="hybridMultilevel"/>
    <w:lvl w:ilvl="0">
      <w:lvlJc w:val="left"/>
      <w:lvlText w:val="(%1)"/>
      <w:numFmt w:val="decimal"/>
      <w:start w:val="1"/>
    </w:lvl>
  </w:abstractNum>
  <w:abstractNum w:abstractNumId="143">
    <w:nsid w:val="312167AD"/>
    <w:multiLevelType w:val="hybridMultilevel"/>
    <w:lvl w:ilvl="0">
      <w:lvlJc w:val="left"/>
      <w:lvlText w:val="•"/>
      <w:numFmt w:val="bullet"/>
      <w:start w:val="1"/>
    </w:lvl>
  </w:abstractNum>
  <w:abstractNum w:abstractNumId="144">
    <w:nsid w:val="631B64D4"/>
    <w:multiLevelType w:val="hybridMultilevel"/>
    <w:lvl w:ilvl="0">
      <w:lvlJc w:val="left"/>
      <w:lvlText w:val="%1."/>
      <w:numFmt w:val="decimal"/>
      <w:start w:val="25"/>
    </w:lvl>
    <w:lvl w:ilvl="1">
      <w:lvlJc w:val="left"/>
      <w:lvlText w:val="•"/>
      <w:numFmt w:val="bullet"/>
      <w:start w:val="1"/>
    </w:lvl>
  </w:abstractNum>
  <w:abstractNum w:abstractNumId="145">
    <w:nsid w:val="78B5E776"/>
    <w:multiLevelType w:val="hybridMultilevel"/>
    <w:lvl w:ilvl="0">
      <w:lvlJc w:val="left"/>
      <w:lvlText w:val="%1."/>
      <w:numFmt w:val="decimal"/>
      <w:start w:val="1"/>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165" Type="http://schemas.openxmlformats.org/officeDocument/2006/relationships/hyperlink" Target="http://www.sec.gov/Archives/edgar/data/1534126/000093041312001544/c67840_ex3-1.htm" TargetMode="External"/><Relationship Id="rId166" Type="http://schemas.openxmlformats.org/officeDocument/2006/relationships/hyperlink" Target="http://www.sec.gov/Archives/edgar/data/1534126/000093041312001544/c67840_ex3-2.htm" TargetMode="External"/><Relationship Id="rId167" Type="http://schemas.openxmlformats.org/officeDocument/2006/relationships/hyperlink" Target="http://www.sec.gov/Archives/edgar/data/1534126/000093041313003127/c73940_ex3-1.htm" TargetMode="External"/><Relationship Id="rId168" Type="http://schemas.openxmlformats.org/officeDocument/2006/relationships/hyperlink" Target="http://www.sec.gov/Archives/edgar/data/1534126/000093041312001544/c67840_ex4-1.htm" TargetMode="External"/><Relationship Id="rId169" Type="http://schemas.openxmlformats.org/officeDocument/2006/relationships/hyperlink" Target="http://www.sec.gov/Archives/edgar/data/1534126/000093041312001612/c67840_ex4-2.htm" TargetMode="External"/><Relationship Id="rId170" Type="http://schemas.openxmlformats.org/officeDocument/2006/relationships/hyperlink" Target="http://www.sec.gov/Archives/edgar/data/1534126/000093041312000189/c67840_ex10-4.htm" TargetMode="External"/><Relationship Id="rId171" Type="http://schemas.openxmlformats.org/officeDocument/2006/relationships/hyperlink" Target="http://www.sec.gov/Archives/edgar/data/1534126/000093041312000189/c67840_ex10-5.htm" TargetMode="External"/><Relationship Id="rId172" Type="http://schemas.openxmlformats.org/officeDocument/2006/relationships/hyperlink" Target="http://www.sec.gov/Archives/edgar/data/1534126/000093041312001544/c67840_ex10-20.htm" TargetMode="External"/><Relationship Id="rId173" Type="http://schemas.openxmlformats.org/officeDocument/2006/relationships/hyperlink" Target="http://www.sec.gov/Archives/edgar/data/1534126/000093041316006011/c84192_ex4-5.htm" TargetMode="External"/><Relationship Id="rId174" Type="http://schemas.openxmlformats.org/officeDocument/2006/relationships/hyperlink" Target="http://www.sec.gov/Archives/edgar/data/1534126/000093041312001612/c67840_ex10-23.htm" TargetMode="External"/><Relationship Id="rId175" Type="http://schemas.openxmlformats.org/officeDocument/2006/relationships/hyperlink" Target="http://www.sec.gov/Archives/edgar/data/1534126/000093041313001382/c72925_ex4-5.htm" TargetMode="External"/><Relationship Id="rId176" Type="http://schemas.openxmlformats.org/officeDocument/2006/relationships/hyperlink" Target="http://www.sec.gov/Archives/edgar/data/1598655/000093041315000689/c80183_ex4-22.htm" TargetMode="External"/><Relationship Id="rId177" Type="http://schemas.openxmlformats.org/officeDocument/2006/relationships/hyperlink" Target="http://www.sec.gov/Archives/edgar/data/1598655/000093041315000689/c80183_ex4-23.htm" TargetMode="External"/><Relationship Id="rId180" Type="http://schemas.openxmlformats.org/officeDocument/2006/relationships/hyperlink" Target="http://www.sec.gov/Archives/edgar/data/1534126/000093041316006011/c84192_ex4-10.htm" TargetMode="External"/><Relationship Id="rId181" Type="http://schemas.openxmlformats.org/officeDocument/2006/relationships/hyperlink" Target="http://www.sec.gov/Archives/edgar/data/1534126/000093041316006011/c84192_ex4-11.htm" TargetMode="External"/><Relationship Id="rId182" Type="http://schemas.openxmlformats.org/officeDocument/2006/relationships/hyperlink" Target="http://www.sec.gov/Archives/edgar/data/1534126/000093041316006011/c84192_ex4-12.htm" TargetMode="External"/><Relationship Id="rId183" Type="http://schemas.openxmlformats.org/officeDocument/2006/relationships/hyperlink" Target="http://www.sec.gov/Archives/edgar/data/1534126/000093041316006011/c84192_ex4-13.htm" TargetMode="External"/><Relationship Id="rId184" Type="http://schemas.openxmlformats.org/officeDocument/2006/relationships/hyperlink" Target="http://www.sec.gov/Archives/edgar/data/1534126/000093041316006011/c84192_ex4-14.htm" TargetMode="External"/><Relationship Id="rId185" Type="http://schemas.openxmlformats.org/officeDocument/2006/relationships/hyperlink" Target="http://www.sec.gov/Archives/edgar/data/1534126/000093041316007781/c85737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2019-12-08T00:57:42Z</dcterms:created>
  <dcterms:modified xsi:type="dcterms:W3CDTF">2019-12-08T00:57:42Z</dcterms:modified>
</cp:coreProperties>
</file>