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SECURITIES AND EXCHANGE COMMISSION</w:t>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111760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80" w:lineRule="exact"/>
        <w:rPr>
          <w:sz w:val="24"/>
          <w:szCs w:val="24"/>
          <w:color w:val="auto"/>
        </w:rPr>
      </w:pPr>
    </w:p>
    <w:p>
      <w:pPr>
        <w:jc w:val="center"/>
        <w:ind w:right="60"/>
        <w:spacing w:after="0"/>
        <w:rPr>
          <w:sz w:val="20"/>
          <w:szCs w:val="20"/>
          <w:color w:val="auto"/>
        </w:rPr>
      </w:pPr>
      <w:r>
        <w:rPr>
          <w:rFonts w:ascii="Arial" w:cs="Arial" w:eastAsia="Arial" w:hAnsi="Arial"/>
          <w:sz w:val="23"/>
          <w:szCs w:val="23"/>
          <w:b w:val="1"/>
          <w:bCs w:val="1"/>
          <w:color w:val="auto"/>
        </w:rPr>
        <w:t>SCHEDULE 13E-3</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5)</w:t>
      </w:r>
    </w:p>
    <w:p>
      <w:pPr>
        <w:spacing w:after="0" w:line="8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RULE 13E-3 TRANSACTION STATEMENT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Section 13(e)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100330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ind w:left="4960"/>
        <w:spacing w:after="0"/>
        <w:rPr>
          <w:sz w:val="20"/>
          <w:szCs w:val="20"/>
          <w:color w:val="auto"/>
        </w:rPr>
      </w:pPr>
      <w:r>
        <w:rPr>
          <w:rFonts w:ascii="Arial" w:cs="Arial" w:eastAsia="Arial" w:hAnsi="Arial"/>
          <w:sz w:val="23"/>
          <w:szCs w:val="23"/>
          <w:b w:val="1"/>
          <w:bCs w:val="1"/>
          <w:color w:val="auto"/>
        </w:rPr>
        <w:t>GasLog Ltd.</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the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133350</wp:posOffset>
            </wp:positionV>
            <wp:extent cx="18002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38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GasLog Ltd.</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Blenheim Holdings Ltd.</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Blenheim Special Investments Holding Ltd.</w:t>
      </w:r>
    </w:p>
    <w:tbl>
      <w:tblPr>
        <w:tblLayout w:type="fixed"/>
        <w:tblInd w:w="1460" w:type="dxa"/>
        <w:tblCellMar>
          <w:top w:w="0" w:type="dxa"/>
          <w:left w:w="0" w:type="dxa"/>
          <w:bottom w:w="0" w:type="dxa"/>
          <w:right w:w="0" w:type="dxa"/>
        </w:tblCellMar>
      </w:tblPr>
      <w:tr>
        <w:trPr>
          <w:trHeight w:val="207"/>
        </w:trPr>
        <w:tc>
          <w:tcPr>
            <w:tcW w:w="2720" w:type="dxa"/>
            <w:vAlign w:val="bottom"/>
          </w:tcPr>
          <w:p>
            <w:pPr>
              <w:spacing w:after="0"/>
              <w:rPr>
                <w:sz w:val="17"/>
                <w:szCs w:val="17"/>
                <w:color w:val="auto"/>
              </w:rPr>
            </w:pPr>
          </w:p>
        </w:tc>
        <w:tc>
          <w:tcPr>
            <w:tcW w:w="6300" w:type="dxa"/>
            <w:vAlign w:val="bottom"/>
          </w:tcPr>
          <w:p>
            <w:pPr>
              <w:jc w:val="center"/>
              <w:ind w:right="3350"/>
              <w:spacing w:after="0"/>
              <w:rPr>
                <w:sz w:val="20"/>
                <w:szCs w:val="20"/>
                <w:color w:val="auto"/>
              </w:rPr>
            </w:pPr>
            <w:r>
              <w:rPr>
                <w:rFonts w:ascii="Arial" w:cs="Arial" w:eastAsia="Arial" w:hAnsi="Arial"/>
                <w:sz w:val="18"/>
                <w:szCs w:val="18"/>
                <w:b w:val="1"/>
                <w:bCs w:val="1"/>
                <w:color w:val="auto"/>
                <w:w w:val="90"/>
              </w:rPr>
              <w:t>Ceres Shipping Ltd.</w:t>
            </w:r>
          </w:p>
        </w:tc>
      </w:tr>
      <w:tr>
        <w:trPr>
          <w:trHeight w:val="216"/>
        </w:trPr>
        <w:tc>
          <w:tcPr>
            <w:tcW w:w="2720" w:type="dxa"/>
            <w:vAlign w:val="bottom"/>
          </w:tcPr>
          <w:p>
            <w:pPr>
              <w:spacing w:after="0"/>
              <w:rPr>
                <w:sz w:val="18"/>
                <w:szCs w:val="18"/>
                <w:color w:val="auto"/>
              </w:rPr>
            </w:pPr>
          </w:p>
        </w:tc>
        <w:tc>
          <w:tcPr>
            <w:tcW w:w="6300" w:type="dxa"/>
            <w:vAlign w:val="bottom"/>
          </w:tcPr>
          <w:p>
            <w:pPr>
              <w:jc w:val="center"/>
              <w:ind w:right="3370"/>
              <w:spacing w:after="0"/>
              <w:rPr>
                <w:sz w:val="20"/>
                <w:szCs w:val="20"/>
                <w:color w:val="auto"/>
              </w:rPr>
            </w:pPr>
            <w:r>
              <w:rPr>
                <w:rFonts w:ascii="Arial" w:cs="Arial" w:eastAsia="Arial" w:hAnsi="Arial"/>
                <w:sz w:val="18"/>
                <w:szCs w:val="18"/>
                <w:b w:val="1"/>
                <w:bCs w:val="1"/>
                <w:color w:val="auto"/>
                <w:w w:val="90"/>
              </w:rPr>
              <w:t>Peter G. Livanos</w:t>
            </w:r>
          </w:p>
        </w:tc>
      </w:tr>
      <w:tr>
        <w:trPr>
          <w:trHeight w:val="216"/>
        </w:trPr>
        <w:tc>
          <w:tcPr>
            <w:tcW w:w="2720" w:type="dxa"/>
            <w:vAlign w:val="bottom"/>
          </w:tcPr>
          <w:p>
            <w:pPr>
              <w:spacing w:after="0"/>
              <w:rPr>
                <w:sz w:val="18"/>
                <w:szCs w:val="18"/>
                <w:color w:val="auto"/>
              </w:rPr>
            </w:pPr>
          </w:p>
        </w:tc>
        <w:tc>
          <w:tcPr>
            <w:tcW w:w="6300" w:type="dxa"/>
            <w:vAlign w:val="bottom"/>
          </w:tcPr>
          <w:p>
            <w:pPr>
              <w:jc w:val="center"/>
              <w:ind w:right="3370"/>
              <w:spacing w:after="0"/>
              <w:rPr>
                <w:sz w:val="20"/>
                <w:szCs w:val="20"/>
                <w:color w:val="auto"/>
              </w:rPr>
            </w:pPr>
            <w:r>
              <w:rPr>
                <w:rFonts w:ascii="Arial" w:cs="Arial" w:eastAsia="Arial" w:hAnsi="Arial"/>
                <w:sz w:val="18"/>
                <w:szCs w:val="18"/>
                <w:b w:val="1"/>
                <w:bCs w:val="1"/>
                <w:color w:val="auto"/>
                <w:w w:val="93"/>
              </w:rPr>
              <w:t>Olympic LNG Investments Ltd.</w:t>
            </w:r>
          </w:p>
        </w:tc>
      </w:tr>
      <w:tr>
        <w:trPr>
          <w:trHeight w:val="216"/>
        </w:trPr>
        <w:tc>
          <w:tcPr>
            <w:tcW w:w="2720" w:type="dxa"/>
            <w:vAlign w:val="bottom"/>
          </w:tcPr>
          <w:p>
            <w:pPr>
              <w:spacing w:after="0"/>
              <w:rPr>
                <w:sz w:val="18"/>
                <w:szCs w:val="18"/>
                <w:color w:val="auto"/>
              </w:rPr>
            </w:pPr>
          </w:p>
        </w:tc>
        <w:tc>
          <w:tcPr>
            <w:tcW w:w="6300" w:type="dxa"/>
            <w:vAlign w:val="bottom"/>
          </w:tcPr>
          <w:p>
            <w:pPr>
              <w:jc w:val="center"/>
              <w:ind w:right="3370"/>
              <w:spacing w:after="0"/>
              <w:rPr>
                <w:sz w:val="20"/>
                <w:szCs w:val="20"/>
                <w:color w:val="auto"/>
              </w:rPr>
            </w:pPr>
            <w:r>
              <w:rPr>
                <w:rFonts w:ascii="Arial" w:cs="Arial" w:eastAsia="Arial" w:hAnsi="Arial"/>
                <w:sz w:val="18"/>
                <w:szCs w:val="18"/>
                <w:b w:val="1"/>
                <w:bCs w:val="1"/>
                <w:color w:val="auto"/>
                <w:w w:val="96"/>
              </w:rPr>
              <w:t>GEPIF III Crown Bidco L.P.</w:t>
            </w:r>
          </w:p>
        </w:tc>
      </w:tr>
      <w:tr>
        <w:trPr>
          <w:trHeight w:val="216"/>
        </w:trPr>
        <w:tc>
          <w:tcPr>
            <w:tcW w:w="9020" w:type="dxa"/>
            <w:vAlign w:val="bottom"/>
            <w:gridSpan w:val="2"/>
          </w:tcPr>
          <w:p>
            <w:pPr>
              <w:jc w:val="center"/>
              <w:ind w:right="650"/>
              <w:spacing w:after="0"/>
              <w:rPr>
                <w:sz w:val="20"/>
                <w:szCs w:val="20"/>
                <w:color w:val="auto"/>
              </w:rPr>
            </w:pPr>
            <w:r>
              <w:rPr>
                <w:rFonts w:ascii="Arial" w:cs="Arial" w:eastAsia="Arial" w:hAnsi="Arial"/>
                <w:sz w:val="18"/>
                <w:szCs w:val="18"/>
                <w:b w:val="1"/>
                <w:bCs w:val="1"/>
                <w:color w:val="auto"/>
                <w:w w:val="95"/>
              </w:rPr>
              <w:t>Global Energy &amp; Power Infrastructure Fund III, L.P.</w:t>
            </w:r>
          </w:p>
        </w:tc>
      </w:tr>
      <w:tr>
        <w:trPr>
          <w:trHeight w:val="234"/>
        </w:trPr>
        <w:tc>
          <w:tcPr>
            <w:tcW w:w="2720" w:type="dxa"/>
            <w:vAlign w:val="bottom"/>
          </w:tcPr>
          <w:p>
            <w:pPr>
              <w:spacing w:after="0"/>
              <w:rPr>
                <w:sz w:val="20"/>
                <w:szCs w:val="20"/>
                <w:color w:val="auto"/>
              </w:rPr>
            </w:pPr>
          </w:p>
        </w:tc>
        <w:tc>
          <w:tcPr>
            <w:tcW w:w="6300" w:type="dxa"/>
            <w:vAlign w:val="bottom"/>
          </w:tcPr>
          <w:p>
            <w:pPr>
              <w:jc w:val="center"/>
              <w:ind w:right="3330"/>
              <w:spacing w:after="0"/>
              <w:rPr>
                <w:sz w:val="20"/>
                <w:szCs w:val="20"/>
                <w:color w:val="auto"/>
              </w:rPr>
            </w:pPr>
            <w:r>
              <w:rPr>
                <w:rFonts w:ascii="Arial" w:cs="Arial" w:eastAsia="Arial" w:hAnsi="Arial"/>
                <w:sz w:val="18"/>
                <w:szCs w:val="18"/>
                <w:b w:val="1"/>
                <w:bCs w:val="1"/>
                <w:color w:val="auto"/>
                <w:w w:val="89"/>
              </w:rPr>
              <w:t>(Name of Persons Filing Statement)</w:t>
            </w:r>
          </w:p>
        </w:tc>
      </w:tr>
      <w:tr>
        <w:trPr>
          <w:trHeight w:val="296"/>
        </w:trPr>
        <w:tc>
          <w:tcPr>
            <w:tcW w:w="9020" w:type="dxa"/>
            <w:vAlign w:val="bottom"/>
            <w:gridSpan w:val="2"/>
          </w:tcPr>
          <w:p>
            <w:pPr>
              <w:jc w:val="center"/>
              <w:ind w:right="630"/>
              <w:spacing w:after="0"/>
              <w:rPr>
                <w:sz w:val="20"/>
                <w:szCs w:val="20"/>
                <w:color w:val="auto"/>
              </w:rPr>
            </w:pPr>
            <w:r>
              <w:rPr>
                <w:rFonts w:ascii="Arial" w:cs="Arial" w:eastAsia="Arial" w:hAnsi="Arial"/>
                <w:sz w:val="18"/>
                <w:szCs w:val="18"/>
                <w:b w:val="1"/>
                <w:bCs w:val="1"/>
                <w:color w:val="auto"/>
                <w:w w:val="89"/>
              </w:rPr>
              <w:t>Common Shares, par value $0.01 per share</w:t>
            </w:r>
          </w:p>
        </w:tc>
      </w:tr>
      <w:tr>
        <w:trPr>
          <w:trHeight w:val="230"/>
        </w:trPr>
        <w:tc>
          <w:tcPr>
            <w:tcW w:w="2720" w:type="dxa"/>
            <w:vAlign w:val="bottom"/>
          </w:tcPr>
          <w:p>
            <w:pPr>
              <w:spacing w:after="0"/>
              <w:rPr>
                <w:sz w:val="20"/>
                <w:szCs w:val="20"/>
                <w:color w:val="auto"/>
              </w:rPr>
            </w:pPr>
          </w:p>
        </w:tc>
        <w:tc>
          <w:tcPr>
            <w:tcW w:w="6300" w:type="dxa"/>
            <w:vAlign w:val="bottom"/>
          </w:tcPr>
          <w:p>
            <w:pPr>
              <w:jc w:val="center"/>
              <w:ind w:right="3330"/>
              <w:spacing w:after="0"/>
              <w:rPr>
                <w:sz w:val="20"/>
                <w:szCs w:val="20"/>
                <w:color w:val="auto"/>
              </w:rPr>
            </w:pPr>
            <w:r>
              <w:rPr>
                <w:rFonts w:ascii="Arial" w:cs="Arial" w:eastAsia="Arial" w:hAnsi="Arial"/>
                <w:sz w:val="18"/>
                <w:szCs w:val="18"/>
                <w:color w:val="auto"/>
                <w:w w:val="92"/>
              </w:rPr>
              <w:t>(Title of Class of Securities)</w:t>
            </w:r>
          </w:p>
        </w:tc>
      </w:tr>
      <w:tr>
        <w:trPr>
          <w:trHeight w:val="296"/>
        </w:trPr>
        <w:tc>
          <w:tcPr>
            <w:tcW w:w="2720" w:type="dxa"/>
            <w:vAlign w:val="bottom"/>
          </w:tcPr>
          <w:p>
            <w:pPr>
              <w:spacing w:after="0"/>
              <w:rPr>
                <w:sz w:val="24"/>
                <w:szCs w:val="24"/>
                <w:color w:val="auto"/>
              </w:rPr>
            </w:pPr>
          </w:p>
        </w:tc>
        <w:tc>
          <w:tcPr>
            <w:tcW w:w="6300" w:type="dxa"/>
            <w:vAlign w:val="bottom"/>
          </w:tcPr>
          <w:p>
            <w:pPr>
              <w:jc w:val="center"/>
              <w:ind w:right="3350"/>
              <w:spacing w:after="0"/>
              <w:rPr>
                <w:sz w:val="20"/>
                <w:szCs w:val="20"/>
                <w:color w:val="auto"/>
              </w:rPr>
            </w:pPr>
            <w:r>
              <w:rPr>
                <w:rFonts w:ascii="Arial" w:cs="Arial" w:eastAsia="Arial" w:hAnsi="Arial"/>
                <w:sz w:val="18"/>
                <w:szCs w:val="18"/>
                <w:b w:val="1"/>
                <w:bCs w:val="1"/>
                <w:color w:val="auto"/>
                <w:w w:val="91"/>
              </w:rPr>
              <w:t>G37585109</w:t>
            </w:r>
          </w:p>
        </w:tc>
      </w:tr>
      <w:tr>
        <w:trPr>
          <w:trHeight w:val="230"/>
        </w:trPr>
        <w:tc>
          <w:tcPr>
            <w:tcW w:w="2720" w:type="dxa"/>
            <w:vAlign w:val="bottom"/>
          </w:tcPr>
          <w:p>
            <w:pPr>
              <w:spacing w:after="0"/>
              <w:rPr>
                <w:sz w:val="20"/>
                <w:szCs w:val="20"/>
                <w:color w:val="auto"/>
              </w:rPr>
            </w:pPr>
          </w:p>
        </w:tc>
        <w:tc>
          <w:tcPr>
            <w:tcW w:w="6300" w:type="dxa"/>
            <w:vAlign w:val="bottom"/>
          </w:tcPr>
          <w:p>
            <w:pPr>
              <w:jc w:val="center"/>
              <w:ind w:right="3330"/>
              <w:spacing w:after="0"/>
              <w:rPr>
                <w:sz w:val="20"/>
                <w:szCs w:val="20"/>
                <w:color w:val="auto"/>
              </w:rPr>
            </w:pPr>
            <w:r>
              <w:rPr>
                <w:rFonts w:ascii="Arial" w:cs="Arial" w:eastAsia="Arial" w:hAnsi="Arial"/>
                <w:sz w:val="18"/>
                <w:szCs w:val="18"/>
                <w:color w:val="auto"/>
                <w:w w:val="91"/>
              </w:rPr>
              <w:t>(CUSIP Number of Class of Securities)</w:t>
            </w:r>
          </w:p>
        </w:tc>
      </w:tr>
      <w:tr>
        <w:trPr>
          <w:trHeight w:val="292"/>
        </w:trPr>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1"/>
              </w:rPr>
              <w:t>GasLog Ltd.</w:t>
            </w:r>
          </w:p>
        </w:tc>
        <w:tc>
          <w:tcPr>
            <w:tcW w:w="6300" w:type="dxa"/>
            <w:vAlign w:val="bottom"/>
          </w:tcPr>
          <w:p>
            <w:pPr>
              <w:jc w:val="center"/>
              <w:ind w:left="2110"/>
              <w:spacing w:after="0"/>
              <w:rPr>
                <w:sz w:val="20"/>
                <w:szCs w:val="20"/>
                <w:color w:val="auto"/>
              </w:rPr>
            </w:pPr>
            <w:r>
              <w:rPr>
                <w:rFonts w:ascii="Arial" w:cs="Arial" w:eastAsia="Arial" w:hAnsi="Arial"/>
                <w:sz w:val="18"/>
                <w:szCs w:val="18"/>
                <w:b w:val="1"/>
                <w:bCs w:val="1"/>
                <w:color w:val="auto"/>
                <w:w w:val="90"/>
              </w:rPr>
              <w:t>Blenheim Holdings Ltd.</w:t>
            </w:r>
          </w:p>
        </w:tc>
      </w:tr>
      <w:tr>
        <w:trPr>
          <w:trHeight w:val="216"/>
        </w:trPr>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89"/>
              </w:rPr>
              <w:t>Alexandros Laios, General Counsel</w:t>
            </w:r>
          </w:p>
        </w:tc>
        <w:tc>
          <w:tcPr>
            <w:tcW w:w="6300" w:type="dxa"/>
            <w:vAlign w:val="bottom"/>
          </w:tcPr>
          <w:p>
            <w:pPr>
              <w:jc w:val="center"/>
              <w:ind w:left="2110"/>
              <w:spacing w:after="0"/>
              <w:rPr>
                <w:sz w:val="20"/>
                <w:szCs w:val="20"/>
                <w:color w:val="auto"/>
              </w:rPr>
            </w:pPr>
            <w:r>
              <w:rPr>
                <w:rFonts w:ascii="Arial" w:cs="Arial" w:eastAsia="Arial" w:hAnsi="Arial"/>
                <w:sz w:val="18"/>
                <w:szCs w:val="18"/>
                <w:b w:val="1"/>
                <w:bCs w:val="1"/>
                <w:color w:val="auto"/>
                <w:w w:val="90"/>
              </w:rPr>
              <w:t>Blenheim Special Investments Holding Ltd.</w:t>
            </w:r>
          </w:p>
        </w:tc>
      </w:tr>
      <w:tr>
        <w:trPr>
          <w:trHeight w:val="216"/>
        </w:trPr>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0"/>
              </w:rPr>
              <w:t>c/o GasLog LNG Services Ltd.</w:t>
            </w:r>
          </w:p>
        </w:tc>
        <w:tc>
          <w:tcPr>
            <w:tcW w:w="6300" w:type="dxa"/>
            <w:vAlign w:val="bottom"/>
          </w:tcPr>
          <w:p>
            <w:pPr>
              <w:jc w:val="center"/>
              <w:ind w:left="2110"/>
              <w:spacing w:after="0"/>
              <w:rPr>
                <w:sz w:val="20"/>
                <w:szCs w:val="20"/>
                <w:color w:val="auto"/>
              </w:rPr>
            </w:pPr>
            <w:r>
              <w:rPr>
                <w:rFonts w:ascii="Arial" w:cs="Arial" w:eastAsia="Arial" w:hAnsi="Arial"/>
                <w:sz w:val="18"/>
                <w:szCs w:val="18"/>
                <w:b w:val="1"/>
                <w:bCs w:val="1"/>
                <w:color w:val="auto"/>
                <w:w w:val="90"/>
              </w:rPr>
              <w:t>Ceres Shipping Ltd.</w:t>
            </w:r>
          </w:p>
        </w:tc>
      </w:tr>
      <w:tr>
        <w:trPr>
          <w:trHeight w:val="216"/>
        </w:trPr>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5"/>
              </w:rPr>
              <w:t>69 Akti Miaouli</w:t>
            </w:r>
          </w:p>
        </w:tc>
        <w:tc>
          <w:tcPr>
            <w:tcW w:w="6300" w:type="dxa"/>
            <w:vAlign w:val="bottom"/>
          </w:tcPr>
          <w:p>
            <w:pPr>
              <w:jc w:val="center"/>
              <w:ind w:left="2110"/>
              <w:spacing w:after="0"/>
              <w:rPr>
                <w:sz w:val="20"/>
                <w:szCs w:val="20"/>
                <w:color w:val="auto"/>
              </w:rPr>
            </w:pPr>
            <w:r>
              <w:rPr>
                <w:rFonts w:ascii="Arial" w:cs="Arial" w:eastAsia="Arial" w:hAnsi="Arial"/>
                <w:sz w:val="18"/>
                <w:szCs w:val="18"/>
                <w:b w:val="1"/>
                <w:bCs w:val="1"/>
                <w:color w:val="auto"/>
                <w:w w:val="91"/>
              </w:rPr>
              <w:t>Peter G. Livanos</w:t>
            </w:r>
          </w:p>
        </w:tc>
      </w:tr>
      <w:tr>
        <w:trPr>
          <w:trHeight w:val="216"/>
        </w:trPr>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89"/>
              </w:rPr>
              <w:t>18537 Piraeus</w:t>
            </w:r>
          </w:p>
        </w:tc>
        <w:tc>
          <w:tcPr>
            <w:tcW w:w="6300" w:type="dxa"/>
            <w:vAlign w:val="bottom"/>
          </w:tcPr>
          <w:p>
            <w:pPr>
              <w:jc w:val="center"/>
              <w:ind w:left="2110"/>
              <w:spacing w:after="0"/>
              <w:rPr>
                <w:sz w:val="20"/>
                <w:szCs w:val="20"/>
                <w:color w:val="auto"/>
              </w:rPr>
            </w:pPr>
            <w:r>
              <w:rPr>
                <w:rFonts w:ascii="Arial" w:cs="Arial" w:eastAsia="Arial" w:hAnsi="Arial"/>
                <w:sz w:val="18"/>
                <w:szCs w:val="18"/>
                <w:b w:val="1"/>
                <w:bCs w:val="1"/>
                <w:color w:val="auto"/>
                <w:w w:val="91"/>
              </w:rPr>
              <w:t>c/o Ceres Monaco SAM</w:t>
            </w:r>
          </w:p>
        </w:tc>
      </w:tr>
      <w:tr>
        <w:trPr>
          <w:trHeight w:val="216"/>
        </w:trPr>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88"/>
              </w:rPr>
              <w:t>Greece</w:t>
            </w:r>
          </w:p>
        </w:tc>
        <w:tc>
          <w:tcPr>
            <w:tcW w:w="6300" w:type="dxa"/>
            <w:vAlign w:val="bottom"/>
          </w:tcPr>
          <w:p>
            <w:pPr>
              <w:jc w:val="center"/>
              <w:ind w:left="2110"/>
              <w:spacing w:after="0"/>
              <w:rPr>
                <w:sz w:val="20"/>
                <w:szCs w:val="20"/>
                <w:color w:val="auto"/>
              </w:rPr>
            </w:pPr>
            <w:r>
              <w:rPr>
                <w:rFonts w:ascii="Arial" w:cs="Arial" w:eastAsia="Arial" w:hAnsi="Arial"/>
                <w:sz w:val="18"/>
                <w:szCs w:val="18"/>
                <w:b w:val="1"/>
                <w:bCs w:val="1"/>
                <w:color w:val="auto"/>
                <w:w w:val="91"/>
              </w:rPr>
              <w:t>Gildo Pastor Center</w:t>
            </w:r>
          </w:p>
        </w:tc>
      </w:tr>
      <w:tr>
        <w:trPr>
          <w:trHeight w:val="216"/>
        </w:trPr>
        <w:tc>
          <w:tcPr>
            <w:tcW w:w="2720" w:type="dxa"/>
            <w:vAlign w:val="bottom"/>
          </w:tcPr>
          <w:p>
            <w:pPr>
              <w:jc w:val="right"/>
              <w:ind w:right="610"/>
              <w:spacing w:after="0"/>
              <w:rPr>
                <w:sz w:val="20"/>
                <w:szCs w:val="20"/>
                <w:color w:val="auto"/>
              </w:rPr>
            </w:pPr>
            <w:r>
              <w:rPr>
                <w:rFonts w:ascii="Arial" w:cs="Arial" w:eastAsia="Arial" w:hAnsi="Arial"/>
                <w:sz w:val="18"/>
                <w:szCs w:val="18"/>
                <w:b w:val="1"/>
                <w:bCs w:val="1"/>
                <w:color w:val="auto"/>
              </w:rPr>
              <w:t>+30 210 459 1000</w:t>
            </w:r>
          </w:p>
        </w:tc>
        <w:tc>
          <w:tcPr>
            <w:tcW w:w="6300" w:type="dxa"/>
            <w:vAlign w:val="bottom"/>
          </w:tcPr>
          <w:p>
            <w:pPr>
              <w:jc w:val="center"/>
              <w:ind w:left="2110"/>
              <w:spacing w:after="0"/>
              <w:rPr>
                <w:sz w:val="20"/>
                <w:szCs w:val="20"/>
                <w:color w:val="auto"/>
              </w:rPr>
            </w:pPr>
            <w:r>
              <w:rPr>
                <w:rFonts w:ascii="Arial" w:cs="Arial" w:eastAsia="Arial" w:hAnsi="Arial"/>
                <w:sz w:val="18"/>
                <w:szCs w:val="18"/>
                <w:b w:val="1"/>
                <w:bCs w:val="1"/>
                <w:color w:val="auto"/>
                <w:w w:val="92"/>
              </w:rPr>
              <w:t>7 rue du Gabian</w:t>
            </w:r>
          </w:p>
        </w:tc>
      </w:tr>
      <w:tr>
        <w:trPr>
          <w:trHeight w:val="216"/>
        </w:trPr>
        <w:tc>
          <w:tcPr>
            <w:tcW w:w="2720" w:type="dxa"/>
            <w:vAlign w:val="bottom"/>
          </w:tcPr>
          <w:p>
            <w:pPr>
              <w:spacing w:after="0"/>
              <w:rPr>
                <w:sz w:val="18"/>
                <w:szCs w:val="18"/>
                <w:color w:val="auto"/>
              </w:rPr>
            </w:pPr>
          </w:p>
        </w:tc>
        <w:tc>
          <w:tcPr>
            <w:tcW w:w="6300" w:type="dxa"/>
            <w:vAlign w:val="bottom"/>
          </w:tcPr>
          <w:p>
            <w:pPr>
              <w:jc w:val="center"/>
              <w:ind w:left="2110"/>
              <w:spacing w:after="0"/>
              <w:rPr>
                <w:sz w:val="20"/>
                <w:szCs w:val="20"/>
                <w:color w:val="auto"/>
              </w:rPr>
            </w:pPr>
            <w:r>
              <w:rPr>
                <w:rFonts w:ascii="Arial" w:cs="Arial" w:eastAsia="Arial" w:hAnsi="Arial"/>
                <w:sz w:val="18"/>
                <w:szCs w:val="18"/>
                <w:b w:val="1"/>
                <w:bCs w:val="1"/>
                <w:color w:val="auto"/>
                <w:w w:val="89"/>
              </w:rPr>
              <w:t>98000 Monaco</w:t>
            </w:r>
          </w:p>
        </w:tc>
      </w:tr>
      <w:tr>
        <w:trPr>
          <w:trHeight w:val="234"/>
        </w:trPr>
        <w:tc>
          <w:tcPr>
            <w:tcW w:w="2720" w:type="dxa"/>
            <w:vAlign w:val="bottom"/>
          </w:tcPr>
          <w:p>
            <w:pPr>
              <w:spacing w:after="0"/>
              <w:rPr>
                <w:sz w:val="20"/>
                <w:szCs w:val="20"/>
                <w:color w:val="auto"/>
              </w:rPr>
            </w:pPr>
          </w:p>
        </w:tc>
        <w:tc>
          <w:tcPr>
            <w:tcW w:w="6300" w:type="dxa"/>
            <w:vAlign w:val="bottom"/>
          </w:tcPr>
          <w:p>
            <w:pPr>
              <w:ind w:left="3640"/>
              <w:spacing w:after="0"/>
              <w:rPr>
                <w:sz w:val="20"/>
                <w:szCs w:val="20"/>
                <w:color w:val="auto"/>
              </w:rPr>
            </w:pPr>
            <w:r>
              <w:rPr>
                <w:rFonts w:ascii="Arial" w:cs="Arial" w:eastAsia="Arial" w:hAnsi="Arial"/>
                <w:sz w:val="18"/>
                <w:szCs w:val="18"/>
                <w:b w:val="1"/>
                <w:bCs w:val="1"/>
                <w:color w:val="auto"/>
              </w:rPr>
              <w:t>+377 9797 0606</w:t>
            </w:r>
          </w:p>
        </w:tc>
      </w:tr>
      <w:tr>
        <w:trPr>
          <w:trHeight w:val="292"/>
        </w:trPr>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3"/>
              </w:rPr>
              <w:t>Olympic LNG Investments Ltd.</w:t>
            </w:r>
          </w:p>
        </w:tc>
        <w:tc>
          <w:tcPr>
            <w:tcW w:w="6300" w:type="dxa"/>
            <w:vAlign w:val="bottom"/>
          </w:tcPr>
          <w:p>
            <w:pPr>
              <w:jc w:val="center"/>
              <w:ind w:left="2110"/>
              <w:spacing w:after="0"/>
              <w:rPr>
                <w:sz w:val="20"/>
                <w:szCs w:val="20"/>
                <w:color w:val="auto"/>
              </w:rPr>
            </w:pPr>
            <w:r>
              <w:rPr>
                <w:rFonts w:ascii="Arial" w:cs="Arial" w:eastAsia="Arial" w:hAnsi="Arial"/>
                <w:sz w:val="18"/>
                <w:szCs w:val="18"/>
                <w:b w:val="1"/>
                <w:bCs w:val="1"/>
                <w:color w:val="auto"/>
                <w:w w:val="94"/>
              </w:rPr>
              <w:t>Global Energy &amp; Power Infrastructure Fund III, L.P.</w:t>
            </w:r>
          </w:p>
        </w:tc>
      </w:tr>
      <w:tr>
        <w:trPr>
          <w:trHeight w:val="216"/>
        </w:trPr>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4"/>
              </w:rPr>
              <w:t>c/o ASOFIN Management AG</w:t>
            </w:r>
          </w:p>
        </w:tc>
        <w:tc>
          <w:tcPr>
            <w:tcW w:w="6300" w:type="dxa"/>
            <w:vAlign w:val="bottom"/>
          </w:tcPr>
          <w:p>
            <w:pPr>
              <w:jc w:val="center"/>
              <w:ind w:left="2110"/>
              <w:spacing w:after="0"/>
              <w:rPr>
                <w:sz w:val="20"/>
                <w:szCs w:val="20"/>
                <w:color w:val="auto"/>
              </w:rPr>
            </w:pPr>
            <w:r>
              <w:rPr>
                <w:rFonts w:ascii="Arial" w:cs="Arial" w:eastAsia="Arial" w:hAnsi="Arial"/>
                <w:sz w:val="18"/>
                <w:szCs w:val="18"/>
                <w:b w:val="1"/>
                <w:bCs w:val="1"/>
                <w:color w:val="auto"/>
                <w:w w:val="97"/>
              </w:rPr>
              <w:t>GEPIF III Crown Bidco L.P.</w:t>
            </w:r>
          </w:p>
        </w:tc>
      </w:tr>
      <w:tr>
        <w:trPr>
          <w:trHeight w:val="216"/>
        </w:trPr>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3"/>
              </w:rPr>
              <w:t>Heiligkreuz 2, FL-9490 Vaduz</w:t>
            </w:r>
          </w:p>
        </w:tc>
        <w:tc>
          <w:tcPr>
            <w:tcW w:w="6300" w:type="dxa"/>
            <w:vAlign w:val="bottom"/>
          </w:tcPr>
          <w:p>
            <w:pPr>
              <w:jc w:val="center"/>
              <w:ind w:left="2110"/>
              <w:spacing w:after="0"/>
              <w:rPr>
                <w:sz w:val="20"/>
                <w:szCs w:val="20"/>
                <w:color w:val="auto"/>
              </w:rPr>
            </w:pPr>
            <w:r>
              <w:rPr>
                <w:rFonts w:ascii="Arial" w:cs="Arial" w:eastAsia="Arial" w:hAnsi="Arial"/>
                <w:sz w:val="18"/>
                <w:szCs w:val="18"/>
                <w:b w:val="1"/>
                <w:bCs w:val="1"/>
                <w:color w:val="auto"/>
                <w:w w:val="89"/>
              </w:rPr>
              <w:t>One Lafayette Place</w:t>
            </w:r>
          </w:p>
        </w:tc>
      </w:tr>
      <w:tr>
        <w:trPr>
          <w:trHeight w:val="216"/>
        </w:trPr>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89"/>
              </w:rPr>
              <w:t>Liechtenstein</w:t>
            </w:r>
          </w:p>
        </w:tc>
        <w:tc>
          <w:tcPr>
            <w:tcW w:w="6300" w:type="dxa"/>
            <w:vAlign w:val="bottom"/>
          </w:tcPr>
          <w:p>
            <w:pPr>
              <w:jc w:val="center"/>
              <w:ind w:left="2110"/>
              <w:spacing w:after="0"/>
              <w:rPr>
                <w:sz w:val="20"/>
                <w:szCs w:val="20"/>
                <w:color w:val="auto"/>
              </w:rPr>
            </w:pPr>
            <w:r>
              <w:rPr>
                <w:rFonts w:ascii="Arial" w:cs="Arial" w:eastAsia="Arial" w:hAnsi="Arial"/>
                <w:sz w:val="18"/>
                <w:szCs w:val="18"/>
                <w:b w:val="1"/>
                <w:bCs w:val="1"/>
                <w:color w:val="auto"/>
                <w:w w:val="91"/>
              </w:rPr>
              <w:t>Greenwich, CT 06830</w:t>
            </w:r>
          </w:p>
        </w:tc>
      </w:tr>
      <w:tr>
        <w:trPr>
          <w:trHeight w:val="216"/>
        </w:trPr>
        <w:tc>
          <w:tcPr>
            <w:tcW w:w="2720" w:type="dxa"/>
            <w:vAlign w:val="bottom"/>
          </w:tcPr>
          <w:p>
            <w:pPr>
              <w:jc w:val="right"/>
              <w:ind w:right="690"/>
              <w:spacing w:after="0"/>
              <w:rPr>
                <w:sz w:val="20"/>
                <w:szCs w:val="20"/>
                <w:color w:val="auto"/>
              </w:rPr>
            </w:pPr>
            <w:r>
              <w:rPr>
                <w:rFonts w:ascii="Arial" w:cs="Arial" w:eastAsia="Arial" w:hAnsi="Arial"/>
                <w:sz w:val="18"/>
                <w:szCs w:val="18"/>
                <w:b w:val="1"/>
                <w:bCs w:val="1"/>
                <w:color w:val="auto"/>
              </w:rPr>
              <w:t>+423-237 48 03</w:t>
            </w:r>
          </w:p>
        </w:tc>
        <w:tc>
          <w:tcPr>
            <w:tcW w:w="6300" w:type="dxa"/>
            <w:vAlign w:val="bottom"/>
          </w:tcPr>
          <w:p>
            <w:pPr>
              <w:jc w:val="center"/>
              <w:ind w:left="2110"/>
              <w:spacing w:after="0"/>
              <w:rPr>
                <w:sz w:val="20"/>
                <w:szCs w:val="20"/>
                <w:color w:val="auto"/>
              </w:rPr>
            </w:pPr>
            <w:r>
              <w:rPr>
                <w:rFonts w:ascii="Arial" w:cs="Arial" w:eastAsia="Arial" w:hAnsi="Arial"/>
                <w:sz w:val="18"/>
                <w:szCs w:val="18"/>
                <w:b w:val="1"/>
                <w:bCs w:val="1"/>
                <w:color w:val="auto"/>
                <w:w w:val="94"/>
              </w:rPr>
              <w:t>U.S.A.</w:t>
            </w:r>
          </w:p>
        </w:tc>
      </w:tr>
      <w:tr>
        <w:trPr>
          <w:trHeight w:val="234"/>
        </w:trPr>
        <w:tc>
          <w:tcPr>
            <w:tcW w:w="2720" w:type="dxa"/>
            <w:vAlign w:val="bottom"/>
          </w:tcPr>
          <w:p>
            <w:pPr>
              <w:spacing w:after="0"/>
              <w:rPr>
                <w:sz w:val="20"/>
                <w:szCs w:val="20"/>
                <w:color w:val="auto"/>
              </w:rPr>
            </w:pPr>
          </w:p>
        </w:tc>
        <w:tc>
          <w:tcPr>
            <w:tcW w:w="6300" w:type="dxa"/>
            <w:vAlign w:val="bottom"/>
          </w:tcPr>
          <w:p>
            <w:pPr>
              <w:ind w:left="3640"/>
              <w:spacing w:after="0"/>
              <w:rPr>
                <w:sz w:val="20"/>
                <w:szCs w:val="20"/>
                <w:color w:val="auto"/>
              </w:rPr>
            </w:pPr>
            <w:r>
              <w:rPr>
                <w:rFonts w:ascii="Arial" w:cs="Arial" w:eastAsia="Arial" w:hAnsi="Arial"/>
                <w:sz w:val="18"/>
                <w:szCs w:val="18"/>
                <w:b w:val="1"/>
                <w:bCs w:val="1"/>
                <w:color w:val="auto"/>
              </w:rPr>
              <w:t>+1 203 863 6000</w:t>
            </w:r>
          </w:p>
        </w:tc>
      </w:tr>
    </w:tbl>
    <w:p>
      <w:pPr>
        <w:spacing w:after="0" w:line="296" w:lineRule="exact"/>
        <w:rPr>
          <w:sz w:val="24"/>
          <w:szCs w:val="24"/>
          <w:color w:val="auto"/>
        </w:rPr>
      </w:pPr>
    </w:p>
    <w:p>
      <w:pPr>
        <w:ind w:left="2980"/>
        <w:spacing w:after="0"/>
        <w:rPr>
          <w:sz w:val="20"/>
          <w:szCs w:val="20"/>
          <w:color w:val="auto"/>
        </w:rPr>
      </w:pPr>
      <w:r>
        <w:rPr>
          <w:rFonts w:ascii="Arial" w:cs="Arial" w:eastAsia="Arial" w:hAnsi="Arial"/>
          <w:sz w:val="18"/>
          <w:szCs w:val="18"/>
          <w:color w:val="auto"/>
        </w:rPr>
        <w:t>(Name, Address and Telephone Number of Person Authorized to Receive</w:t>
      </w:r>
    </w:p>
    <w:p>
      <w:pPr>
        <w:spacing w:after="0" w:line="23" w:lineRule="exact"/>
        <w:rPr>
          <w:sz w:val="24"/>
          <w:szCs w:val="24"/>
          <w:color w:val="auto"/>
        </w:rPr>
      </w:pPr>
    </w:p>
    <w:p>
      <w:pPr>
        <w:ind w:left="2940"/>
        <w:spacing w:after="0"/>
        <w:rPr>
          <w:sz w:val="20"/>
          <w:szCs w:val="20"/>
          <w:color w:val="auto"/>
        </w:rPr>
      </w:pPr>
      <w:r>
        <w:rPr>
          <w:rFonts w:ascii="Arial" w:cs="Arial" w:eastAsia="Arial" w:hAnsi="Arial"/>
          <w:sz w:val="18"/>
          <w:szCs w:val="18"/>
          <w:color w:val="auto"/>
        </w:rPr>
        <w:t>Notices and Communications on Behalf of the Person(s) Filing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100330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99" w:lineRule="exact"/>
        <w:rPr>
          <w:sz w:val="24"/>
          <w:szCs w:val="24"/>
          <w:color w:val="auto"/>
        </w:rPr>
      </w:pPr>
    </w:p>
    <w:tbl>
      <w:tblPr>
        <w:tblLayout w:type="fixed"/>
        <w:tblInd w:w="70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2800" w:type="dxa"/>
            <w:vAlign w:val="bottom"/>
          </w:tcPr>
          <w:p>
            <w:pPr>
              <w:ind w:left="840"/>
              <w:spacing w:after="0"/>
              <w:rPr>
                <w:sz w:val="20"/>
                <w:szCs w:val="20"/>
                <w:color w:val="auto"/>
              </w:rPr>
            </w:pPr>
            <w:r>
              <w:rPr>
                <w:rFonts w:ascii="Arial" w:cs="Arial" w:eastAsia="Arial" w:hAnsi="Arial"/>
                <w:sz w:val="18"/>
                <w:szCs w:val="18"/>
                <w:b w:val="1"/>
                <w:bCs w:val="1"/>
                <w:i w:val="1"/>
                <w:iCs w:val="1"/>
                <w:color w:val="auto"/>
              </w:rPr>
              <w:t>With a copy to:</w:t>
            </w:r>
          </w:p>
        </w:tc>
        <w:tc>
          <w:tcPr>
            <w:tcW w:w="3660" w:type="dxa"/>
            <w:vAlign w:val="bottom"/>
          </w:tcPr>
          <w:p>
            <w:pPr>
              <w:spacing w:after="0"/>
              <w:rPr>
                <w:sz w:val="20"/>
                <w:szCs w:val="20"/>
                <w:color w:val="auto"/>
              </w:rPr>
            </w:pPr>
          </w:p>
        </w:tc>
      </w:tr>
      <w:tr>
        <w:trPr>
          <w:trHeight w:val="292"/>
        </w:trPr>
        <w:tc>
          <w:tcPr>
            <w:tcW w:w="3520" w:type="dxa"/>
            <w:vAlign w:val="bottom"/>
          </w:tcPr>
          <w:p>
            <w:pPr>
              <w:jc w:val="center"/>
              <w:ind w:right="990"/>
              <w:spacing w:after="0"/>
              <w:rPr>
                <w:sz w:val="20"/>
                <w:szCs w:val="20"/>
                <w:color w:val="auto"/>
              </w:rPr>
            </w:pPr>
            <w:r>
              <w:rPr>
                <w:rFonts w:ascii="Arial" w:cs="Arial" w:eastAsia="Arial" w:hAnsi="Arial"/>
                <w:sz w:val="18"/>
                <w:szCs w:val="18"/>
                <w:b w:val="1"/>
                <w:bCs w:val="1"/>
                <w:color w:val="auto"/>
                <w:w w:val="92"/>
              </w:rPr>
              <w:t>Erik R. Tavzel, Esq.</w:t>
            </w:r>
          </w:p>
        </w:tc>
        <w:tc>
          <w:tcPr>
            <w:tcW w:w="2800" w:type="dxa"/>
            <w:vAlign w:val="bottom"/>
          </w:tcPr>
          <w:p>
            <w:pPr>
              <w:jc w:val="center"/>
              <w:ind w:left="50"/>
              <w:spacing w:after="0"/>
              <w:rPr>
                <w:sz w:val="20"/>
                <w:szCs w:val="20"/>
                <w:color w:val="auto"/>
              </w:rPr>
            </w:pPr>
            <w:r>
              <w:rPr>
                <w:rFonts w:ascii="Arial" w:cs="Arial" w:eastAsia="Arial" w:hAnsi="Arial"/>
                <w:sz w:val="18"/>
                <w:szCs w:val="18"/>
                <w:b w:val="1"/>
                <w:bCs w:val="1"/>
                <w:color w:val="auto"/>
                <w:w w:val="93"/>
              </w:rPr>
              <w:t>Owen Clay</w:t>
            </w:r>
          </w:p>
        </w:tc>
        <w:tc>
          <w:tcPr>
            <w:tcW w:w="3660" w:type="dxa"/>
            <w:vAlign w:val="bottom"/>
          </w:tcPr>
          <w:p>
            <w:pPr>
              <w:jc w:val="center"/>
              <w:ind w:left="990"/>
              <w:spacing w:after="0"/>
              <w:rPr>
                <w:sz w:val="20"/>
                <w:szCs w:val="20"/>
                <w:color w:val="auto"/>
              </w:rPr>
            </w:pPr>
            <w:r>
              <w:rPr>
                <w:rFonts w:ascii="Arial" w:cs="Arial" w:eastAsia="Arial" w:hAnsi="Arial"/>
                <w:sz w:val="18"/>
                <w:szCs w:val="18"/>
                <w:b w:val="1"/>
                <w:bCs w:val="1"/>
                <w:color w:val="auto"/>
                <w:w w:val="92"/>
              </w:rPr>
              <w:t>Christopher R. May, Esq.</w:t>
            </w:r>
          </w:p>
        </w:tc>
      </w:tr>
      <w:tr>
        <w:trPr>
          <w:trHeight w:val="216"/>
        </w:trPr>
        <w:tc>
          <w:tcPr>
            <w:tcW w:w="3520" w:type="dxa"/>
            <w:vAlign w:val="bottom"/>
          </w:tcPr>
          <w:p>
            <w:pPr>
              <w:jc w:val="center"/>
              <w:ind w:right="990"/>
              <w:spacing w:after="0"/>
              <w:rPr>
                <w:sz w:val="20"/>
                <w:szCs w:val="20"/>
                <w:color w:val="auto"/>
              </w:rPr>
            </w:pPr>
            <w:r>
              <w:rPr>
                <w:rFonts w:ascii="Arial" w:cs="Arial" w:eastAsia="Arial" w:hAnsi="Arial"/>
                <w:sz w:val="18"/>
                <w:szCs w:val="18"/>
                <w:b w:val="1"/>
                <w:bCs w:val="1"/>
                <w:color w:val="auto"/>
                <w:w w:val="89"/>
              </w:rPr>
              <w:t>D. Scott Bennett, Esq.</w:t>
            </w:r>
          </w:p>
        </w:tc>
        <w:tc>
          <w:tcPr>
            <w:tcW w:w="2800" w:type="dxa"/>
            <w:vAlign w:val="bottom"/>
          </w:tcPr>
          <w:p>
            <w:pPr>
              <w:jc w:val="center"/>
              <w:ind w:left="30"/>
              <w:spacing w:after="0"/>
              <w:rPr>
                <w:sz w:val="20"/>
                <w:szCs w:val="20"/>
                <w:color w:val="auto"/>
              </w:rPr>
            </w:pPr>
            <w:r>
              <w:rPr>
                <w:rFonts w:ascii="Arial" w:cs="Arial" w:eastAsia="Arial" w:hAnsi="Arial"/>
                <w:sz w:val="18"/>
                <w:szCs w:val="18"/>
                <w:b w:val="1"/>
                <w:bCs w:val="1"/>
                <w:color w:val="auto"/>
                <w:w w:val="96"/>
              </w:rPr>
              <w:t>Linklaters LLP</w:t>
            </w:r>
          </w:p>
        </w:tc>
        <w:tc>
          <w:tcPr>
            <w:tcW w:w="3660" w:type="dxa"/>
            <w:vAlign w:val="bottom"/>
          </w:tcPr>
          <w:p>
            <w:pPr>
              <w:jc w:val="center"/>
              <w:ind w:left="990"/>
              <w:spacing w:after="0"/>
              <w:rPr>
                <w:sz w:val="20"/>
                <w:szCs w:val="20"/>
                <w:color w:val="auto"/>
              </w:rPr>
            </w:pPr>
            <w:r>
              <w:rPr>
                <w:rFonts w:ascii="Arial" w:cs="Arial" w:eastAsia="Arial" w:hAnsi="Arial"/>
                <w:sz w:val="18"/>
                <w:szCs w:val="18"/>
                <w:b w:val="1"/>
                <w:bCs w:val="1"/>
                <w:color w:val="auto"/>
                <w:w w:val="93"/>
              </w:rPr>
              <w:t>Simpson Thacher &amp; Bartlett LLP</w:t>
            </w:r>
          </w:p>
        </w:tc>
      </w:tr>
      <w:tr>
        <w:trPr>
          <w:trHeight w:val="216"/>
        </w:trPr>
        <w:tc>
          <w:tcPr>
            <w:tcW w:w="3520" w:type="dxa"/>
            <w:vAlign w:val="bottom"/>
          </w:tcPr>
          <w:p>
            <w:pPr>
              <w:jc w:val="center"/>
              <w:ind w:right="990"/>
              <w:spacing w:after="0"/>
              <w:rPr>
                <w:sz w:val="20"/>
                <w:szCs w:val="20"/>
                <w:color w:val="auto"/>
              </w:rPr>
            </w:pPr>
            <w:r>
              <w:rPr>
                <w:rFonts w:ascii="Arial" w:cs="Arial" w:eastAsia="Arial" w:hAnsi="Arial"/>
                <w:sz w:val="18"/>
                <w:szCs w:val="18"/>
                <w:b w:val="1"/>
                <w:bCs w:val="1"/>
                <w:color w:val="auto"/>
                <w:w w:val="92"/>
              </w:rPr>
              <w:t>Andrew C. Elken, Esq.</w:t>
            </w:r>
          </w:p>
        </w:tc>
        <w:tc>
          <w:tcPr>
            <w:tcW w:w="280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One Silk Street</w:t>
            </w:r>
          </w:p>
        </w:tc>
        <w:tc>
          <w:tcPr>
            <w:tcW w:w="3660" w:type="dxa"/>
            <w:vAlign w:val="bottom"/>
          </w:tcPr>
          <w:p>
            <w:pPr>
              <w:jc w:val="center"/>
              <w:ind w:left="990"/>
              <w:spacing w:after="0"/>
              <w:rPr>
                <w:sz w:val="20"/>
                <w:szCs w:val="20"/>
                <w:color w:val="auto"/>
              </w:rPr>
            </w:pPr>
            <w:r>
              <w:rPr>
                <w:rFonts w:ascii="Arial" w:cs="Arial" w:eastAsia="Arial" w:hAnsi="Arial"/>
                <w:sz w:val="18"/>
                <w:szCs w:val="18"/>
                <w:b w:val="1"/>
                <w:bCs w:val="1"/>
                <w:color w:val="auto"/>
                <w:w w:val="89"/>
              </w:rPr>
              <w:t>600 Travis Street, Suite 5400</w:t>
            </w:r>
          </w:p>
        </w:tc>
      </w:tr>
      <w:tr>
        <w:trPr>
          <w:trHeight w:val="216"/>
        </w:trPr>
        <w:tc>
          <w:tcPr>
            <w:tcW w:w="3520" w:type="dxa"/>
            <w:vAlign w:val="bottom"/>
          </w:tcPr>
          <w:p>
            <w:pPr>
              <w:jc w:val="center"/>
              <w:ind w:right="1010"/>
              <w:spacing w:after="0"/>
              <w:rPr>
                <w:sz w:val="20"/>
                <w:szCs w:val="20"/>
                <w:color w:val="auto"/>
              </w:rPr>
            </w:pPr>
            <w:r>
              <w:rPr>
                <w:rFonts w:ascii="Arial" w:cs="Arial" w:eastAsia="Arial" w:hAnsi="Arial"/>
                <w:sz w:val="18"/>
                <w:szCs w:val="18"/>
                <w:b w:val="1"/>
                <w:bCs w:val="1"/>
                <w:color w:val="auto"/>
                <w:w w:val="94"/>
              </w:rPr>
              <w:t>Cravath, Swaine &amp; Moore LLP</w:t>
            </w:r>
          </w:p>
        </w:tc>
        <w:tc>
          <w:tcPr>
            <w:tcW w:w="2800" w:type="dxa"/>
            <w:vAlign w:val="bottom"/>
          </w:tcPr>
          <w:p>
            <w:pPr>
              <w:jc w:val="center"/>
              <w:ind w:left="50"/>
              <w:spacing w:after="0"/>
              <w:rPr>
                <w:sz w:val="20"/>
                <w:szCs w:val="20"/>
                <w:color w:val="auto"/>
              </w:rPr>
            </w:pPr>
            <w:r>
              <w:rPr>
                <w:rFonts w:ascii="Arial" w:cs="Arial" w:eastAsia="Arial" w:hAnsi="Arial"/>
                <w:sz w:val="18"/>
                <w:szCs w:val="18"/>
                <w:b w:val="1"/>
                <w:bCs w:val="1"/>
                <w:color w:val="auto"/>
                <w:w w:val="95"/>
              </w:rPr>
              <w:t>London, EC2Y 8HQ</w:t>
            </w:r>
          </w:p>
        </w:tc>
        <w:tc>
          <w:tcPr>
            <w:tcW w:w="3660" w:type="dxa"/>
            <w:vAlign w:val="bottom"/>
          </w:tcPr>
          <w:p>
            <w:pPr>
              <w:jc w:val="center"/>
              <w:ind w:left="990"/>
              <w:spacing w:after="0"/>
              <w:rPr>
                <w:sz w:val="20"/>
                <w:szCs w:val="20"/>
                <w:color w:val="auto"/>
              </w:rPr>
            </w:pPr>
            <w:r>
              <w:rPr>
                <w:rFonts w:ascii="Arial" w:cs="Arial" w:eastAsia="Arial" w:hAnsi="Arial"/>
                <w:sz w:val="18"/>
                <w:szCs w:val="18"/>
                <w:b w:val="1"/>
                <w:bCs w:val="1"/>
                <w:color w:val="auto"/>
                <w:w w:val="87"/>
              </w:rPr>
              <w:t>Houston, Texas 77002</w:t>
            </w:r>
          </w:p>
        </w:tc>
      </w:tr>
      <w:tr>
        <w:trPr>
          <w:trHeight w:val="216"/>
        </w:trPr>
        <w:tc>
          <w:tcPr>
            <w:tcW w:w="3520" w:type="dxa"/>
            <w:vAlign w:val="bottom"/>
          </w:tcPr>
          <w:p>
            <w:pPr>
              <w:jc w:val="center"/>
              <w:ind w:right="990"/>
              <w:spacing w:after="0"/>
              <w:rPr>
                <w:sz w:val="20"/>
                <w:szCs w:val="20"/>
                <w:color w:val="auto"/>
              </w:rPr>
            </w:pPr>
            <w:r>
              <w:rPr>
                <w:rFonts w:ascii="Arial" w:cs="Arial" w:eastAsia="Arial" w:hAnsi="Arial"/>
                <w:sz w:val="18"/>
                <w:szCs w:val="18"/>
                <w:b w:val="1"/>
                <w:bCs w:val="1"/>
                <w:color w:val="auto"/>
                <w:w w:val="92"/>
              </w:rPr>
              <w:t>Worldwide Plaza</w:t>
            </w:r>
          </w:p>
        </w:tc>
        <w:tc>
          <w:tcPr>
            <w:tcW w:w="280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United Kingdom</w:t>
            </w:r>
          </w:p>
        </w:tc>
        <w:tc>
          <w:tcPr>
            <w:tcW w:w="3660" w:type="dxa"/>
            <w:vAlign w:val="bottom"/>
          </w:tcPr>
          <w:p>
            <w:pPr>
              <w:jc w:val="center"/>
              <w:ind w:left="990"/>
              <w:spacing w:after="0"/>
              <w:rPr>
                <w:sz w:val="20"/>
                <w:szCs w:val="20"/>
                <w:color w:val="auto"/>
              </w:rPr>
            </w:pPr>
            <w:r>
              <w:rPr>
                <w:rFonts w:ascii="Arial" w:cs="Arial" w:eastAsia="Arial" w:hAnsi="Arial"/>
                <w:sz w:val="18"/>
                <w:szCs w:val="18"/>
                <w:b w:val="1"/>
                <w:bCs w:val="1"/>
                <w:color w:val="auto"/>
                <w:w w:val="92"/>
              </w:rPr>
              <w:t>+1 (713) 821-5666</w:t>
            </w:r>
          </w:p>
        </w:tc>
      </w:tr>
      <w:tr>
        <w:trPr>
          <w:trHeight w:val="216"/>
        </w:trPr>
        <w:tc>
          <w:tcPr>
            <w:tcW w:w="3520" w:type="dxa"/>
            <w:vAlign w:val="bottom"/>
          </w:tcPr>
          <w:p>
            <w:pPr>
              <w:jc w:val="center"/>
              <w:ind w:right="990"/>
              <w:spacing w:after="0"/>
              <w:rPr>
                <w:sz w:val="20"/>
                <w:szCs w:val="20"/>
                <w:color w:val="auto"/>
              </w:rPr>
            </w:pPr>
            <w:r>
              <w:rPr>
                <w:rFonts w:ascii="Arial" w:cs="Arial" w:eastAsia="Arial" w:hAnsi="Arial"/>
                <w:sz w:val="18"/>
                <w:szCs w:val="18"/>
                <w:b w:val="1"/>
                <w:bCs w:val="1"/>
                <w:color w:val="auto"/>
                <w:w w:val="89"/>
              </w:rPr>
              <w:t>825 Eighth Avenue</w:t>
            </w:r>
          </w:p>
        </w:tc>
        <w:tc>
          <w:tcPr>
            <w:tcW w:w="280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+44 20 7456 3230</w:t>
            </w:r>
          </w:p>
        </w:tc>
        <w:tc>
          <w:tcPr>
            <w:tcW w:w="3660" w:type="dxa"/>
            <w:vAlign w:val="bottom"/>
          </w:tcPr>
          <w:p>
            <w:pPr>
              <w:spacing w:after="0"/>
              <w:rPr>
                <w:sz w:val="18"/>
                <w:szCs w:val="18"/>
                <w:color w:val="auto"/>
              </w:rPr>
            </w:pPr>
          </w:p>
        </w:tc>
      </w:tr>
      <w:tr>
        <w:trPr>
          <w:trHeight w:val="216"/>
        </w:trPr>
        <w:tc>
          <w:tcPr>
            <w:tcW w:w="3520" w:type="dxa"/>
            <w:vAlign w:val="bottom"/>
          </w:tcPr>
          <w:p>
            <w:pPr>
              <w:jc w:val="center"/>
              <w:ind w:right="990"/>
              <w:spacing w:after="0"/>
              <w:rPr>
                <w:sz w:val="20"/>
                <w:szCs w:val="20"/>
                <w:color w:val="auto"/>
              </w:rPr>
            </w:pPr>
            <w:r>
              <w:rPr>
                <w:rFonts w:ascii="Arial" w:cs="Arial" w:eastAsia="Arial" w:hAnsi="Arial"/>
                <w:sz w:val="18"/>
                <w:szCs w:val="18"/>
                <w:b w:val="1"/>
                <w:bCs w:val="1"/>
                <w:color w:val="auto"/>
                <w:w w:val="92"/>
              </w:rPr>
              <w:t>New York, New York 10019</w:t>
            </w:r>
          </w:p>
        </w:tc>
        <w:tc>
          <w:tcPr>
            <w:tcW w:w="280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234"/>
        </w:trPr>
        <w:tc>
          <w:tcPr>
            <w:tcW w:w="3520" w:type="dxa"/>
            <w:vAlign w:val="bottom"/>
          </w:tcPr>
          <w:p>
            <w:pPr>
              <w:jc w:val="center"/>
              <w:ind w:right="990"/>
              <w:spacing w:after="0"/>
              <w:rPr>
                <w:sz w:val="20"/>
                <w:szCs w:val="20"/>
                <w:color w:val="auto"/>
              </w:rPr>
            </w:pPr>
            <w:r>
              <w:rPr>
                <w:rFonts w:ascii="Arial" w:cs="Arial" w:eastAsia="Arial" w:hAnsi="Arial"/>
                <w:sz w:val="18"/>
                <w:szCs w:val="18"/>
                <w:b w:val="1"/>
                <w:bCs w:val="1"/>
                <w:color w:val="auto"/>
                <w:w w:val="91"/>
              </w:rPr>
              <w:t>+1 (212) 474-1000</w:t>
            </w:r>
          </w:p>
        </w:tc>
        <w:tc>
          <w:tcPr>
            <w:tcW w:w="2800" w:type="dxa"/>
            <w:vAlign w:val="bottom"/>
          </w:tcPr>
          <w:p>
            <w:pPr>
              <w:spacing w:after="0"/>
              <w:rPr>
                <w:sz w:val="20"/>
                <w:szCs w:val="20"/>
                <w:color w:val="auto"/>
              </w:rPr>
            </w:pPr>
          </w:p>
        </w:tc>
        <w:tc>
          <w:tcPr>
            <w:tcW w:w="3660" w:type="dxa"/>
            <w:vAlign w:val="bottom"/>
          </w:tcPr>
          <w:p>
            <w:pPr>
              <w:spacing w:after="0"/>
              <w:rPr>
                <w:sz w:val="20"/>
                <w:szCs w:val="20"/>
                <w:color w:val="auto"/>
              </w:rPr>
            </w:pPr>
          </w:p>
        </w:tc>
      </w:tr>
      <w:tr>
        <w:trPr>
          <w:trHeight w:val="270"/>
        </w:trPr>
        <w:tc>
          <w:tcPr>
            <w:tcW w:w="3520" w:type="dxa"/>
            <w:vAlign w:val="bottom"/>
          </w:tcPr>
          <w:p>
            <w:pPr>
              <w:spacing w:after="0"/>
              <w:rPr>
                <w:sz w:val="23"/>
                <w:szCs w:val="23"/>
                <w:color w:val="auto"/>
              </w:rPr>
            </w:pPr>
          </w:p>
        </w:tc>
        <w:tc>
          <w:tcPr>
            <w:tcW w:w="2800" w:type="dxa"/>
            <w:vAlign w:val="bottom"/>
            <w:tcBorders>
              <w:bottom w:val="single" w:sz="8" w:color="auto"/>
            </w:tcBorders>
          </w:tcPr>
          <w:p>
            <w:pPr>
              <w:spacing w:after="0"/>
              <w:rPr>
                <w:sz w:val="23"/>
                <w:szCs w:val="23"/>
                <w:color w:val="auto"/>
              </w:rPr>
            </w:pPr>
          </w:p>
        </w:tc>
        <w:tc>
          <w:tcPr>
            <w:tcW w:w="3660" w:type="dxa"/>
            <w:vAlign w:val="bottom"/>
          </w:tcPr>
          <w:p>
            <w:pPr>
              <w:spacing w:after="0"/>
              <w:rPr>
                <w:sz w:val="23"/>
                <w:szCs w:val="23"/>
                <w:color w:val="auto"/>
              </w:rPr>
            </w:pPr>
          </w:p>
        </w:tc>
      </w:tr>
    </w:tbl>
    <w:p>
      <w:pPr>
        <w:spacing w:after="0" w:line="200" w:lineRule="exact"/>
        <w:rPr>
          <w:sz w:val="24"/>
          <w:szCs w:val="24"/>
          <w:color w:val="auto"/>
        </w:rPr>
      </w:pP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This statement is filed in connection with (check the appropriate box):</w:t>
      </w:r>
    </w:p>
    <w:p>
      <w:pPr>
        <w:spacing w:after="0" w:line="192" w:lineRule="exact"/>
        <w:rPr>
          <w:sz w:val="24"/>
          <w:szCs w:val="24"/>
          <w:color w:val="auto"/>
        </w:rPr>
      </w:pPr>
    </w:p>
    <w:p>
      <w:pPr>
        <w:ind w:left="660" w:hanging="652"/>
        <w:spacing w:after="0" w:line="239" w:lineRule="exact"/>
        <w:tabs>
          <w:tab w:leader="none" w:pos="336"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The filing of solicitation materials or an information statement subject to Regulation 14A, Regulation 14C or Rule 13e-3(c) under the Securities Exchange Act of 1934.</w:t>
      </w:r>
    </w:p>
    <w:p>
      <w:pPr>
        <w:spacing w:after="0" w:line="170"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The filing of a registration statement under the Securities Act of 1933.</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tender offer.</w:t>
      </w:r>
    </w:p>
    <w:p>
      <w:pPr>
        <w:sectPr>
          <w:pgSz w:w="11900" w:h="16838" w:orient="portrait"/>
          <w:cols w:equalWidth="0" w:num="1">
            <w:col w:w="11240"/>
          </w:cols>
          <w:pgMar w:left="320" w:top="540" w:right="339" w:bottom="30" w:gutter="0" w:footer="0" w:header="0"/>
        </w:sectPr>
      </w:pPr>
    </w:p>
    <w:bookmarkStart w:id="1" w:name="page2"/>
    <w:bookmarkEnd w:id="1"/>
    <w:p>
      <w:pPr>
        <w:ind w:left="340" w:hanging="332"/>
        <w:spacing w:after="0" w:line="207" w:lineRule="exact"/>
        <w:tabs>
          <w:tab w:leader="none" w:pos="34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None of the above.</w:t>
      </w:r>
    </w:p>
    <w:p>
      <w:pPr>
        <w:spacing w:after="0" w:line="226"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Check the following box if the soliciting materials or information statement referred to in checking box (a) are preliminary copies: </w:t>
      </w:r>
      <w:r>
        <w:rPr>
          <w:rFonts w:ascii="MS PGothic" w:cs="MS PGothic" w:eastAsia="MS PGothic" w:hAnsi="MS PGothic"/>
          <w:sz w:val="18"/>
          <w:szCs w:val="18"/>
          <w:color w:val="auto"/>
        </w:rPr>
        <w:t>☐</w:t>
      </w:r>
    </w:p>
    <w:p>
      <w:pPr>
        <w:spacing w:after="0" w:line="225"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Check the following box if the filing is a final amendment reporting the results of the transaction: </w:t>
      </w:r>
      <w:r>
        <w:rPr>
          <w:rFonts w:ascii="MS PGothic" w:cs="MS PGothic" w:eastAsia="MS PGothic" w:hAnsi="MS PGothic"/>
          <w:sz w:val="18"/>
          <w:szCs w:val="18"/>
          <w:color w:val="auto"/>
        </w:rPr>
        <w:t>☒</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7040" w:type="dxa"/>
            <w:vAlign w:val="bottom"/>
          </w:tcPr>
          <w:p>
            <w:pPr>
              <w:ind w:left="480"/>
              <w:spacing w:after="0"/>
              <w:rPr>
                <w:sz w:val="20"/>
                <w:szCs w:val="20"/>
                <w:color w:val="auto"/>
              </w:rPr>
            </w:pPr>
            <w:r>
              <w:rPr>
                <w:rFonts w:ascii="Arial" w:cs="Arial" w:eastAsia="Arial" w:hAnsi="Arial"/>
                <w:sz w:val="18"/>
                <w:szCs w:val="18"/>
                <w:b w:val="1"/>
                <w:bCs w:val="1"/>
                <w:color w:val="auto"/>
              </w:rPr>
              <w:t>Calculation of Filing Fee</w:t>
            </w:r>
          </w:p>
        </w:tc>
      </w:tr>
      <w:tr>
        <w:trPr>
          <w:trHeight w:val="216"/>
        </w:trPr>
        <w:tc>
          <w:tcPr>
            <w:tcW w:w="4200" w:type="dxa"/>
            <w:vAlign w:val="bottom"/>
            <w:tcBorders>
              <w:bottom w:val="single" w:sz="8" w:color="auto"/>
            </w:tcBorders>
          </w:tcPr>
          <w:p>
            <w:pPr>
              <w:spacing w:after="0"/>
              <w:rPr>
                <w:sz w:val="18"/>
                <w:szCs w:val="18"/>
                <w:color w:val="auto"/>
              </w:rPr>
            </w:pPr>
          </w:p>
        </w:tc>
        <w:tc>
          <w:tcPr>
            <w:tcW w:w="7040" w:type="dxa"/>
            <w:vAlign w:val="bottom"/>
            <w:tcBorders>
              <w:bottom w:val="single" w:sz="8" w:color="auto"/>
            </w:tcBorders>
          </w:tcPr>
          <w:p>
            <w:pPr>
              <w:spacing w:after="0"/>
              <w:rPr>
                <w:sz w:val="18"/>
                <w:szCs w:val="18"/>
                <w:color w:val="auto"/>
              </w:rPr>
            </w:pPr>
          </w:p>
        </w:tc>
      </w:tr>
      <w:tr>
        <w:trPr>
          <w:trHeight w:val="20"/>
        </w:trPr>
        <w:tc>
          <w:tcPr>
            <w:tcW w:w="4200" w:type="dxa"/>
            <w:vAlign w:val="bottom"/>
            <w:tcBorders>
              <w:bottom w:val="single" w:sz="8" w:color="auto"/>
            </w:tcBorders>
          </w:tcPr>
          <w:p>
            <w:pPr>
              <w:spacing w:after="0" w:line="20" w:lineRule="exact"/>
              <w:rPr>
                <w:sz w:val="1"/>
                <w:szCs w:val="1"/>
                <w:color w:val="auto"/>
              </w:rPr>
            </w:pPr>
          </w:p>
        </w:tc>
        <w:tc>
          <w:tcPr>
            <w:tcW w:w="7040" w:type="dxa"/>
            <w:vAlign w:val="bottom"/>
            <w:tcBorders>
              <w:bottom w:val="single" w:sz="8" w:color="auto"/>
            </w:tcBorders>
          </w:tcPr>
          <w:p>
            <w:pPr>
              <w:spacing w:after="0" w:line="20" w:lineRule="exact"/>
              <w:rPr>
                <w:sz w:val="1"/>
                <w:szCs w:val="1"/>
                <w:color w:val="auto"/>
              </w:rPr>
            </w:pPr>
          </w:p>
        </w:tc>
      </w:tr>
      <w:tr>
        <w:trPr>
          <w:trHeight w:val="197"/>
        </w:trPr>
        <w:tc>
          <w:tcPr>
            <w:tcW w:w="4200" w:type="dxa"/>
            <w:vAlign w:val="bottom"/>
            <w:tcBorders>
              <w:bottom w:val="single" w:sz="8" w:color="auto"/>
            </w:tcBorders>
          </w:tcPr>
          <w:p>
            <w:pPr>
              <w:jc w:val="center"/>
              <w:ind w:left="1350"/>
              <w:spacing w:after="0" w:line="196" w:lineRule="exact"/>
              <w:rPr>
                <w:sz w:val="20"/>
                <w:szCs w:val="20"/>
                <w:color w:val="auto"/>
              </w:rPr>
            </w:pPr>
            <w:r>
              <w:rPr>
                <w:rFonts w:ascii="Arial" w:cs="Arial" w:eastAsia="Arial" w:hAnsi="Arial"/>
                <w:sz w:val="18"/>
                <w:szCs w:val="18"/>
                <w:b w:val="1"/>
                <w:bCs w:val="1"/>
                <w:color w:val="auto"/>
                <w:w w:val="92"/>
              </w:rPr>
              <w:t>Transaction Valuation*</w:t>
            </w:r>
          </w:p>
        </w:tc>
        <w:tc>
          <w:tcPr>
            <w:tcW w:w="7040" w:type="dxa"/>
            <w:vAlign w:val="bottom"/>
            <w:tcBorders>
              <w:bottom w:val="single" w:sz="8" w:color="auto"/>
            </w:tcBorders>
          </w:tcPr>
          <w:p>
            <w:pPr>
              <w:jc w:val="center"/>
              <w:ind w:left="1330"/>
              <w:spacing w:after="0" w:line="196" w:lineRule="exact"/>
              <w:rPr>
                <w:sz w:val="20"/>
                <w:szCs w:val="20"/>
                <w:color w:val="auto"/>
              </w:rPr>
            </w:pPr>
            <w:r>
              <w:rPr>
                <w:rFonts w:ascii="Arial" w:cs="Arial" w:eastAsia="Arial" w:hAnsi="Arial"/>
                <w:sz w:val="18"/>
                <w:szCs w:val="18"/>
                <w:b w:val="1"/>
                <w:bCs w:val="1"/>
                <w:color w:val="auto"/>
                <w:w w:val="94"/>
              </w:rPr>
              <w:t>Amount of Filing Fee**</w:t>
            </w:r>
          </w:p>
        </w:tc>
      </w:tr>
      <w:tr>
        <w:trPr>
          <w:trHeight w:val="209"/>
        </w:trPr>
        <w:tc>
          <w:tcPr>
            <w:tcW w:w="42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$253,528,387.80</w:t>
            </w:r>
          </w:p>
        </w:tc>
        <w:tc>
          <w:tcPr>
            <w:tcW w:w="7040" w:type="dxa"/>
            <w:vAlign w:val="bottom"/>
            <w:tcBorders>
              <w:bottom w:val="single" w:sz="8" w:color="auto"/>
            </w:tcBorders>
          </w:tcPr>
          <w:p>
            <w:pPr>
              <w:jc w:val="right"/>
              <w:ind w:right="2310"/>
              <w:spacing w:after="0"/>
              <w:rPr>
                <w:sz w:val="20"/>
                <w:szCs w:val="20"/>
                <w:color w:val="auto"/>
              </w:rPr>
            </w:pPr>
            <w:r>
              <w:rPr>
                <w:rFonts w:ascii="Arial" w:cs="Arial" w:eastAsia="Arial" w:hAnsi="Arial"/>
                <w:sz w:val="18"/>
                <w:szCs w:val="18"/>
                <w:color w:val="auto"/>
              </w:rPr>
              <w:t>$27,659.95</w:t>
            </w:r>
          </w:p>
        </w:tc>
      </w:tr>
      <w:tr>
        <w:trPr>
          <w:trHeight w:val="20"/>
        </w:trPr>
        <w:tc>
          <w:tcPr>
            <w:tcW w:w="4200" w:type="dxa"/>
            <w:vAlign w:val="bottom"/>
            <w:tcBorders>
              <w:bottom w:val="single" w:sz="8" w:color="auto"/>
            </w:tcBorders>
          </w:tcPr>
          <w:p>
            <w:pPr>
              <w:spacing w:after="0" w:line="20" w:lineRule="exact"/>
              <w:rPr>
                <w:sz w:val="1"/>
                <w:szCs w:val="1"/>
                <w:color w:val="auto"/>
              </w:rPr>
            </w:pPr>
          </w:p>
        </w:tc>
        <w:tc>
          <w:tcPr>
            <w:tcW w:w="7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hanging="652"/>
        <w:spacing w:after="0" w:line="284"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Estimated solely for purposes of calculating the filing fee pursuant to Rule 0-11(d) under the Securities Exchange Act of 1934, as amended. The transaction valuation was calculated based on the sum of (a) the aggregate cash payment for the proposed per share cash payment of $5.80 for 42,567,710 outstanding common shares of the issuer subject to the transaction, (b) the product of 642,637 common shares of the issuer subject to restricted stock unit awards that are not subject to performance-based vesting conditions multiplied by $5.80 and (c) the product of 501,444 common shares of the issuer subject to restricted stock unit awards that remain subject to performance-based vesting conditions (determined based on the achievement of applicable performance goals at target levels) multiplied by $5.80, in each case as of the date of this filing ((a), (b) and</w:t>
      </w:r>
    </w:p>
    <w:p>
      <w:pPr>
        <w:spacing w:after="0" w:line="4"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 together, the “</w:t>
      </w:r>
      <w:r>
        <w:rPr>
          <w:rFonts w:ascii="Arial" w:cs="Arial" w:eastAsia="Arial" w:hAnsi="Arial"/>
          <w:sz w:val="18"/>
          <w:szCs w:val="18"/>
          <w:i w:val="1"/>
          <w:iCs w:val="1"/>
          <w:color w:val="auto"/>
        </w:rPr>
        <w:t>Transaction Value</w:t>
      </w:r>
      <w:r>
        <w:rPr>
          <w:rFonts w:ascii="Arial" w:cs="Arial" w:eastAsia="Arial" w:hAnsi="Arial"/>
          <w:sz w:val="18"/>
          <w:szCs w:val="18"/>
          <w:color w:val="auto"/>
        </w:rPr>
        <w:t>”).</w:t>
      </w:r>
    </w:p>
    <w:p>
      <w:pPr>
        <w:spacing w:after="0" w:line="211" w:lineRule="exact"/>
        <w:rPr>
          <w:sz w:val="20"/>
          <w:szCs w:val="20"/>
          <w:color w:val="auto"/>
        </w:rPr>
      </w:pPr>
    </w:p>
    <w:p>
      <w:pPr>
        <w:ind w:left="660" w:hanging="652"/>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amount of the filing fee was calculated in accordance with Exchange Act Rule 0-11(b)(1) and the Securities and Exchange Commission Fee Rate Advisory #1 for the Fiscal Year 2021 by multiplying the Transaction Value by 0.0001091.</w:t>
      </w:r>
    </w:p>
    <w:p>
      <w:pPr>
        <w:spacing w:after="0" w:line="170" w:lineRule="exact"/>
        <w:rPr>
          <w:sz w:val="20"/>
          <w:szCs w:val="20"/>
          <w:color w:val="auto"/>
        </w:rPr>
      </w:pPr>
    </w:p>
    <w:p>
      <w:pPr>
        <w:ind w:left="660" w:hanging="652"/>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with which the offsetting fee was previously paid. Identify the previous filing by registration statement number, or the Form or Schedule and date of its filing.</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THIS TRANSACTION, PASSED UPON THE MERITS OR FAIRNESS OF THIS TRANSACTION, OR PASSED UPON THE ADEQUACY OR ACCURACY OF THE DISCLOSURE IN THIS SCHEDULE 13E-3.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This Amendment No. 5 (this “</w:t>
      </w:r>
      <w:r>
        <w:rPr>
          <w:rFonts w:ascii="Arial" w:cs="Arial" w:eastAsia="Arial" w:hAnsi="Arial"/>
          <w:sz w:val="17"/>
          <w:szCs w:val="17"/>
          <w:u w:val="single" w:color="auto"/>
          <w:color w:val="auto"/>
        </w:rPr>
        <w:t>Amendment</w:t>
      </w:r>
      <w:r>
        <w:rPr>
          <w:rFonts w:ascii="Arial" w:cs="Arial" w:eastAsia="Arial" w:hAnsi="Arial"/>
          <w:sz w:val="17"/>
          <w:szCs w:val="17"/>
          <w:color w:val="auto"/>
        </w:rPr>
        <w:t>”) amends and supplements the Rule 13E-3 Transaction Statement on Schedule 13E-3 initially filed with the Securities and Exchange Commission (“</w:t>
      </w:r>
      <w:r>
        <w:rPr>
          <w:rFonts w:ascii="Arial" w:cs="Arial" w:eastAsia="Arial" w:hAnsi="Arial"/>
          <w:sz w:val="17"/>
          <w:szCs w:val="17"/>
          <w:u w:val="single" w:color="auto"/>
          <w:color w:val="auto"/>
        </w:rPr>
        <w:t>SEC</w:t>
      </w:r>
      <w:r>
        <w:rPr>
          <w:rFonts w:ascii="Arial" w:cs="Arial" w:eastAsia="Arial" w:hAnsi="Arial"/>
          <w:sz w:val="17"/>
          <w:szCs w:val="17"/>
          <w:color w:val="auto"/>
        </w:rPr>
        <w:t>”) on March 29, 2021, as amended and supplemented and together with the exhibits thereto (the “</w:t>
      </w:r>
      <w:r>
        <w:rPr>
          <w:rFonts w:ascii="Arial" w:cs="Arial" w:eastAsia="Arial" w:hAnsi="Arial"/>
          <w:sz w:val="17"/>
          <w:szCs w:val="17"/>
          <w:u w:val="single" w:color="auto"/>
          <w:color w:val="auto"/>
        </w:rPr>
        <w:t>Schedule 13E-3</w:t>
      </w:r>
      <w:r>
        <w:rPr>
          <w:rFonts w:ascii="Arial" w:cs="Arial" w:eastAsia="Arial" w:hAnsi="Arial"/>
          <w:sz w:val="17"/>
          <w:szCs w:val="17"/>
          <w:color w:val="auto"/>
        </w:rPr>
        <w:t>” or the “</w:t>
      </w:r>
      <w:r>
        <w:rPr>
          <w:rFonts w:ascii="Arial" w:cs="Arial" w:eastAsia="Arial" w:hAnsi="Arial"/>
          <w:sz w:val="17"/>
          <w:szCs w:val="17"/>
          <w:u w:val="single" w:color="auto"/>
          <w:color w:val="auto"/>
        </w:rPr>
        <w:t>Transaction Statement</w:t>
      </w:r>
      <w:r>
        <w:rPr>
          <w:rFonts w:ascii="Arial" w:cs="Arial" w:eastAsia="Arial" w:hAnsi="Arial"/>
          <w:sz w:val="17"/>
          <w:szCs w:val="17"/>
          <w:color w:val="auto"/>
        </w:rPr>
        <w:t>”), by: (i) GasLog Ltd., a Bermuda exempted company (the “</w:t>
      </w:r>
      <w:r>
        <w:rPr>
          <w:rFonts w:ascii="Arial" w:cs="Arial" w:eastAsia="Arial" w:hAnsi="Arial"/>
          <w:sz w:val="17"/>
          <w:szCs w:val="17"/>
          <w:u w:val="single" w:color="auto"/>
          <w:color w:val="auto"/>
        </w:rPr>
        <w:t>Company</w:t>
      </w:r>
      <w:r>
        <w:rPr>
          <w:rFonts w:ascii="Arial" w:cs="Arial" w:eastAsia="Arial" w:hAnsi="Arial"/>
          <w:sz w:val="17"/>
          <w:szCs w:val="17"/>
          <w:color w:val="auto"/>
        </w:rPr>
        <w:t>”), (ii) GEPIF III Crown Bidco L.P., a Cayman Islands exempted limited partnership (“</w:t>
      </w:r>
      <w:r>
        <w:rPr>
          <w:rFonts w:ascii="Arial" w:cs="Arial" w:eastAsia="Arial" w:hAnsi="Arial"/>
          <w:sz w:val="17"/>
          <w:szCs w:val="17"/>
          <w:u w:val="single" w:color="auto"/>
          <w:color w:val="auto"/>
        </w:rPr>
        <w:t>Parent</w:t>
      </w:r>
      <w:r>
        <w:rPr>
          <w:rFonts w:ascii="Arial" w:cs="Arial" w:eastAsia="Arial" w:hAnsi="Arial"/>
          <w:sz w:val="17"/>
          <w:szCs w:val="17"/>
          <w:color w:val="auto"/>
        </w:rPr>
        <w:t>”), (iii) GEPIF III Crown MergerCo Limited, a Bermuda exempted company and a wholly owned subsidiary of Parent (“</w:t>
      </w:r>
      <w:r>
        <w:rPr>
          <w:rFonts w:ascii="Arial" w:cs="Arial" w:eastAsia="Arial" w:hAnsi="Arial"/>
          <w:sz w:val="17"/>
          <w:szCs w:val="17"/>
          <w:u w:val="single" w:color="auto"/>
          <w:color w:val="auto"/>
        </w:rPr>
        <w:t>Merger Sub</w:t>
      </w:r>
      <w:r>
        <w:rPr>
          <w:rFonts w:ascii="Arial" w:cs="Arial" w:eastAsia="Arial" w:hAnsi="Arial"/>
          <w:sz w:val="17"/>
          <w:szCs w:val="17"/>
          <w:color w:val="auto"/>
        </w:rPr>
        <w:t>”), (iv) Global Energy &amp; Power Infrastructure Fund III, L.P., a Cayman Islands exempted limited partnership,</w:t>
      </w:r>
    </w:p>
    <w:p>
      <w:pPr>
        <w:spacing w:after="0" w:line="3" w:lineRule="exact"/>
        <w:rPr>
          <w:sz w:val="20"/>
          <w:szCs w:val="20"/>
          <w:color w:val="auto"/>
        </w:rPr>
      </w:pPr>
    </w:p>
    <w:p>
      <w:pPr>
        <w:jc w:val="both"/>
        <w:ind w:firstLine="8"/>
        <w:spacing w:after="0" w:line="253"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Blenheim Holdings Ltd., a Bermuda exempted company (“</w:t>
      </w:r>
      <w:r>
        <w:rPr>
          <w:rFonts w:ascii="Arial" w:cs="Arial" w:eastAsia="Arial" w:hAnsi="Arial"/>
          <w:sz w:val="18"/>
          <w:szCs w:val="18"/>
          <w:u w:val="single" w:color="auto"/>
          <w:color w:val="auto"/>
        </w:rPr>
        <w:t>Blenheim Holdings</w:t>
      </w:r>
      <w:r>
        <w:rPr>
          <w:rFonts w:ascii="Arial" w:cs="Arial" w:eastAsia="Arial" w:hAnsi="Arial"/>
          <w:sz w:val="18"/>
          <w:szCs w:val="18"/>
          <w:color w:val="auto"/>
        </w:rPr>
        <w:t>”), (vi) Blenheim Special Investments Holding Ltd., a Bermuda exempted company (“</w:t>
      </w:r>
      <w:r>
        <w:rPr>
          <w:rFonts w:ascii="Arial" w:cs="Arial" w:eastAsia="Arial" w:hAnsi="Arial"/>
          <w:sz w:val="18"/>
          <w:szCs w:val="18"/>
          <w:u w:val="single" w:color="auto"/>
          <w:color w:val="auto"/>
        </w:rPr>
        <w:t>Blenheim Special Investments</w:t>
      </w:r>
      <w:r>
        <w:rPr>
          <w:rFonts w:ascii="Arial" w:cs="Arial" w:eastAsia="Arial" w:hAnsi="Arial"/>
          <w:sz w:val="18"/>
          <w:szCs w:val="18"/>
          <w:color w:val="auto"/>
        </w:rPr>
        <w:t>”), (vii) Ceres Shipping Ltd., a Bermuda exempted company, (viii) Peter G. Livanos and (ix) Olympic LNG Investments Ltd., a Bermuda exempted company (“</w:t>
      </w:r>
      <w:r>
        <w:rPr>
          <w:rFonts w:ascii="Arial" w:cs="Arial" w:eastAsia="Arial" w:hAnsi="Arial"/>
          <w:sz w:val="18"/>
          <w:szCs w:val="18"/>
          <w:u w:val="single" w:color="auto"/>
          <w:color w:val="auto"/>
        </w:rPr>
        <w:t>Olympic</w:t>
      </w:r>
      <w:r>
        <w:rPr>
          <w:rFonts w:ascii="Arial" w:cs="Arial" w:eastAsia="Arial" w:hAnsi="Arial"/>
          <w:sz w:val="18"/>
          <w:szCs w:val="18"/>
          <w:color w:val="auto"/>
        </w:rPr>
        <w:t>”) (each of the Company, Parent and (iv) through (ix) a “</w:t>
      </w:r>
      <w:r>
        <w:rPr>
          <w:rFonts w:ascii="Arial" w:cs="Arial" w:eastAsia="Arial" w:hAnsi="Arial"/>
          <w:sz w:val="18"/>
          <w:szCs w:val="18"/>
          <w:u w:val="single" w:color="auto"/>
          <w:color w:val="auto"/>
        </w:rPr>
        <w:t>Filing Person</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Filing Persons</w:t>
      </w:r>
      <w:r>
        <w:rPr>
          <w:rFonts w:ascii="Arial" w:cs="Arial" w:eastAsia="Arial" w:hAnsi="Arial"/>
          <w:sz w:val="18"/>
          <w:szCs w:val="18"/>
          <w:color w:val="auto"/>
        </w:rPr>
        <w:t>”).</w:t>
      </w:r>
    </w:p>
    <w:p>
      <w:pPr>
        <w:spacing w:after="0" w:line="19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This Transaction Statement relates to (1) the Agreement and Plan of Merger, dated as of February 21, 2021 (subsequently amended on April 20, 2021 and as it may be further amended from time to time,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by and among the Company, Parent and Merger Sub, (2) the related Statutory Merger Agreement contemplated by the Merger Agreement (the “</w:t>
      </w:r>
      <w:r>
        <w:rPr>
          <w:rFonts w:ascii="Arial" w:cs="Arial" w:eastAsia="Arial" w:hAnsi="Arial"/>
          <w:sz w:val="16"/>
          <w:szCs w:val="16"/>
          <w:u w:val="single" w:color="auto"/>
          <w:color w:val="auto"/>
        </w:rPr>
        <w:t>Statutory Merger Agreement</w:t>
      </w:r>
      <w:r>
        <w:rPr>
          <w:rFonts w:ascii="Arial" w:cs="Arial" w:eastAsia="Arial" w:hAnsi="Arial"/>
          <w:sz w:val="16"/>
          <w:szCs w:val="16"/>
          <w:color w:val="auto"/>
        </w:rPr>
        <w:t>”), dated as of June 9, 2021, by and between the Company and Merger Sub and (3) the Rollover Agreement, dated as of February 21, 2021, by and among Parent, the Company, Blenheim Holdings, Olympic, Blenheim Special Investments, Falconera Navigation Inc., Chiara Holdings S de R.L., Maple Tree Holdings Ltd., Ash Tree SA, Acer Tree Ltd., Thatcher Investments Limited, Eleanor Investments Holdings Limited, Nelson Equity Limited and JP Jones Holdings Limited. Pursuant to the Merger Agreement and the Statutory Merger Agreement, Merger Sub was merged with and into the Company (the “</w:t>
      </w:r>
      <w:r>
        <w:rPr>
          <w:rFonts w:ascii="Arial" w:cs="Arial" w:eastAsia="Arial" w:hAnsi="Arial"/>
          <w:sz w:val="16"/>
          <w:szCs w:val="16"/>
          <w:u w:val="single" w:color="auto"/>
          <w:color w:val="auto"/>
        </w:rPr>
        <w:t>Merger</w:t>
      </w:r>
      <w:r>
        <w:rPr>
          <w:rFonts w:ascii="Arial" w:cs="Arial" w:eastAsia="Arial" w:hAnsi="Arial"/>
          <w:sz w:val="16"/>
          <w:szCs w:val="16"/>
          <w:color w:val="auto"/>
        </w:rPr>
        <w:t>”), with the Company as the surviving company in the Merger. As a result of the Merger, Merger Sub ceased to exist as an independent entity and, therefore, is no longer a Filing Person.</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final Amendment is being filed pursuant to Rule 13e-3(d)(3) to report the results of the transaction that is subject to the Transaction Statement. All information in this final Amendment should be read in conjunction with the information contained or incorporated by reference in the Transaction Statement, as amended to date.</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All information concerning the Company contained in, or incorporated by reference into, this Transaction Statement was supplied by the Company. Similarly, all information concerning each Filing Person contained in, or incorporated by reference into, this Transaction Statement was supplied by such Filing Person. No Filing Person is responsible for the accuracy of any information supplied by any other Filing Person.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ADDITIONAL INFORMATION</w:t>
      </w:r>
    </w:p>
    <w:p>
      <w:pPr>
        <w:spacing w:after="0" w:line="229"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Material Information. Item 15(c) is hereby amended and supplemented as follows: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June 4, 2021, at 9:30 a.m. Bermuda time (8:30 a.m. Eastern Time), a special general meeting of the shareholders of the Company was held exclusively online via live webcast, with shareholders of the Company attending virtually. At the special general meeting, the Company’s shareholders voted on whether to approve (a) the Merger Agreement, (b) the Statutory Merger Agreement and (c) and the Merger, on the terms and subject to the conditions set forth in the Merger Agreement and Statutory Merger Agreement (the “</w:t>
      </w:r>
      <w:r>
        <w:rPr>
          <w:rFonts w:ascii="Arial" w:cs="Arial" w:eastAsia="Arial" w:hAnsi="Arial"/>
          <w:sz w:val="18"/>
          <w:szCs w:val="18"/>
          <w:u w:val="single" w:color="auto"/>
          <w:color w:val="auto"/>
        </w:rPr>
        <w:t>Merger Proposal</w:t>
      </w:r>
      <w:r>
        <w:rPr>
          <w:rFonts w:ascii="Arial" w:cs="Arial" w:eastAsia="Arial" w:hAnsi="Arial"/>
          <w:sz w:val="18"/>
          <w:szCs w:val="18"/>
          <w:color w:val="auto"/>
        </w:rPr>
        <w:t>”). The Merger Proposal was approved at the special general meeting by (i) the holders of a majority of the voting power of the Company’s common shares, par value $0.01 per share (the “</w:t>
      </w:r>
      <w:r>
        <w:rPr>
          <w:rFonts w:ascii="Arial" w:cs="Arial" w:eastAsia="Arial" w:hAnsi="Arial"/>
          <w:sz w:val="18"/>
          <w:szCs w:val="18"/>
          <w:u w:val="single" w:color="auto"/>
          <w:color w:val="auto"/>
        </w:rPr>
        <w:t>Company Common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Shares</w:t>
      </w:r>
      <w:r>
        <w:rPr>
          <w:rFonts w:ascii="Arial" w:cs="Arial" w:eastAsia="Arial" w:hAnsi="Arial"/>
          <w:sz w:val="18"/>
          <w:szCs w:val="18"/>
          <w:color w:val="auto"/>
        </w:rPr>
        <w:t>”), and the Company’s 8.75% Series A Cumulative Redeemable Perpetual Preference Shares, par value $0.01 per share (the “</w:t>
      </w:r>
      <w:r>
        <w:rPr>
          <w:rFonts w:ascii="Arial" w:cs="Arial" w:eastAsia="Arial" w:hAnsi="Arial"/>
          <w:sz w:val="18"/>
          <w:szCs w:val="18"/>
          <w:u w:val="single" w:color="auto"/>
          <w:color w:val="auto"/>
        </w:rPr>
        <w:t>Company Preference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Shares</w:t>
      </w:r>
      <w:r>
        <w:rPr>
          <w:rFonts w:ascii="Arial" w:cs="Arial" w:eastAsia="Arial" w:hAnsi="Arial"/>
          <w:sz w:val="18"/>
          <w:szCs w:val="18"/>
          <w:color w:val="auto"/>
        </w:rPr>
        <w:t>”), entitled to vote thereon, voting together as a single class (and with each Company Preference Share carrying a single vote) and (ii) the holders of a majority of the Public Shareholders (as defined in the Merger Agreement), that were present (whether in person or by proxy) at the special general meeting.</w:t>
      </w:r>
    </w:p>
    <w:p>
      <w:pPr>
        <w:spacing w:after="0" w:line="19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June 9, 2021, the Company completed the Merger, upon which the separate corporate existence of Merger Sub ceased, with the Company as the surviving company in the Merger. The Merger became effective at 9:00 a.m. Bermuda time (8:00 a.m. Eastern Time) on June 9, 2021 (the “</w:t>
      </w:r>
      <w:r>
        <w:rPr>
          <w:rFonts w:ascii="Arial" w:cs="Arial" w:eastAsia="Arial" w:hAnsi="Arial"/>
          <w:sz w:val="17"/>
          <w:szCs w:val="17"/>
          <w:u w:val="single" w:color="auto"/>
          <w:color w:val="auto"/>
        </w:rPr>
        <w:t>Effective</w:t>
      </w:r>
      <w:r>
        <w:rPr>
          <w:rFonts w:ascii="Arial" w:cs="Arial" w:eastAsia="Arial" w:hAnsi="Arial"/>
          <w:sz w:val="17"/>
          <w:szCs w:val="17"/>
          <w:color w:val="auto"/>
        </w:rPr>
        <w:t xml:space="preserve"> </w:t>
      </w:r>
      <w:r>
        <w:rPr>
          <w:rFonts w:ascii="Arial" w:cs="Arial" w:eastAsia="Arial" w:hAnsi="Arial"/>
          <w:sz w:val="17"/>
          <w:szCs w:val="17"/>
          <w:u w:val="single" w:color="auto"/>
          <w:color w:val="auto"/>
        </w:rPr>
        <w:t>Time</w:t>
      </w:r>
      <w:r>
        <w:rPr>
          <w:rFonts w:ascii="Arial" w:cs="Arial" w:eastAsia="Arial" w:hAnsi="Arial"/>
          <w:sz w:val="17"/>
          <w:szCs w:val="17"/>
          <w:color w:val="auto"/>
        </w:rPr>
        <w:t>”) pursuant to the certificate of merger that was issued by the Registrar of Companies in Bermuda on such date.</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the Effective Time, each Company Common Share that was issued and outstanding immediately prior to the Effective Time (other than shares that, as of immediately prior to the Effective Time, are held by (a) the Rolling Shareholders (as defined in the Merger Agreement), (b) any direct or indirect wholly owned subsidiary of the Company or (c) the Company as treasury shares) was converted into the right to receive $5.80 in cash, without interest, for each Company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both"/>
        <w:ind w:firstLine="648"/>
        <w:spacing w:after="0" w:line="254" w:lineRule="auto"/>
        <w:rPr>
          <w:sz w:val="20"/>
          <w:szCs w:val="20"/>
          <w:color w:val="auto"/>
        </w:rPr>
      </w:pPr>
      <w:r>
        <w:rPr>
          <w:rFonts w:ascii="Arial" w:cs="Arial" w:eastAsia="Arial" w:hAnsi="Arial"/>
          <w:sz w:val="18"/>
          <w:szCs w:val="18"/>
          <w:color w:val="auto"/>
        </w:rPr>
        <w:t>Additionally, at the Effective Time, each common share of Merger Sub that was issued and outstanding immediately prior to the Effective Time was converted into and became a number of surviving company common shares equal to (a) the number of Company Common Shares outstanding immediately prior to the Effective Time (other than hook shares and rollover shares) divided by (b) the number of Merger Sub shares issued and outstanding as of immediately prior to the Effective Time. At the Effective Time, the Company Preference Shares issued and outstanding immediately prior to the Effective Time remained issued and outstanding and converted automatically into preference shares of the surviving company entitled to the same dividend and other relative rights, preferences, limitations and restrictions as were provided by the certificate of designations of the Company Preference Shares, which certificate of designations remains in full force and effect as an obligation of the surviving company in accordance with the Company Act of 1981 of Bermuda.</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June 9, 2021, in connection with the completion of the Merger, the Company notified the New York Stock Exchange (“</w:t>
      </w:r>
      <w:r>
        <w:rPr>
          <w:rFonts w:ascii="Arial" w:cs="Arial" w:eastAsia="Arial" w:hAnsi="Arial"/>
          <w:sz w:val="18"/>
          <w:szCs w:val="18"/>
          <w:u w:val="single" w:color="auto"/>
          <w:color w:val="auto"/>
        </w:rPr>
        <w:t>NYSE</w:t>
      </w:r>
      <w:r>
        <w:rPr>
          <w:rFonts w:ascii="Arial" w:cs="Arial" w:eastAsia="Arial" w:hAnsi="Arial"/>
          <w:sz w:val="18"/>
          <w:szCs w:val="18"/>
          <w:color w:val="auto"/>
        </w:rPr>
        <w:t>”) of the completion of the Merger and requested that trading in the Company Common Shares be suspended and that the Company Common Shares be withdrawn from listing on the NYSE. The Company also requested that the NYSE file a notification of removal from listing on Form 25 with the SEC with respect to the Company Common Shares to report the delisting of the Company Common Shares from the NYSE. The Company intends to file with the SEC a certificate and notice of termination on Form 15 with respect to the Company Common Shares, requesting that the Company Common Shares be deregistered under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and that the issuer’s reporting obligations with respect to the Company Common Shares under Sections 13 and 15(d) of the Exchange Act be suspended. The Company Preference Shares remain outstanding and continue to trade on the NYSE.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filed herewith:</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220" w:type="dxa"/>
            <w:vAlign w:val="bottom"/>
          </w:tcPr>
          <w:p>
            <w:pPr>
              <w:spacing w:after="0"/>
              <w:rPr>
                <w:sz w:val="20"/>
                <w:szCs w:val="20"/>
                <w:color w:val="auto"/>
              </w:rPr>
            </w:pPr>
          </w:p>
        </w:tc>
        <w:tc>
          <w:tcPr>
            <w:tcW w:w="9880" w:type="dxa"/>
            <w:vAlign w:val="bottom"/>
            <w:tcBorders>
              <w:bottom w:val="single" w:sz="8" w:color="auto"/>
            </w:tcBorders>
          </w:tcPr>
          <w:p>
            <w:pPr>
              <w:ind w:left="4500"/>
              <w:spacing w:after="0"/>
              <w:rPr>
                <w:sz w:val="20"/>
                <w:szCs w:val="20"/>
                <w:color w:val="auto"/>
              </w:rPr>
            </w:pPr>
            <w:r>
              <w:rPr>
                <w:rFonts w:ascii="Arial" w:cs="Arial" w:eastAsia="Arial" w:hAnsi="Arial"/>
                <w:sz w:val="18"/>
                <w:szCs w:val="18"/>
                <w:b w:val="1"/>
                <w:bCs w:val="1"/>
                <w:color w:val="auto"/>
              </w:rPr>
              <w:t>Description</w:t>
            </w:r>
          </w:p>
        </w:tc>
      </w:tr>
      <w:tr>
        <w:trPr>
          <w:trHeight w:val="264"/>
        </w:trPr>
        <w:tc>
          <w:tcPr>
            <w:tcW w:w="1140" w:type="dxa"/>
            <w:vAlign w:val="bottom"/>
          </w:tcPr>
          <w:p>
            <w:pPr>
              <w:jc w:val="center"/>
              <w:spacing w:after="0"/>
              <w:rPr>
                <w:sz w:val="20"/>
                <w:szCs w:val="20"/>
                <w:color w:val="auto"/>
              </w:rPr>
            </w:pPr>
            <w:r>
              <w:rPr>
                <w:rFonts w:ascii="Arial" w:cs="Arial" w:eastAsia="Arial" w:hAnsi="Arial"/>
                <w:sz w:val="18"/>
                <w:szCs w:val="18"/>
                <w:color w:val="auto"/>
              </w:rPr>
              <w:t>(a)-(1)***</w:t>
            </w:r>
          </w:p>
        </w:tc>
        <w:tc>
          <w:tcPr>
            <w:tcW w:w="220" w:type="dxa"/>
            <w:vAlign w:val="bottom"/>
          </w:tcPr>
          <w:p>
            <w:pPr>
              <w:spacing w:after="0"/>
              <w:rPr>
                <w:sz w:val="22"/>
                <w:szCs w:val="22"/>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Proxy Statement of the Company dated May 3, 2021.</w:t>
            </w:r>
          </w:p>
        </w:tc>
      </w:tr>
      <w:tr>
        <w:trPr>
          <w:trHeight w:val="270"/>
        </w:trPr>
        <w:tc>
          <w:tcPr>
            <w:tcW w:w="1140" w:type="dxa"/>
            <w:vAlign w:val="bottom"/>
          </w:tcPr>
          <w:p>
            <w:pPr>
              <w:jc w:val="center"/>
              <w:spacing w:after="0"/>
              <w:rPr>
                <w:sz w:val="20"/>
                <w:szCs w:val="20"/>
                <w:color w:val="auto"/>
              </w:rPr>
            </w:pPr>
            <w:r>
              <w:rPr>
                <w:rFonts w:ascii="Arial" w:cs="Arial" w:eastAsia="Arial" w:hAnsi="Arial"/>
                <w:sz w:val="18"/>
                <w:szCs w:val="18"/>
                <w:color w:val="auto"/>
              </w:rPr>
              <w:t>(a)-(2)***</w:t>
            </w:r>
          </w:p>
        </w:tc>
        <w:tc>
          <w:tcPr>
            <w:tcW w:w="220" w:type="dxa"/>
            <w:vAlign w:val="bottom"/>
          </w:tcPr>
          <w:p>
            <w:pPr>
              <w:spacing w:after="0"/>
              <w:rPr>
                <w:sz w:val="23"/>
                <w:szCs w:val="23"/>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Letter to the Shareholders of the Company, included in the Proxy Statement and incorporated herein by reference.</w:t>
            </w:r>
          </w:p>
        </w:tc>
      </w:tr>
      <w:tr>
        <w:trPr>
          <w:trHeight w:val="270"/>
        </w:trPr>
        <w:tc>
          <w:tcPr>
            <w:tcW w:w="1140" w:type="dxa"/>
            <w:vAlign w:val="bottom"/>
          </w:tcPr>
          <w:p>
            <w:pPr>
              <w:jc w:val="center"/>
              <w:spacing w:after="0"/>
              <w:rPr>
                <w:sz w:val="20"/>
                <w:szCs w:val="20"/>
                <w:color w:val="auto"/>
              </w:rPr>
            </w:pPr>
            <w:r>
              <w:rPr>
                <w:rFonts w:ascii="Arial" w:cs="Arial" w:eastAsia="Arial" w:hAnsi="Arial"/>
                <w:sz w:val="18"/>
                <w:szCs w:val="18"/>
                <w:color w:val="auto"/>
              </w:rPr>
              <w:t>(a)-(3)***</w:t>
            </w:r>
          </w:p>
        </w:tc>
        <w:tc>
          <w:tcPr>
            <w:tcW w:w="220" w:type="dxa"/>
            <w:vAlign w:val="bottom"/>
          </w:tcPr>
          <w:p>
            <w:pPr>
              <w:spacing w:after="0"/>
              <w:rPr>
                <w:sz w:val="23"/>
                <w:szCs w:val="23"/>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Notice of Special General Meeting of Shareholders, included in the Proxy Statement and incorporated herein by reference.</w:t>
            </w:r>
          </w:p>
        </w:tc>
      </w:tr>
      <w:tr>
        <w:trPr>
          <w:trHeight w:val="270"/>
        </w:trPr>
        <w:tc>
          <w:tcPr>
            <w:tcW w:w="1140" w:type="dxa"/>
            <w:vAlign w:val="bottom"/>
          </w:tcPr>
          <w:p>
            <w:pPr>
              <w:jc w:val="center"/>
              <w:spacing w:after="0"/>
              <w:rPr>
                <w:sz w:val="20"/>
                <w:szCs w:val="20"/>
                <w:color w:val="auto"/>
              </w:rPr>
            </w:pPr>
            <w:r>
              <w:rPr>
                <w:rFonts w:ascii="Arial" w:cs="Arial" w:eastAsia="Arial" w:hAnsi="Arial"/>
                <w:sz w:val="18"/>
                <w:szCs w:val="18"/>
                <w:color w:val="auto"/>
              </w:rPr>
              <w:t>(a)-(4)***</w:t>
            </w:r>
          </w:p>
        </w:tc>
        <w:tc>
          <w:tcPr>
            <w:tcW w:w="220" w:type="dxa"/>
            <w:vAlign w:val="bottom"/>
          </w:tcPr>
          <w:p>
            <w:pPr>
              <w:spacing w:after="0"/>
              <w:rPr>
                <w:sz w:val="23"/>
                <w:szCs w:val="23"/>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Form of Proxy Card, included in the Proxy Statement and incorporated herein by reference.</w:t>
            </w:r>
          </w:p>
        </w:tc>
      </w:tr>
      <w:tr>
        <w:trPr>
          <w:trHeight w:val="256"/>
        </w:trPr>
        <w:tc>
          <w:tcPr>
            <w:tcW w:w="1140" w:type="dxa"/>
            <w:vAlign w:val="bottom"/>
          </w:tcPr>
          <w:p>
            <w:pPr>
              <w:jc w:val="center"/>
              <w:spacing w:after="0"/>
              <w:rPr>
                <w:sz w:val="20"/>
                <w:szCs w:val="20"/>
                <w:color w:val="auto"/>
              </w:rPr>
            </w:pPr>
            <w:r>
              <w:rPr>
                <w:rFonts w:ascii="Arial" w:cs="Arial" w:eastAsia="Arial" w:hAnsi="Arial"/>
                <w:sz w:val="18"/>
                <w:szCs w:val="18"/>
                <w:color w:val="auto"/>
                <w:w w:val="98"/>
              </w:rPr>
              <w:t>(a)-(5)*</w:t>
            </w:r>
          </w:p>
        </w:tc>
        <w:tc>
          <w:tcPr>
            <w:tcW w:w="220" w:type="dxa"/>
            <w:vAlign w:val="bottom"/>
          </w:tcPr>
          <w:p>
            <w:pPr>
              <w:spacing w:after="0"/>
              <w:rPr>
                <w:sz w:val="22"/>
                <w:szCs w:val="22"/>
                <w:color w:val="auto"/>
              </w:rPr>
            </w:pPr>
          </w:p>
        </w:tc>
        <w:tc>
          <w:tcPr>
            <w:tcW w:w="9880" w:type="dxa"/>
            <w:vAlign w:val="bottom"/>
          </w:tcPr>
          <w:p>
            <w:pPr>
              <w:spacing w:after="0"/>
              <w:rPr>
                <w:sz w:val="20"/>
                <w:szCs w:val="20"/>
                <w:color w:val="auto"/>
              </w:rPr>
            </w:pPr>
            <w:r>
              <w:rPr>
                <w:rFonts w:ascii="Arial" w:cs="Arial" w:eastAsia="Arial" w:hAnsi="Arial"/>
                <w:sz w:val="18"/>
                <w:szCs w:val="18"/>
                <w:color w:val="auto"/>
                <w:w w:val="94"/>
              </w:rPr>
              <w:t>Press Release issued by the Company, dated February 22, 2021, incorporated herein by reference to Exhibit 99.1 to the Report on</w:t>
            </w:r>
          </w:p>
        </w:tc>
      </w:tr>
      <w:tr>
        <w:trPr>
          <w:trHeight w:val="230"/>
        </w:trPr>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Form 6-K furnished by the Company to the SEC on February 22, 2021.</w:t>
            </w:r>
          </w:p>
        </w:tc>
      </w:tr>
      <w:tr>
        <w:trPr>
          <w:trHeight w:val="256"/>
        </w:trPr>
        <w:tc>
          <w:tcPr>
            <w:tcW w:w="1140" w:type="dxa"/>
            <w:vAlign w:val="bottom"/>
          </w:tcPr>
          <w:p>
            <w:pPr>
              <w:jc w:val="center"/>
              <w:spacing w:after="0"/>
              <w:rPr>
                <w:sz w:val="20"/>
                <w:szCs w:val="20"/>
                <w:color w:val="auto"/>
              </w:rPr>
            </w:pPr>
            <w:r>
              <w:rPr>
                <w:rFonts w:ascii="Arial" w:cs="Arial" w:eastAsia="Arial" w:hAnsi="Arial"/>
                <w:sz w:val="18"/>
                <w:szCs w:val="18"/>
                <w:color w:val="auto"/>
                <w:w w:val="99"/>
              </w:rPr>
              <w:t>(a)-(6)**</w:t>
            </w:r>
          </w:p>
        </w:tc>
        <w:tc>
          <w:tcPr>
            <w:tcW w:w="220" w:type="dxa"/>
            <w:vAlign w:val="bottom"/>
          </w:tcPr>
          <w:p>
            <w:pPr>
              <w:spacing w:after="0"/>
              <w:rPr>
                <w:sz w:val="22"/>
                <w:szCs w:val="22"/>
                <w:color w:val="auto"/>
              </w:rPr>
            </w:pPr>
          </w:p>
        </w:tc>
        <w:tc>
          <w:tcPr>
            <w:tcW w:w="9880" w:type="dxa"/>
            <w:vAlign w:val="bottom"/>
          </w:tcPr>
          <w:p>
            <w:pPr>
              <w:spacing w:after="0"/>
              <w:rPr>
                <w:sz w:val="20"/>
                <w:szCs w:val="20"/>
                <w:color w:val="auto"/>
              </w:rPr>
            </w:pPr>
            <w:r>
              <w:rPr>
                <w:rFonts w:ascii="Arial" w:cs="Arial" w:eastAsia="Arial" w:hAnsi="Arial"/>
                <w:sz w:val="18"/>
                <w:szCs w:val="18"/>
                <w:color w:val="auto"/>
                <w:w w:val="94"/>
              </w:rPr>
              <w:t>Press Release issued by the Company, dated February 22, 2021, incorporated herein by reference to Exhibit 99.1 to the Report on</w:t>
            </w:r>
          </w:p>
        </w:tc>
      </w:tr>
      <w:tr>
        <w:trPr>
          <w:trHeight w:val="230"/>
        </w:trPr>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Form 6-K furnished by the Company to the SEC on February 22, 2021.</w:t>
            </w:r>
          </w:p>
        </w:tc>
      </w:tr>
      <w:tr>
        <w:trPr>
          <w:trHeight w:val="270"/>
        </w:trPr>
        <w:tc>
          <w:tcPr>
            <w:tcW w:w="1140" w:type="dxa"/>
            <w:vAlign w:val="bottom"/>
          </w:tcPr>
          <w:p>
            <w:pPr>
              <w:jc w:val="center"/>
              <w:spacing w:after="0"/>
              <w:rPr>
                <w:sz w:val="20"/>
                <w:szCs w:val="20"/>
                <w:color w:val="auto"/>
              </w:rPr>
            </w:pPr>
            <w:r>
              <w:rPr>
                <w:rFonts w:ascii="Arial" w:cs="Arial" w:eastAsia="Arial" w:hAnsi="Arial"/>
                <w:sz w:val="18"/>
                <w:szCs w:val="18"/>
                <w:color w:val="auto"/>
                <w:w w:val="99"/>
              </w:rPr>
              <w:t>(a)-(7)**</w:t>
            </w:r>
          </w:p>
        </w:tc>
        <w:tc>
          <w:tcPr>
            <w:tcW w:w="220" w:type="dxa"/>
            <w:vAlign w:val="bottom"/>
          </w:tcPr>
          <w:p>
            <w:pPr>
              <w:spacing w:after="0"/>
              <w:rPr>
                <w:sz w:val="23"/>
                <w:szCs w:val="23"/>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Annual Report on Form 20-F for the year ended December 31, 2020 for the Company filed with the SEC on March 5, 2021.</w:t>
            </w:r>
          </w:p>
        </w:tc>
      </w:tr>
    </w:tbl>
    <w:p>
      <w:pPr>
        <w:spacing w:after="0" w:line="40" w:lineRule="exact"/>
        <w:rPr>
          <w:sz w:val="20"/>
          <w:szCs w:val="20"/>
          <w:color w:val="auto"/>
        </w:rPr>
      </w:pPr>
    </w:p>
    <w:p>
      <w:pPr>
        <w:ind w:left="1360" w:hanging="890"/>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63"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1020" w:type="dxa"/>
            <w:vAlign w:val="bottom"/>
          </w:tcPr>
          <w:p>
            <w:pPr>
              <w:jc w:val="center"/>
              <w:ind w:right="110"/>
              <w:spacing w:after="0"/>
              <w:rPr>
                <w:sz w:val="20"/>
                <w:szCs w:val="20"/>
                <w:color w:val="auto"/>
              </w:rPr>
            </w:pPr>
            <w:r>
              <w:rPr>
                <w:rFonts w:ascii="Arial" w:cs="Arial" w:eastAsia="Arial" w:hAnsi="Arial"/>
                <w:sz w:val="18"/>
                <w:szCs w:val="18"/>
                <w:color w:val="auto"/>
                <w:w w:val="93"/>
              </w:rPr>
              <w:t>(c)-(1)</w:t>
            </w:r>
          </w:p>
        </w:tc>
        <w:tc>
          <w:tcPr>
            <w:tcW w:w="10060" w:type="dxa"/>
            <w:vAlign w:val="bottom"/>
          </w:tcPr>
          <w:p>
            <w:pPr>
              <w:ind w:left="180"/>
              <w:spacing w:after="0"/>
              <w:rPr>
                <w:sz w:val="20"/>
                <w:szCs w:val="20"/>
                <w:color w:val="auto"/>
              </w:rPr>
            </w:pPr>
            <w:r>
              <w:rPr>
                <w:rFonts w:ascii="Arial" w:cs="Arial" w:eastAsia="Arial" w:hAnsi="Arial"/>
                <w:sz w:val="18"/>
                <w:szCs w:val="18"/>
                <w:color w:val="auto"/>
                <w:w w:val="97"/>
              </w:rPr>
              <w:t>Fairness Opinion of Evercore Group L.L.C., dated February 21, 2021, incorporated herein by reference to Annex D to the Proxy</w:t>
            </w:r>
          </w:p>
        </w:tc>
      </w:tr>
      <w:tr>
        <w:trPr>
          <w:trHeight w:val="230"/>
        </w:trPr>
        <w:tc>
          <w:tcPr>
            <w:tcW w:w="1020" w:type="dxa"/>
            <w:vAlign w:val="bottom"/>
          </w:tcPr>
          <w:p>
            <w:pPr>
              <w:spacing w:after="0"/>
              <w:rPr>
                <w:sz w:val="20"/>
                <w:szCs w:val="20"/>
                <w:color w:val="auto"/>
              </w:rPr>
            </w:pPr>
          </w:p>
        </w:tc>
        <w:tc>
          <w:tcPr>
            <w:tcW w:w="10060" w:type="dxa"/>
            <w:vAlign w:val="bottom"/>
          </w:tcPr>
          <w:p>
            <w:pPr>
              <w:ind w:left="180"/>
              <w:spacing w:after="0"/>
              <w:rPr>
                <w:sz w:val="20"/>
                <w:szCs w:val="20"/>
                <w:color w:val="auto"/>
              </w:rPr>
            </w:pPr>
            <w:r>
              <w:rPr>
                <w:rFonts w:ascii="Arial" w:cs="Arial" w:eastAsia="Arial" w:hAnsi="Arial"/>
                <w:sz w:val="18"/>
                <w:szCs w:val="18"/>
                <w:color w:val="auto"/>
              </w:rPr>
              <w:t>Statement.</w:t>
            </w:r>
          </w:p>
        </w:tc>
      </w:tr>
      <w:tr>
        <w:trPr>
          <w:trHeight w:val="256"/>
        </w:trPr>
        <w:tc>
          <w:tcPr>
            <w:tcW w:w="1020" w:type="dxa"/>
            <w:vAlign w:val="bottom"/>
          </w:tcPr>
          <w:p>
            <w:pPr>
              <w:jc w:val="center"/>
              <w:ind w:right="90"/>
              <w:spacing w:after="0"/>
              <w:rPr>
                <w:sz w:val="20"/>
                <w:szCs w:val="20"/>
                <w:color w:val="auto"/>
              </w:rPr>
            </w:pPr>
            <w:r>
              <w:rPr>
                <w:rFonts w:ascii="Arial" w:cs="Arial" w:eastAsia="Arial" w:hAnsi="Arial"/>
                <w:sz w:val="18"/>
                <w:szCs w:val="18"/>
                <w:color w:val="auto"/>
                <w:w w:val="99"/>
              </w:rPr>
              <w:t>(c)-(2)*</w:t>
            </w:r>
          </w:p>
        </w:tc>
        <w:tc>
          <w:tcPr>
            <w:tcW w:w="10060" w:type="dxa"/>
            <w:vAlign w:val="bottom"/>
          </w:tcPr>
          <w:p>
            <w:pPr>
              <w:ind w:left="180"/>
              <w:spacing w:after="0"/>
              <w:rPr>
                <w:sz w:val="20"/>
                <w:szCs w:val="20"/>
                <w:color w:val="auto"/>
              </w:rPr>
            </w:pPr>
            <w:r>
              <w:rPr>
                <w:rFonts w:ascii="Arial" w:cs="Arial" w:eastAsia="Arial" w:hAnsi="Arial"/>
                <w:sz w:val="18"/>
                <w:szCs w:val="18"/>
                <w:color w:val="auto"/>
                <w:w w:val="95"/>
              </w:rPr>
              <w:t>Discussion Materials prepared by Evercore Group L.L.C. for discussion with the special committee of the board of directors of the</w:t>
            </w:r>
          </w:p>
        </w:tc>
      </w:tr>
      <w:tr>
        <w:trPr>
          <w:trHeight w:val="230"/>
        </w:trPr>
        <w:tc>
          <w:tcPr>
            <w:tcW w:w="1020" w:type="dxa"/>
            <w:vAlign w:val="bottom"/>
          </w:tcPr>
          <w:p>
            <w:pPr>
              <w:spacing w:after="0"/>
              <w:rPr>
                <w:sz w:val="20"/>
                <w:szCs w:val="20"/>
                <w:color w:val="auto"/>
              </w:rPr>
            </w:pPr>
          </w:p>
        </w:tc>
        <w:tc>
          <w:tcPr>
            <w:tcW w:w="10060" w:type="dxa"/>
            <w:vAlign w:val="bottom"/>
          </w:tcPr>
          <w:p>
            <w:pPr>
              <w:ind w:left="180"/>
              <w:spacing w:after="0"/>
              <w:rPr>
                <w:sz w:val="20"/>
                <w:szCs w:val="20"/>
                <w:color w:val="auto"/>
              </w:rPr>
            </w:pPr>
            <w:r>
              <w:rPr>
                <w:rFonts w:ascii="Arial" w:cs="Arial" w:eastAsia="Arial" w:hAnsi="Arial"/>
                <w:sz w:val="18"/>
                <w:szCs w:val="18"/>
                <w:color w:val="auto"/>
              </w:rPr>
              <w:t>Company, dated November 17, 2020</w:t>
            </w:r>
          </w:p>
        </w:tc>
      </w:tr>
      <w:tr>
        <w:trPr>
          <w:trHeight w:val="256"/>
        </w:trPr>
        <w:tc>
          <w:tcPr>
            <w:tcW w:w="1020" w:type="dxa"/>
            <w:vAlign w:val="bottom"/>
          </w:tcPr>
          <w:p>
            <w:pPr>
              <w:jc w:val="center"/>
              <w:ind w:right="90"/>
              <w:spacing w:after="0"/>
              <w:rPr>
                <w:sz w:val="20"/>
                <w:szCs w:val="20"/>
                <w:color w:val="auto"/>
              </w:rPr>
            </w:pPr>
            <w:r>
              <w:rPr>
                <w:rFonts w:ascii="Arial" w:cs="Arial" w:eastAsia="Arial" w:hAnsi="Arial"/>
                <w:sz w:val="18"/>
                <w:szCs w:val="18"/>
                <w:color w:val="auto"/>
                <w:w w:val="99"/>
              </w:rPr>
              <w:t>(c)-(3)*</w:t>
            </w:r>
          </w:p>
        </w:tc>
        <w:tc>
          <w:tcPr>
            <w:tcW w:w="10060" w:type="dxa"/>
            <w:vAlign w:val="bottom"/>
          </w:tcPr>
          <w:p>
            <w:pPr>
              <w:ind w:left="180"/>
              <w:spacing w:after="0"/>
              <w:rPr>
                <w:sz w:val="20"/>
                <w:szCs w:val="20"/>
                <w:color w:val="auto"/>
              </w:rPr>
            </w:pPr>
            <w:r>
              <w:rPr>
                <w:rFonts w:ascii="Arial" w:cs="Arial" w:eastAsia="Arial" w:hAnsi="Arial"/>
                <w:sz w:val="18"/>
                <w:szCs w:val="18"/>
                <w:color w:val="auto"/>
                <w:w w:val="95"/>
              </w:rPr>
              <w:t>Discussion Materials prepared by Evercore Group L.L.C. for discussion with the special committee of the board of directors of the</w:t>
            </w:r>
          </w:p>
        </w:tc>
      </w:tr>
      <w:tr>
        <w:trPr>
          <w:trHeight w:val="230"/>
        </w:trPr>
        <w:tc>
          <w:tcPr>
            <w:tcW w:w="1020" w:type="dxa"/>
            <w:vAlign w:val="bottom"/>
          </w:tcPr>
          <w:p>
            <w:pPr>
              <w:spacing w:after="0"/>
              <w:rPr>
                <w:sz w:val="20"/>
                <w:szCs w:val="20"/>
                <w:color w:val="auto"/>
              </w:rPr>
            </w:pPr>
          </w:p>
        </w:tc>
        <w:tc>
          <w:tcPr>
            <w:tcW w:w="10060" w:type="dxa"/>
            <w:vAlign w:val="bottom"/>
          </w:tcPr>
          <w:p>
            <w:pPr>
              <w:ind w:left="180"/>
              <w:spacing w:after="0"/>
              <w:rPr>
                <w:sz w:val="20"/>
                <w:szCs w:val="20"/>
                <w:color w:val="auto"/>
              </w:rPr>
            </w:pPr>
            <w:r>
              <w:rPr>
                <w:rFonts w:ascii="Arial" w:cs="Arial" w:eastAsia="Arial" w:hAnsi="Arial"/>
                <w:sz w:val="18"/>
                <w:szCs w:val="18"/>
                <w:color w:val="auto"/>
              </w:rPr>
              <w:t>Company, dated February 19, 2021.</w:t>
            </w:r>
          </w:p>
        </w:tc>
      </w:tr>
      <w:tr>
        <w:trPr>
          <w:trHeight w:val="256"/>
        </w:trPr>
        <w:tc>
          <w:tcPr>
            <w:tcW w:w="1020" w:type="dxa"/>
            <w:vAlign w:val="bottom"/>
          </w:tcPr>
          <w:p>
            <w:pPr>
              <w:jc w:val="center"/>
              <w:ind w:right="90"/>
              <w:spacing w:after="0"/>
              <w:rPr>
                <w:sz w:val="20"/>
                <w:szCs w:val="20"/>
                <w:color w:val="auto"/>
              </w:rPr>
            </w:pPr>
            <w:r>
              <w:rPr>
                <w:rFonts w:ascii="Arial" w:cs="Arial" w:eastAsia="Arial" w:hAnsi="Arial"/>
                <w:sz w:val="18"/>
                <w:szCs w:val="18"/>
                <w:color w:val="auto"/>
                <w:w w:val="99"/>
              </w:rPr>
              <w:t>(c)-(4)*</w:t>
            </w:r>
          </w:p>
        </w:tc>
        <w:tc>
          <w:tcPr>
            <w:tcW w:w="10060" w:type="dxa"/>
            <w:vAlign w:val="bottom"/>
          </w:tcPr>
          <w:p>
            <w:pPr>
              <w:ind w:left="180"/>
              <w:spacing w:after="0"/>
              <w:rPr>
                <w:sz w:val="20"/>
                <w:szCs w:val="20"/>
                <w:color w:val="auto"/>
              </w:rPr>
            </w:pPr>
            <w:r>
              <w:rPr>
                <w:rFonts w:ascii="Arial" w:cs="Arial" w:eastAsia="Arial" w:hAnsi="Arial"/>
                <w:sz w:val="18"/>
                <w:szCs w:val="18"/>
                <w:color w:val="auto"/>
                <w:w w:val="95"/>
              </w:rPr>
              <w:t>Discussion Materials prepared by Evercore Group L.L.C. for discussion with the special committee of the board of directors of the</w:t>
            </w:r>
          </w:p>
        </w:tc>
      </w:tr>
      <w:tr>
        <w:trPr>
          <w:trHeight w:val="230"/>
        </w:trPr>
        <w:tc>
          <w:tcPr>
            <w:tcW w:w="1020" w:type="dxa"/>
            <w:vAlign w:val="bottom"/>
          </w:tcPr>
          <w:p>
            <w:pPr>
              <w:spacing w:after="0"/>
              <w:rPr>
                <w:sz w:val="20"/>
                <w:szCs w:val="20"/>
                <w:color w:val="auto"/>
              </w:rPr>
            </w:pPr>
          </w:p>
        </w:tc>
        <w:tc>
          <w:tcPr>
            <w:tcW w:w="10060" w:type="dxa"/>
            <w:vAlign w:val="bottom"/>
          </w:tcPr>
          <w:p>
            <w:pPr>
              <w:ind w:left="180"/>
              <w:spacing w:after="0"/>
              <w:rPr>
                <w:sz w:val="20"/>
                <w:szCs w:val="20"/>
                <w:color w:val="auto"/>
              </w:rPr>
            </w:pPr>
            <w:r>
              <w:rPr>
                <w:rFonts w:ascii="Arial" w:cs="Arial" w:eastAsia="Arial" w:hAnsi="Arial"/>
                <w:sz w:val="18"/>
                <w:szCs w:val="18"/>
                <w:color w:val="auto"/>
              </w:rPr>
              <w:t>company, dated February 21, 2021.</w:t>
            </w:r>
          </w:p>
        </w:tc>
      </w:tr>
      <w:tr>
        <w:trPr>
          <w:trHeight w:val="256"/>
        </w:trPr>
        <w:tc>
          <w:tcPr>
            <w:tcW w:w="1020" w:type="dxa"/>
            <w:vAlign w:val="bottom"/>
          </w:tcPr>
          <w:p>
            <w:pPr>
              <w:jc w:val="center"/>
              <w:ind w:right="110"/>
              <w:spacing w:after="0"/>
              <w:rPr>
                <w:sz w:val="20"/>
                <w:szCs w:val="20"/>
                <w:color w:val="auto"/>
              </w:rPr>
            </w:pPr>
            <w:r>
              <w:rPr>
                <w:rFonts w:ascii="Arial" w:cs="Arial" w:eastAsia="Arial" w:hAnsi="Arial"/>
                <w:sz w:val="18"/>
                <w:szCs w:val="18"/>
                <w:color w:val="auto"/>
              </w:rPr>
              <w:t>(d)-(1)***</w:t>
            </w:r>
          </w:p>
        </w:tc>
        <w:tc>
          <w:tcPr>
            <w:tcW w:w="10060" w:type="dxa"/>
            <w:vAlign w:val="bottom"/>
          </w:tcPr>
          <w:p>
            <w:pPr>
              <w:ind w:left="180"/>
              <w:spacing w:after="0"/>
              <w:rPr>
                <w:sz w:val="20"/>
                <w:szCs w:val="20"/>
                <w:color w:val="auto"/>
              </w:rPr>
            </w:pPr>
            <w:r>
              <w:rPr>
                <w:rFonts w:ascii="Arial" w:cs="Arial" w:eastAsia="Arial" w:hAnsi="Arial"/>
                <w:sz w:val="18"/>
                <w:szCs w:val="18"/>
                <w:color w:val="auto"/>
                <w:w w:val="94"/>
              </w:rPr>
              <w:t>Agreement and Plan of Merger, dated as February 21, 2021, by and among GasLog Ltd., GEPIF III Crown Bidco L.P. and GEPIF III</w:t>
            </w:r>
          </w:p>
        </w:tc>
      </w:tr>
      <w:tr>
        <w:trPr>
          <w:trHeight w:val="230"/>
        </w:trPr>
        <w:tc>
          <w:tcPr>
            <w:tcW w:w="1020" w:type="dxa"/>
            <w:vAlign w:val="bottom"/>
          </w:tcPr>
          <w:p>
            <w:pPr>
              <w:spacing w:after="0"/>
              <w:rPr>
                <w:sz w:val="20"/>
                <w:szCs w:val="20"/>
                <w:color w:val="auto"/>
              </w:rPr>
            </w:pPr>
          </w:p>
        </w:tc>
        <w:tc>
          <w:tcPr>
            <w:tcW w:w="10060" w:type="dxa"/>
            <w:vAlign w:val="bottom"/>
          </w:tcPr>
          <w:p>
            <w:pPr>
              <w:ind w:left="180"/>
              <w:spacing w:after="0"/>
              <w:rPr>
                <w:sz w:val="20"/>
                <w:szCs w:val="20"/>
                <w:color w:val="auto"/>
              </w:rPr>
            </w:pPr>
            <w:r>
              <w:rPr>
                <w:rFonts w:ascii="Arial" w:cs="Arial" w:eastAsia="Arial" w:hAnsi="Arial"/>
                <w:sz w:val="18"/>
                <w:szCs w:val="18"/>
                <w:color w:val="auto"/>
              </w:rPr>
              <w:t>Crown MergerCo Limited, incorporated herein by reference to Annex A-1 to the Proxy Statement.</w:t>
            </w:r>
          </w:p>
        </w:tc>
      </w:tr>
      <w:tr>
        <w:trPr>
          <w:trHeight w:val="256"/>
        </w:trPr>
        <w:tc>
          <w:tcPr>
            <w:tcW w:w="1020" w:type="dxa"/>
            <w:vAlign w:val="bottom"/>
          </w:tcPr>
          <w:p>
            <w:pPr>
              <w:jc w:val="center"/>
              <w:ind w:right="110"/>
              <w:spacing w:after="0"/>
              <w:rPr>
                <w:sz w:val="20"/>
                <w:szCs w:val="20"/>
                <w:color w:val="auto"/>
              </w:rPr>
            </w:pPr>
            <w:r>
              <w:rPr>
                <w:rFonts w:ascii="Arial" w:cs="Arial" w:eastAsia="Arial" w:hAnsi="Arial"/>
                <w:sz w:val="18"/>
                <w:szCs w:val="18"/>
                <w:color w:val="auto"/>
              </w:rPr>
              <w:t>(d)-(2)***</w:t>
            </w:r>
          </w:p>
        </w:tc>
        <w:tc>
          <w:tcPr>
            <w:tcW w:w="10060" w:type="dxa"/>
            <w:vAlign w:val="bottom"/>
          </w:tcPr>
          <w:p>
            <w:pPr>
              <w:ind w:left="180"/>
              <w:spacing w:after="0"/>
              <w:rPr>
                <w:sz w:val="20"/>
                <w:szCs w:val="20"/>
                <w:color w:val="auto"/>
              </w:rPr>
            </w:pPr>
            <w:r>
              <w:rPr>
                <w:rFonts w:ascii="Arial" w:cs="Arial" w:eastAsia="Arial" w:hAnsi="Arial"/>
                <w:sz w:val="18"/>
                <w:szCs w:val="18"/>
                <w:color w:val="auto"/>
                <w:w w:val="93"/>
              </w:rPr>
              <w:t>Statutory Merger Agreement by and among GasLog Ltd. and GEPIF III Crown MergerCo Limited, incorporated herein by reference to</w:t>
            </w:r>
          </w:p>
        </w:tc>
      </w:tr>
      <w:tr>
        <w:trPr>
          <w:trHeight w:val="230"/>
        </w:trPr>
        <w:tc>
          <w:tcPr>
            <w:tcW w:w="1020" w:type="dxa"/>
            <w:vAlign w:val="bottom"/>
          </w:tcPr>
          <w:p>
            <w:pPr>
              <w:spacing w:after="0"/>
              <w:rPr>
                <w:sz w:val="20"/>
                <w:szCs w:val="20"/>
                <w:color w:val="auto"/>
              </w:rPr>
            </w:pPr>
          </w:p>
        </w:tc>
        <w:tc>
          <w:tcPr>
            <w:tcW w:w="10060" w:type="dxa"/>
            <w:vAlign w:val="bottom"/>
          </w:tcPr>
          <w:p>
            <w:pPr>
              <w:ind w:left="180"/>
              <w:spacing w:after="0"/>
              <w:rPr>
                <w:sz w:val="20"/>
                <w:szCs w:val="20"/>
                <w:color w:val="auto"/>
              </w:rPr>
            </w:pPr>
            <w:r>
              <w:rPr>
                <w:rFonts w:ascii="Arial" w:cs="Arial" w:eastAsia="Arial" w:hAnsi="Arial"/>
                <w:sz w:val="18"/>
                <w:szCs w:val="18"/>
                <w:color w:val="auto"/>
              </w:rPr>
              <w:t>Annex B of the Proxy Statement.</w:t>
            </w:r>
          </w:p>
        </w:tc>
      </w:tr>
      <w:tr>
        <w:trPr>
          <w:trHeight w:val="256"/>
        </w:trPr>
        <w:tc>
          <w:tcPr>
            <w:tcW w:w="1020" w:type="dxa"/>
            <w:vAlign w:val="bottom"/>
          </w:tcPr>
          <w:p>
            <w:pPr>
              <w:jc w:val="center"/>
              <w:ind w:right="110"/>
              <w:spacing w:after="0"/>
              <w:rPr>
                <w:sz w:val="20"/>
                <w:szCs w:val="20"/>
                <w:color w:val="auto"/>
              </w:rPr>
            </w:pPr>
            <w:r>
              <w:rPr>
                <w:rFonts w:ascii="Arial" w:cs="Arial" w:eastAsia="Arial" w:hAnsi="Arial"/>
                <w:sz w:val="18"/>
                <w:szCs w:val="18"/>
                <w:color w:val="auto"/>
              </w:rPr>
              <w:t>(d)-(3)***</w:t>
            </w:r>
          </w:p>
        </w:tc>
        <w:tc>
          <w:tcPr>
            <w:tcW w:w="10060" w:type="dxa"/>
            <w:vAlign w:val="bottom"/>
          </w:tcPr>
          <w:p>
            <w:pPr>
              <w:ind w:left="180"/>
              <w:spacing w:after="0"/>
              <w:rPr>
                <w:sz w:val="20"/>
                <w:szCs w:val="20"/>
                <w:color w:val="auto"/>
              </w:rPr>
            </w:pPr>
            <w:r>
              <w:rPr>
                <w:rFonts w:ascii="Arial" w:cs="Arial" w:eastAsia="Arial" w:hAnsi="Arial"/>
                <w:sz w:val="18"/>
                <w:szCs w:val="18"/>
                <w:color w:val="auto"/>
                <w:w w:val="91"/>
              </w:rPr>
              <w:t>Rollover Agreement, dated as February 21, 2021, by and among GasLog Ltd., GEPIF III Crown Bidco L.P. and the Rolling Shareholders</w:t>
            </w:r>
          </w:p>
        </w:tc>
      </w:tr>
      <w:tr>
        <w:trPr>
          <w:trHeight w:val="230"/>
        </w:trPr>
        <w:tc>
          <w:tcPr>
            <w:tcW w:w="1020" w:type="dxa"/>
            <w:vAlign w:val="bottom"/>
          </w:tcPr>
          <w:p>
            <w:pPr>
              <w:spacing w:after="0"/>
              <w:rPr>
                <w:sz w:val="20"/>
                <w:szCs w:val="20"/>
                <w:color w:val="auto"/>
              </w:rPr>
            </w:pPr>
          </w:p>
        </w:tc>
        <w:tc>
          <w:tcPr>
            <w:tcW w:w="10060" w:type="dxa"/>
            <w:vAlign w:val="bottom"/>
          </w:tcPr>
          <w:p>
            <w:pPr>
              <w:ind w:left="180"/>
              <w:spacing w:after="0"/>
              <w:rPr>
                <w:sz w:val="20"/>
                <w:szCs w:val="20"/>
                <w:color w:val="auto"/>
              </w:rPr>
            </w:pPr>
            <w:r>
              <w:rPr>
                <w:rFonts w:ascii="Arial" w:cs="Arial" w:eastAsia="Arial" w:hAnsi="Arial"/>
                <w:sz w:val="18"/>
                <w:szCs w:val="18"/>
                <w:color w:val="auto"/>
              </w:rPr>
              <w:t>(as defined therein), incorporated herein by reference to Annex C to the Proxy Statement.</w:t>
            </w:r>
          </w:p>
        </w:tc>
      </w:tr>
      <w:tr>
        <w:trPr>
          <w:trHeight w:val="256"/>
        </w:trPr>
        <w:tc>
          <w:tcPr>
            <w:tcW w:w="1020" w:type="dxa"/>
            <w:vAlign w:val="bottom"/>
          </w:tcPr>
          <w:p>
            <w:pPr>
              <w:jc w:val="center"/>
              <w:ind w:right="90"/>
              <w:spacing w:after="0"/>
              <w:rPr>
                <w:sz w:val="20"/>
                <w:szCs w:val="20"/>
                <w:color w:val="auto"/>
              </w:rPr>
            </w:pPr>
            <w:r>
              <w:rPr>
                <w:rFonts w:ascii="Arial" w:cs="Arial" w:eastAsia="Arial" w:hAnsi="Arial"/>
                <w:sz w:val="18"/>
                <w:szCs w:val="18"/>
                <w:color w:val="auto"/>
                <w:w w:val="98"/>
              </w:rPr>
              <w:t>(d)-(4)*</w:t>
            </w:r>
          </w:p>
        </w:tc>
        <w:tc>
          <w:tcPr>
            <w:tcW w:w="10060" w:type="dxa"/>
            <w:vAlign w:val="bottom"/>
          </w:tcPr>
          <w:p>
            <w:pPr>
              <w:ind w:left="180"/>
              <w:spacing w:after="0"/>
              <w:rPr>
                <w:sz w:val="20"/>
                <w:szCs w:val="20"/>
                <w:color w:val="auto"/>
              </w:rPr>
            </w:pPr>
            <w:r>
              <w:rPr>
                <w:rFonts w:ascii="Arial" w:cs="Arial" w:eastAsia="Arial" w:hAnsi="Arial"/>
                <w:sz w:val="18"/>
                <w:szCs w:val="18"/>
                <w:color w:val="auto"/>
                <w:w w:val="95"/>
              </w:rPr>
              <w:t>Limited Guarantee, dated as of February 21, 2021, by and between Global Energy &amp; Power Infrastructure Fund III, L.P., in favor of</w:t>
            </w:r>
          </w:p>
        </w:tc>
      </w:tr>
      <w:tr>
        <w:trPr>
          <w:trHeight w:val="230"/>
        </w:trPr>
        <w:tc>
          <w:tcPr>
            <w:tcW w:w="1020" w:type="dxa"/>
            <w:vAlign w:val="bottom"/>
          </w:tcPr>
          <w:p>
            <w:pPr>
              <w:spacing w:after="0"/>
              <w:rPr>
                <w:sz w:val="20"/>
                <w:szCs w:val="20"/>
                <w:color w:val="auto"/>
              </w:rPr>
            </w:pPr>
          </w:p>
        </w:tc>
        <w:tc>
          <w:tcPr>
            <w:tcW w:w="10060" w:type="dxa"/>
            <w:vAlign w:val="bottom"/>
          </w:tcPr>
          <w:p>
            <w:pPr>
              <w:ind w:left="180"/>
              <w:spacing w:after="0"/>
              <w:rPr>
                <w:sz w:val="20"/>
                <w:szCs w:val="20"/>
                <w:color w:val="auto"/>
              </w:rPr>
            </w:pPr>
            <w:r>
              <w:rPr>
                <w:rFonts w:ascii="Arial" w:cs="Arial" w:eastAsia="Arial" w:hAnsi="Arial"/>
                <w:sz w:val="18"/>
                <w:szCs w:val="18"/>
                <w:color w:val="auto"/>
              </w:rPr>
              <w:t>GasLog Ltd.</w:t>
            </w:r>
          </w:p>
        </w:tc>
      </w:tr>
      <w:tr>
        <w:trPr>
          <w:trHeight w:val="256"/>
        </w:trPr>
        <w:tc>
          <w:tcPr>
            <w:tcW w:w="1020" w:type="dxa"/>
            <w:vAlign w:val="bottom"/>
          </w:tcPr>
          <w:p>
            <w:pPr>
              <w:jc w:val="center"/>
              <w:ind w:right="90"/>
              <w:spacing w:after="0"/>
              <w:rPr>
                <w:sz w:val="20"/>
                <w:szCs w:val="20"/>
                <w:color w:val="auto"/>
              </w:rPr>
            </w:pPr>
            <w:r>
              <w:rPr>
                <w:rFonts w:ascii="Arial" w:cs="Arial" w:eastAsia="Arial" w:hAnsi="Arial"/>
                <w:sz w:val="18"/>
                <w:szCs w:val="18"/>
                <w:color w:val="auto"/>
                <w:w w:val="98"/>
              </w:rPr>
              <w:t>(d)-(5)*</w:t>
            </w:r>
          </w:p>
        </w:tc>
        <w:tc>
          <w:tcPr>
            <w:tcW w:w="10060" w:type="dxa"/>
            <w:vAlign w:val="bottom"/>
          </w:tcPr>
          <w:p>
            <w:pPr>
              <w:ind w:left="180"/>
              <w:spacing w:after="0"/>
              <w:rPr>
                <w:sz w:val="20"/>
                <w:szCs w:val="20"/>
                <w:color w:val="auto"/>
              </w:rPr>
            </w:pPr>
            <w:r>
              <w:rPr>
                <w:rFonts w:ascii="Arial" w:cs="Arial" w:eastAsia="Arial" w:hAnsi="Arial"/>
                <w:sz w:val="18"/>
                <w:szCs w:val="18"/>
                <w:color w:val="auto"/>
                <w:w w:val="94"/>
              </w:rPr>
              <w:t>Equity Commitment Letter, dated as of February 21, 2021, by and between Global Energy &amp; Power Infrastructure Fund III, L.P. and</w:t>
            </w:r>
          </w:p>
        </w:tc>
      </w:tr>
      <w:tr>
        <w:trPr>
          <w:trHeight w:val="216"/>
        </w:trPr>
        <w:tc>
          <w:tcPr>
            <w:tcW w:w="1020" w:type="dxa"/>
            <w:vAlign w:val="bottom"/>
          </w:tcPr>
          <w:p>
            <w:pPr>
              <w:spacing w:after="0"/>
              <w:rPr>
                <w:sz w:val="18"/>
                <w:szCs w:val="18"/>
                <w:color w:val="auto"/>
              </w:rPr>
            </w:pPr>
          </w:p>
        </w:tc>
        <w:tc>
          <w:tcPr>
            <w:tcW w:w="10060" w:type="dxa"/>
            <w:vAlign w:val="bottom"/>
          </w:tcPr>
          <w:p>
            <w:pPr>
              <w:ind w:left="180"/>
              <w:spacing w:after="0"/>
              <w:rPr>
                <w:sz w:val="20"/>
                <w:szCs w:val="20"/>
                <w:color w:val="auto"/>
              </w:rPr>
            </w:pPr>
            <w:r>
              <w:rPr>
                <w:rFonts w:ascii="Arial" w:cs="Arial" w:eastAsia="Arial" w:hAnsi="Arial"/>
                <w:sz w:val="18"/>
                <w:szCs w:val="18"/>
                <w:color w:val="auto"/>
                <w:w w:val="91"/>
              </w:rPr>
              <w:t>GEPIF III Crown Bidco L.P., incorporated herein by reference to Exhibit 2 to the Schedule 13D furnished by BlackRock, Inc. to the SEC</w:t>
            </w:r>
          </w:p>
        </w:tc>
      </w:tr>
      <w:tr>
        <w:trPr>
          <w:trHeight w:val="230"/>
        </w:trPr>
        <w:tc>
          <w:tcPr>
            <w:tcW w:w="1020" w:type="dxa"/>
            <w:vAlign w:val="bottom"/>
          </w:tcPr>
          <w:p>
            <w:pPr>
              <w:spacing w:after="0"/>
              <w:rPr>
                <w:sz w:val="20"/>
                <w:szCs w:val="20"/>
                <w:color w:val="auto"/>
              </w:rPr>
            </w:pPr>
          </w:p>
        </w:tc>
        <w:tc>
          <w:tcPr>
            <w:tcW w:w="10060" w:type="dxa"/>
            <w:vAlign w:val="bottom"/>
          </w:tcPr>
          <w:p>
            <w:pPr>
              <w:ind w:left="180"/>
              <w:spacing w:after="0"/>
              <w:rPr>
                <w:sz w:val="20"/>
                <w:szCs w:val="20"/>
                <w:color w:val="auto"/>
              </w:rPr>
            </w:pPr>
            <w:r>
              <w:rPr>
                <w:rFonts w:ascii="Arial" w:cs="Arial" w:eastAsia="Arial" w:hAnsi="Arial"/>
                <w:sz w:val="18"/>
                <w:szCs w:val="18"/>
                <w:color w:val="auto"/>
              </w:rPr>
              <w:t>on March 3, 2021</w:t>
            </w:r>
          </w:p>
        </w:tc>
      </w:tr>
      <w:tr>
        <w:trPr>
          <w:trHeight w:val="256"/>
        </w:trPr>
        <w:tc>
          <w:tcPr>
            <w:tcW w:w="1020" w:type="dxa"/>
            <w:vAlign w:val="bottom"/>
          </w:tcPr>
          <w:p>
            <w:pPr>
              <w:jc w:val="center"/>
              <w:ind w:right="90"/>
              <w:spacing w:after="0"/>
              <w:rPr>
                <w:sz w:val="20"/>
                <w:szCs w:val="20"/>
                <w:color w:val="auto"/>
              </w:rPr>
            </w:pPr>
            <w:r>
              <w:rPr>
                <w:rFonts w:ascii="Arial" w:cs="Arial" w:eastAsia="Arial" w:hAnsi="Arial"/>
                <w:sz w:val="18"/>
                <w:szCs w:val="18"/>
                <w:color w:val="auto"/>
                <w:w w:val="98"/>
              </w:rPr>
              <w:t>(d)-(6)*</w:t>
            </w:r>
          </w:p>
        </w:tc>
        <w:tc>
          <w:tcPr>
            <w:tcW w:w="10060" w:type="dxa"/>
            <w:vAlign w:val="bottom"/>
          </w:tcPr>
          <w:p>
            <w:pPr>
              <w:ind w:left="180"/>
              <w:spacing w:after="0"/>
              <w:rPr>
                <w:sz w:val="20"/>
                <w:szCs w:val="20"/>
                <w:color w:val="auto"/>
              </w:rPr>
            </w:pPr>
            <w:r>
              <w:rPr>
                <w:rFonts w:ascii="Arial" w:cs="Arial" w:eastAsia="Arial" w:hAnsi="Arial"/>
                <w:sz w:val="18"/>
                <w:szCs w:val="18"/>
                <w:color w:val="auto"/>
                <w:w w:val="98"/>
              </w:rPr>
              <w:t>Form of Registration Rights Agreement, incorporated herein by reference to Exhibit 4.2 to Amendment No. 4 to GasLog Ltd.’s</w:t>
            </w:r>
          </w:p>
        </w:tc>
      </w:tr>
      <w:tr>
        <w:trPr>
          <w:trHeight w:val="230"/>
        </w:trPr>
        <w:tc>
          <w:tcPr>
            <w:tcW w:w="1020" w:type="dxa"/>
            <w:vAlign w:val="bottom"/>
          </w:tcPr>
          <w:p>
            <w:pPr>
              <w:spacing w:after="0"/>
              <w:rPr>
                <w:sz w:val="20"/>
                <w:szCs w:val="20"/>
                <w:color w:val="auto"/>
              </w:rPr>
            </w:pPr>
          </w:p>
        </w:tc>
        <w:tc>
          <w:tcPr>
            <w:tcW w:w="10060" w:type="dxa"/>
            <w:vAlign w:val="bottom"/>
          </w:tcPr>
          <w:p>
            <w:pPr>
              <w:ind w:left="180"/>
              <w:spacing w:after="0"/>
              <w:rPr>
                <w:sz w:val="20"/>
                <w:szCs w:val="20"/>
                <w:color w:val="auto"/>
              </w:rPr>
            </w:pPr>
            <w:r>
              <w:rPr>
                <w:rFonts w:ascii="Arial" w:cs="Arial" w:eastAsia="Arial" w:hAnsi="Arial"/>
                <w:sz w:val="18"/>
                <w:szCs w:val="18"/>
                <w:color w:val="auto"/>
              </w:rPr>
              <w:t>Registration Statement on Form F-1, filed with the SEC on March 16, 2012.</w:t>
            </w:r>
          </w:p>
        </w:tc>
      </w:tr>
      <w:tr>
        <w:trPr>
          <w:trHeight w:val="256"/>
        </w:trPr>
        <w:tc>
          <w:tcPr>
            <w:tcW w:w="1020" w:type="dxa"/>
            <w:vAlign w:val="bottom"/>
          </w:tcPr>
          <w:p>
            <w:pPr>
              <w:jc w:val="center"/>
              <w:ind w:right="90"/>
              <w:spacing w:after="0"/>
              <w:rPr>
                <w:sz w:val="20"/>
                <w:szCs w:val="20"/>
                <w:color w:val="auto"/>
              </w:rPr>
            </w:pPr>
            <w:r>
              <w:rPr>
                <w:rFonts w:ascii="Arial" w:cs="Arial" w:eastAsia="Arial" w:hAnsi="Arial"/>
                <w:sz w:val="18"/>
                <w:szCs w:val="18"/>
                <w:color w:val="auto"/>
                <w:w w:val="98"/>
              </w:rPr>
              <w:t>(d)-(7)*</w:t>
            </w:r>
          </w:p>
        </w:tc>
        <w:tc>
          <w:tcPr>
            <w:tcW w:w="10060" w:type="dxa"/>
            <w:vAlign w:val="bottom"/>
          </w:tcPr>
          <w:p>
            <w:pPr>
              <w:ind w:left="180"/>
              <w:spacing w:after="0"/>
              <w:rPr>
                <w:sz w:val="20"/>
                <w:szCs w:val="20"/>
                <w:color w:val="auto"/>
              </w:rPr>
            </w:pPr>
            <w:r>
              <w:rPr>
                <w:rFonts w:ascii="Arial" w:cs="Arial" w:eastAsia="Arial" w:hAnsi="Arial"/>
                <w:sz w:val="18"/>
                <w:szCs w:val="18"/>
                <w:color w:val="auto"/>
                <w:w w:val="90"/>
              </w:rPr>
              <w:t>Registration Rights Agreement, dated as of June 22, 2020, by and among GasLog Ltd. and the shareholders named therein, incorporated</w:t>
            </w:r>
          </w:p>
        </w:tc>
      </w:tr>
      <w:tr>
        <w:trPr>
          <w:trHeight w:val="230"/>
        </w:trPr>
        <w:tc>
          <w:tcPr>
            <w:tcW w:w="1020" w:type="dxa"/>
            <w:vAlign w:val="bottom"/>
          </w:tcPr>
          <w:p>
            <w:pPr>
              <w:spacing w:after="0"/>
              <w:rPr>
                <w:sz w:val="20"/>
                <w:szCs w:val="20"/>
                <w:color w:val="auto"/>
              </w:rPr>
            </w:pPr>
          </w:p>
        </w:tc>
        <w:tc>
          <w:tcPr>
            <w:tcW w:w="10060" w:type="dxa"/>
            <w:vAlign w:val="bottom"/>
          </w:tcPr>
          <w:p>
            <w:pPr>
              <w:ind w:left="180"/>
              <w:spacing w:after="0"/>
              <w:rPr>
                <w:sz w:val="20"/>
                <w:szCs w:val="20"/>
                <w:color w:val="auto"/>
              </w:rPr>
            </w:pPr>
            <w:r>
              <w:rPr>
                <w:rFonts w:ascii="Arial" w:cs="Arial" w:eastAsia="Arial" w:hAnsi="Arial"/>
                <w:sz w:val="18"/>
                <w:szCs w:val="18"/>
                <w:color w:val="auto"/>
              </w:rPr>
              <w:t>herein by reference to Exhibit 4.17 to GasLog Ltd.’s Annual Report on Form 20-F, filed with the SEC on March 5, 2021.</w:t>
            </w:r>
          </w:p>
        </w:tc>
      </w:tr>
      <w:tr>
        <w:trPr>
          <w:trHeight w:val="256"/>
        </w:trPr>
        <w:tc>
          <w:tcPr>
            <w:tcW w:w="1020" w:type="dxa"/>
            <w:vAlign w:val="bottom"/>
          </w:tcPr>
          <w:p>
            <w:pPr>
              <w:jc w:val="center"/>
              <w:ind w:right="90"/>
              <w:spacing w:after="0"/>
              <w:rPr>
                <w:sz w:val="20"/>
                <w:szCs w:val="20"/>
                <w:color w:val="auto"/>
              </w:rPr>
            </w:pPr>
            <w:r>
              <w:rPr>
                <w:rFonts w:ascii="Arial" w:cs="Arial" w:eastAsia="Arial" w:hAnsi="Arial"/>
                <w:sz w:val="18"/>
                <w:szCs w:val="18"/>
                <w:color w:val="auto"/>
                <w:w w:val="98"/>
              </w:rPr>
              <w:t>(d)-(8)*</w:t>
            </w:r>
          </w:p>
        </w:tc>
        <w:tc>
          <w:tcPr>
            <w:tcW w:w="10060" w:type="dxa"/>
            <w:vAlign w:val="bottom"/>
          </w:tcPr>
          <w:p>
            <w:pPr>
              <w:ind w:left="180"/>
              <w:spacing w:after="0"/>
              <w:rPr>
                <w:sz w:val="20"/>
                <w:szCs w:val="20"/>
                <w:color w:val="auto"/>
              </w:rPr>
            </w:pPr>
            <w:r>
              <w:rPr>
                <w:rFonts w:ascii="Arial" w:cs="Arial" w:eastAsia="Arial" w:hAnsi="Arial"/>
                <w:sz w:val="18"/>
                <w:szCs w:val="18"/>
                <w:color w:val="auto"/>
                <w:w w:val="92"/>
              </w:rPr>
              <w:t>Form of Subscription Agreement, incorporated herein by reference to Exhibit 10.24 to Amendment No. 4 to GasLog Ltd.’s Registration</w:t>
            </w:r>
          </w:p>
        </w:tc>
      </w:tr>
      <w:tr>
        <w:trPr>
          <w:trHeight w:val="230"/>
        </w:trPr>
        <w:tc>
          <w:tcPr>
            <w:tcW w:w="1020" w:type="dxa"/>
            <w:vAlign w:val="bottom"/>
          </w:tcPr>
          <w:p>
            <w:pPr>
              <w:spacing w:after="0"/>
              <w:rPr>
                <w:sz w:val="20"/>
                <w:szCs w:val="20"/>
                <w:color w:val="auto"/>
              </w:rPr>
            </w:pPr>
          </w:p>
        </w:tc>
        <w:tc>
          <w:tcPr>
            <w:tcW w:w="10060" w:type="dxa"/>
            <w:vAlign w:val="bottom"/>
          </w:tcPr>
          <w:p>
            <w:pPr>
              <w:ind w:left="180"/>
              <w:spacing w:after="0"/>
              <w:rPr>
                <w:sz w:val="20"/>
                <w:szCs w:val="20"/>
                <w:color w:val="auto"/>
              </w:rPr>
            </w:pPr>
            <w:r>
              <w:rPr>
                <w:rFonts w:ascii="Arial" w:cs="Arial" w:eastAsia="Arial" w:hAnsi="Arial"/>
                <w:sz w:val="18"/>
                <w:szCs w:val="18"/>
                <w:color w:val="auto"/>
              </w:rPr>
              <w:t>Statement on Form F-1, filed with the SEC on March 16, 2012.</w:t>
            </w:r>
          </w:p>
        </w:tc>
      </w:tr>
      <w:tr>
        <w:trPr>
          <w:trHeight w:val="256"/>
        </w:trPr>
        <w:tc>
          <w:tcPr>
            <w:tcW w:w="1020" w:type="dxa"/>
            <w:vAlign w:val="bottom"/>
          </w:tcPr>
          <w:p>
            <w:pPr>
              <w:jc w:val="center"/>
              <w:ind w:right="90"/>
              <w:spacing w:after="0"/>
              <w:rPr>
                <w:sz w:val="20"/>
                <w:szCs w:val="20"/>
                <w:color w:val="auto"/>
              </w:rPr>
            </w:pPr>
            <w:r>
              <w:rPr>
                <w:rFonts w:ascii="Arial" w:cs="Arial" w:eastAsia="Arial" w:hAnsi="Arial"/>
                <w:sz w:val="18"/>
                <w:szCs w:val="18"/>
                <w:color w:val="auto"/>
                <w:w w:val="98"/>
              </w:rPr>
              <w:t>(d)-(9)*</w:t>
            </w:r>
          </w:p>
        </w:tc>
        <w:tc>
          <w:tcPr>
            <w:tcW w:w="10060" w:type="dxa"/>
            <w:vAlign w:val="bottom"/>
          </w:tcPr>
          <w:p>
            <w:pPr>
              <w:ind w:left="180"/>
              <w:spacing w:after="0"/>
              <w:rPr>
                <w:sz w:val="20"/>
                <w:szCs w:val="20"/>
                <w:color w:val="auto"/>
              </w:rPr>
            </w:pPr>
            <w:r>
              <w:rPr>
                <w:rFonts w:ascii="Arial" w:cs="Arial" w:eastAsia="Arial" w:hAnsi="Arial"/>
                <w:sz w:val="18"/>
                <w:szCs w:val="18"/>
                <w:color w:val="auto"/>
                <w:w w:val="93"/>
              </w:rPr>
              <w:t>Form of Subscription Agreement, incorporated herein by reference to Exhibit 4.9 to GasLog Ltd.’s Annual Report on Form 20-F, filed</w:t>
            </w:r>
          </w:p>
        </w:tc>
      </w:tr>
      <w:tr>
        <w:trPr>
          <w:trHeight w:val="230"/>
        </w:trPr>
        <w:tc>
          <w:tcPr>
            <w:tcW w:w="1020" w:type="dxa"/>
            <w:vAlign w:val="bottom"/>
          </w:tcPr>
          <w:p>
            <w:pPr>
              <w:spacing w:after="0"/>
              <w:rPr>
                <w:sz w:val="20"/>
                <w:szCs w:val="20"/>
                <w:color w:val="auto"/>
              </w:rPr>
            </w:pPr>
          </w:p>
        </w:tc>
        <w:tc>
          <w:tcPr>
            <w:tcW w:w="10060" w:type="dxa"/>
            <w:vAlign w:val="bottom"/>
          </w:tcPr>
          <w:p>
            <w:pPr>
              <w:ind w:left="180"/>
              <w:spacing w:after="0"/>
              <w:rPr>
                <w:sz w:val="20"/>
                <w:szCs w:val="20"/>
                <w:color w:val="auto"/>
              </w:rPr>
            </w:pPr>
            <w:r>
              <w:rPr>
                <w:rFonts w:ascii="Arial" w:cs="Arial" w:eastAsia="Arial" w:hAnsi="Arial"/>
                <w:sz w:val="18"/>
                <w:szCs w:val="18"/>
                <w:color w:val="auto"/>
              </w:rPr>
              <w:t>with the SEC on March 27, 2014.</w:t>
            </w:r>
          </w:p>
        </w:tc>
      </w:tr>
      <w:tr>
        <w:trPr>
          <w:trHeight w:val="256"/>
        </w:trPr>
        <w:tc>
          <w:tcPr>
            <w:tcW w:w="1020" w:type="dxa"/>
            <w:vAlign w:val="bottom"/>
          </w:tcPr>
          <w:p>
            <w:pPr>
              <w:jc w:val="center"/>
              <w:ind w:right="110"/>
              <w:spacing w:after="0"/>
              <w:rPr>
                <w:sz w:val="20"/>
                <w:szCs w:val="20"/>
                <w:color w:val="auto"/>
              </w:rPr>
            </w:pPr>
            <w:r>
              <w:rPr>
                <w:rFonts w:ascii="Arial" w:cs="Arial" w:eastAsia="Arial" w:hAnsi="Arial"/>
                <w:sz w:val="18"/>
                <w:szCs w:val="18"/>
                <w:color w:val="auto"/>
                <w:w w:val="98"/>
              </w:rPr>
              <w:t>(d)-(10)*</w:t>
            </w:r>
          </w:p>
        </w:tc>
        <w:tc>
          <w:tcPr>
            <w:tcW w:w="10060" w:type="dxa"/>
            <w:vAlign w:val="bottom"/>
          </w:tcPr>
          <w:p>
            <w:pPr>
              <w:ind w:left="180"/>
              <w:spacing w:after="0"/>
              <w:rPr>
                <w:sz w:val="20"/>
                <w:szCs w:val="20"/>
                <w:color w:val="auto"/>
              </w:rPr>
            </w:pPr>
            <w:r>
              <w:rPr>
                <w:rFonts w:ascii="Arial" w:cs="Arial" w:eastAsia="Arial" w:hAnsi="Arial"/>
                <w:sz w:val="18"/>
                <w:szCs w:val="18"/>
                <w:color w:val="auto"/>
                <w:w w:val="90"/>
              </w:rPr>
              <w:t>Stock Purchase Agreement, dated June 22, 2020, between Blenheim Holdings Ltd. and GasLog Ltd., incorporated herein by reference to</w:t>
            </w:r>
          </w:p>
        </w:tc>
      </w:tr>
      <w:tr>
        <w:trPr>
          <w:trHeight w:val="216"/>
        </w:trPr>
        <w:tc>
          <w:tcPr>
            <w:tcW w:w="1020" w:type="dxa"/>
            <w:vAlign w:val="bottom"/>
          </w:tcPr>
          <w:p>
            <w:pPr>
              <w:spacing w:after="0"/>
              <w:rPr>
                <w:sz w:val="18"/>
                <w:szCs w:val="18"/>
                <w:color w:val="auto"/>
              </w:rPr>
            </w:pPr>
          </w:p>
        </w:tc>
        <w:tc>
          <w:tcPr>
            <w:tcW w:w="10060" w:type="dxa"/>
            <w:vAlign w:val="bottom"/>
          </w:tcPr>
          <w:p>
            <w:pPr>
              <w:ind w:left="180"/>
              <w:spacing w:after="0"/>
              <w:rPr>
                <w:sz w:val="20"/>
                <w:szCs w:val="20"/>
                <w:color w:val="auto"/>
              </w:rPr>
            </w:pPr>
            <w:r>
              <w:rPr>
                <w:rFonts w:ascii="Arial" w:cs="Arial" w:eastAsia="Arial" w:hAnsi="Arial"/>
                <w:sz w:val="18"/>
                <w:szCs w:val="18"/>
                <w:color w:val="auto"/>
                <w:w w:val="92"/>
              </w:rPr>
              <w:t>Exhibit 1 to Amendment No. 8 to the Schedule 13D furnished by Peter G. Livanos, Ceres Shipping Ltd. and Blenheim Holdings Ltd. to</w:t>
            </w:r>
          </w:p>
        </w:tc>
      </w:tr>
      <w:tr>
        <w:trPr>
          <w:trHeight w:val="230"/>
        </w:trPr>
        <w:tc>
          <w:tcPr>
            <w:tcW w:w="1020" w:type="dxa"/>
            <w:vAlign w:val="bottom"/>
          </w:tcPr>
          <w:p>
            <w:pPr>
              <w:spacing w:after="0"/>
              <w:rPr>
                <w:sz w:val="20"/>
                <w:szCs w:val="20"/>
                <w:color w:val="auto"/>
              </w:rPr>
            </w:pPr>
          </w:p>
        </w:tc>
        <w:tc>
          <w:tcPr>
            <w:tcW w:w="10060" w:type="dxa"/>
            <w:vAlign w:val="bottom"/>
          </w:tcPr>
          <w:p>
            <w:pPr>
              <w:ind w:left="180"/>
              <w:spacing w:after="0"/>
              <w:rPr>
                <w:sz w:val="20"/>
                <w:szCs w:val="20"/>
                <w:color w:val="auto"/>
              </w:rPr>
            </w:pPr>
            <w:r>
              <w:rPr>
                <w:rFonts w:ascii="Arial" w:cs="Arial" w:eastAsia="Arial" w:hAnsi="Arial"/>
                <w:sz w:val="18"/>
                <w:szCs w:val="18"/>
                <w:color w:val="auto"/>
              </w:rPr>
              <w:t>the SEC on June 30, 2020.</w:t>
            </w:r>
          </w:p>
        </w:tc>
      </w:tr>
      <w:tr>
        <w:trPr>
          <w:trHeight w:val="256"/>
        </w:trPr>
        <w:tc>
          <w:tcPr>
            <w:tcW w:w="1020" w:type="dxa"/>
            <w:vAlign w:val="bottom"/>
          </w:tcPr>
          <w:p>
            <w:pPr>
              <w:jc w:val="center"/>
              <w:ind w:right="110"/>
              <w:spacing w:after="0"/>
              <w:rPr>
                <w:sz w:val="20"/>
                <w:szCs w:val="20"/>
                <w:color w:val="auto"/>
              </w:rPr>
            </w:pPr>
            <w:r>
              <w:rPr>
                <w:rFonts w:ascii="Arial" w:cs="Arial" w:eastAsia="Arial" w:hAnsi="Arial"/>
                <w:sz w:val="18"/>
                <w:szCs w:val="18"/>
                <w:color w:val="auto"/>
                <w:w w:val="98"/>
              </w:rPr>
              <w:t>(d)-(11)*</w:t>
            </w:r>
          </w:p>
        </w:tc>
        <w:tc>
          <w:tcPr>
            <w:tcW w:w="10060" w:type="dxa"/>
            <w:vAlign w:val="bottom"/>
          </w:tcPr>
          <w:p>
            <w:pPr>
              <w:ind w:left="180"/>
              <w:spacing w:after="0"/>
              <w:rPr>
                <w:sz w:val="20"/>
                <w:szCs w:val="20"/>
                <w:color w:val="auto"/>
              </w:rPr>
            </w:pPr>
            <w:r>
              <w:rPr>
                <w:rFonts w:ascii="Arial" w:cs="Arial" w:eastAsia="Arial" w:hAnsi="Arial"/>
                <w:sz w:val="18"/>
                <w:szCs w:val="18"/>
                <w:color w:val="auto"/>
                <w:w w:val="94"/>
              </w:rPr>
              <w:t>Stock Purchase Agreement, dated June 22, 2020, between Olympic LNG Investments Ltd. and GasLog Ltd., incorporated herein by</w:t>
            </w:r>
          </w:p>
        </w:tc>
      </w:tr>
      <w:tr>
        <w:trPr>
          <w:trHeight w:val="216"/>
        </w:trPr>
        <w:tc>
          <w:tcPr>
            <w:tcW w:w="1020" w:type="dxa"/>
            <w:vAlign w:val="bottom"/>
          </w:tcPr>
          <w:p>
            <w:pPr>
              <w:spacing w:after="0"/>
              <w:rPr>
                <w:sz w:val="18"/>
                <w:szCs w:val="18"/>
                <w:color w:val="auto"/>
              </w:rPr>
            </w:pPr>
          </w:p>
        </w:tc>
        <w:tc>
          <w:tcPr>
            <w:tcW w:w="10060" w:type="dxa"/>
            <w:vAlign w:val="bottom"/>
          </w:tcPr>
          <w:p>
            <w:pPr>
              <w:ind w:left="180"/>
              <w:spacing w:after="0"/>
              <w:rPr>
                <w:sz w:val="20"/>
                <w:szCs w:val="20"/>
                <w:color w:val="auto"/>
              </w:rPr>
            </w:pPr>
            <w:r>
              <w:rPr>
                <w:rFonts w:ascii="Arial" w:cs="Arial" w:eastAsia="Arial" w:hAnsi="Arial"/>
                <w:sz w:val="18"/>
                <w:szCs w:val="18"/>
                <w:color w:val="auto"/>
                <w:w w:val="95"/>
              </w:rPr>
              <w:t>reference to Exhibit 1 to Amendment No. 1 to the Schedule 13D furnished by Olympic LNG Investments Ltd., A.S.O. Holdings S.A.</w:t>
            </w:r>
          </w:p>
        </w:tc>
      </w:tr>
      <w:tr>
        <w:trPr>
          <w:trHeight w:val="230"/>
        </w:trPr>
        <w:tc>
          <w:tcPr>
            <w:tcW w:w="1020" w:type="dxa"/>
            <w:vAlign w:val="bottom"/>
          </w:tcPr>
          <w:p>
            <w:pPr>
              <w:spacing w:after="0"/>
              <w:rPr>
                <w:sz w:val="20"/>
                <w:szCs w:val="20"/>
                <w:color w:val="auto"/>
              </w:rPr>
            </w:pPr>
          </w:p>
        </w:tc>
        <w:tc>
          <w:tcPr>
            <w:tcW w:w="10060" w:type="dxa"/>
            <w:vAlign w:val="bottom"/>
          </w:tcPr>
          <w:p>
            <w:pPr>
              <w:ind w:left="180"/>
              <w:spacing w:after="0"/>
              <w:rPr>
                <w:sz w:val="20"/>
                <w:szCs w:val="20"/>
                <w:color w:val="auto"/>
              </w:rPr>
            </w:pPr>
            <w:r>
              <w:rPr>
                <w:rFonts w:ascii="Arial" w:cs="Arial" w:eastAsia="Arial" w:hAnsi="Arial"/>
                <w:sz w:val="18"/>
                <w:szCs w:val="18"/>
                <w:color w:val="auto"/>
              </w:rPr>
              <w:t>and the Alexander S. Onassis Foundation to the SEC on July 2, 2020.</w:t>
            </w:r>
          </w:p>
        </w:tc>
      </w:tr>
      <w:tr>
        <w:trPr>
          <w:trHeight w:val="256"/>
        </w:trPr>
        <w:tc>
          <w:tcPr>
            <w:tcW w:w="1020" w:type="dxa"/>
            <w:vAlign w:val="bottom"/>
          </w:tcPr>
          <w:p>
            <w:pPr>
              <w:jc w:val="center"/>
              <w:ind w:right="90"/>
              <w:spacing w:after="0"/>
              <w:rPr>
                <w:sz w:val="20"/>
                <w:szCs w:val="20"/>
                <w:color w:val="auto"/>
              </w:rPr>
            </w:pPr>
            <w:r>
              <w:rPr>
                <w:rFonts w:ascii="Arial" w:cs="Arial" w:eastAsia="Arial" w:hAnsi="Arial"/>
                <w:sz w:val="18"/>
                <w:szCs w:val="18"/>
                <w:color w:val="auto"/>
              </w:rPr>
              <w:t>(d)-(12)***</w:t>
            </w:r>
          </w:p>
        </w:tc>
        <w:tc>
          <w:tcPr>
            <w:tcW w:w="10060" w:type="dxa"/>
            <w:vAlign w:val="bottom"/>
          </w:tcPr>
          <w:p>
            <w:pPr>
              <w:ind w:left="180"/>
              <w:spacing w:after="0"/>
              <w:rPr>
                <w:sz w:val="20"/>
                <w:szCs w:val="20"/>
                <w:color w:val="auto"/>
              </w:rPr>
            </w:pPr>
            <w:r>
              <w:rPr>
                <w:rFonts w:ascii="Arial" w:cs="Arial" w:eastAsia="Arial" w:hAnsi="Arial"/>
                <w:sz w:val="18"/>
                <w:szCs w:val="18"/>
                <w:color w:val="auto"/>
                <w:w w:val="93"/>
              </w:rPr>
              <w:t>Amendment No. 1 to the Agreement and Plan of Merger, dated as of April 20, 2021, by and among GasLog Ltd., GEPIF Crown Bidco</w:t>
            </w:r>
          </w:p>
        </w:tc>
      </w:tr>
      <w:tr>
        <w:trPr>
          <w:trHeight w:val="230"/>
        </w:trPr>
        <w:tc>
          <w:tcPr>
            <w:tcW w:w="1020" w:type="dxa"/>
            <w:vAlign w:val="bottom"/>
          </w:tcPr>
          <w:p>
            <w:pPr>
              <w:spacing w:after="0"/>
              <w:rPr>
                <w:sz w:val="20"/>
                <w:szCs w:val="20"/>
                <w:color w:val="auto"/>
              </w:rPr>
            </w:pPr>
          </w:p>
        </w:tc>
        <w:tc>
          <w:tcPr>
            <w:tcW w:w="10060" w:type="dxa"/>
            <w:vAlign w:val="bottom"/>
          </w:tcPr>
          <w:p>
            <w:pPr>
              <w:ind w:left="180"/>
              <w:spacing w:after="0"/>
              <w:rPr>
                <w:sz w:val="20"/>
                <w:szCs w:val="20"/>
                <w:color w:val="auto"/>
              </w:rPr>
            </w:pPr>
            <w:r>
              <w:rPr>
                <w:rFonts w:ascii="Arial" w:cs="Arial" w:eastAsia="Arial" w:hAnsi="Arial"/>
                <w:sz w:val="18"/>
                <w:szCs w:val="18"/>
                <w:color w:val="auto"/>
              </w:rPr>
              <w:t>L.P. and GEPIF III Crown MergerCo Limited, incorporated by reference to Annex A-2 to the Proxy Statement.</w:t>
            </w:r>
          </w:p>
        </w:tc>
      </w:tr>
      <w:tr>
        <w:trPr>
          <w:trHeight w:val="270"/>
        </w:trPr>
        <w:tc>
          <w:tcPr>
            <w:tcW w:w="1020" w:type="dxa"/>
            <w:vAlign w:val="bottom"/>
          </w:tcPr>
          <w:p>
            <w:pPr>
              <w:jc w:val="center"/>
              <w:ind w:right="90"/>
              <w:spacing w:after="0"/>
              <w:rPr>
                <w:sz w:val="20"/>
                <w:szCs w:val="20"/>
                <w:color w:val="auto"/>
              </w:rPr>
            </w:pPr>
            <w:r>
              <w:rPr>
                <w:rFonts w:ascii="Arial" w:cs="Arial" w:eastAsia="Arial" w:hAnsi="Arial"/>
                <w:sz w:val="18"/>
                <w:szCs w:val="18"/>
                <w:color w:val="auto"/>
              </w:rPr>
              <w:t>(f)***</w:t>
            </w:r>
          </w:p>
        </w:tc>
        <w:tc>
          <w:tcPr>
            <w:tcW w:w="10060" w:type="dxa"/>
            <w:vAlign w:val="bottom"/>
          </w:tcPr>
          <w:p>
            <w:pPr>
              <w:ind w:left="180"/>
              <w:spacing w:after="0"/>
              <w:rPr>
                <w:sz w:val="20"/>
                <w:szCs w:val="20"/>
                <w:color w:val="auto"/>
              </w:rPr>
            </w:pPr>
            <w:r>
              <w:rPr>
                <w:rFonts w:ascii="Arial" w:cs="Arial" w:eastAsia="Arial" w:hAnsi="Arial"/>
                <w:sz w:val="18"/>
                <w:szCs w:val="18"/>
                <w:color w:val="auto"/>
              </w:rPr>
              <w:t>Section 106 of the Bermuda Companies Act, incorporated herein by reference Annex E to the Proxy Statement</w:t>
            </w:r>
          </w:p>
        </w:tc>
      </w:tr>
    </w:tbl>
    <w:p>
      <w:pPr>
        <w:spacing w:after="0" w:line="40" w:lineRule="exact"/>
        <w:rPr>
          <w:sz w:val="20"/>
          <w:szCs w:val="20"/>
          <w:color w:val="auto"/>
        </w:rPr>
      </w:pPr>
    </w:p>
    <w:p>
      <w:pPr>
        <w:ind w:left="1360" w:hanging="890"/>
        <w:spacing w:after="0"/>
        <w:tabs>
          <w:tab w:leader="none" w:pos="1360" w:val="left"/>
        </w:tabs>
        <w:numPr>
          <w:ilvl w:val="1"/>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8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Previously filed on March 29, 2021 as an exhibit to the Schedule 13E-3.</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Previously filed on April 20, 2021 as an exhibit to Amendment No. 1 to the Schedule 13E-3.</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Previously filed on May 3, 2021 as an exhibit to Amendment No. 3 to the Schedule 13E-3.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-721995</wp:posOffset>
            </wp:positionV>
            <wp:extent cx="17830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June 9, 2021</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GASLOG LTD.</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PAUL A. WOGAN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Paul A. Wogan</w:t>
      </w:r>
    </w:p>
    <w:p>
      <w:pPr>
        <w:spacing w:after="0" w:line="9"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BLENHEIM HOLDINGS LTD.</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PETER G. LIVANOS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Peter G. Livanos</w:t>
      </w:r>
    </w:p>
    <w:p>
      <w:pPr>
        <w:spacing w:after="0" w:line="9"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BLENHEIM SPECIAL INVESTMENTS HOLDING LTD.</w:t>
      </w:r>
    </w:p>
    <w:p>
      <w:pPr>
        <w:spacing w:after="0" w:line="229" w:lineRule="exact"/>
        <w:rPr>
          <w:sz w:val="20"/>
          <w:szCs w:val="20"/>
          <w:color w:val="auto"/>
        </w:rPr>
      </w:pPr>
    </w:p>
    <w:p>
      <w:pPr>
        <w:jc w:val="right"/>
        <w:ind w:right="34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PETER G. LIVANOS</w:t>
      </w:r>
    </w:p>
    <w:p>
      <w:pPr>
        <w:spacing w:after="0" w:line="23" w:lineRule="exact"/>
        <w:rPr>
          <w:sz w:val="20"/>
          <w:szCs w:val="20"/>
          <w:color w:val="auto"/>
        </w:rPr>
      </w:pPr>
    </w:p>
    <w:p>
      <w:pPr>
        <w:jc w:val="right"/>
        <w:ind w:right="3460"/>
        <w:spacing w:after="0"/>
        <w:rPr>
          <w:sz w:val="20"/>
          <w:szCs w:val="20"/>
          <w:color w:val="auto"/>
        </w:rPr>
      </w:pPr>
      <w:r>
        <w:rPr>
          <w:rFonts w:ascii="Arial" w:cs="Arial" w:eastAsia="Arial" w:hAnsi="Arial"/>
          <w:sz w:val="18"/>
          <w:szCs w:val="18"/>
          <w:color w:val="auto"/>
        </w:rPr>
        <w:t>Name: Peter G. Livanos</w:t>
      </w:r>
    </w:p>
    <w:p>
      <w:pPr>
        <w:spacing w:after="0" w:line="9" w:lineRule="exact"/>
        <w:rPr>
          <w:sz w:val="20"/>
          <w:szCs w:val="20"/>
          <w:color w:val="auto"/>
        </w:rPr>
      </w:pPr>
    </w:p>
    <w:p>
      <w:pPr>
        <w:jc w:val="right"/>
        <w:ind w:right="3460"/>
        <w:spacing w:after="0"/>
        <w:tabs>
          <w:tab w:leader="none" w:pos="46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Attorney-in-Fact</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PETER G. LIVANOS</w:t>
      </w:r>
    </w:p>
    <w:p>
      <w:pPr>
        <w:spacing w:after="0" w:line="229" w:lineRule="exact"/>
        <w:rPr>
          <w:sz w:val="20"/>
          <w:szCs w:val="20"/>
          <w:color w:val="auto"/>
        </w:rPr>
      </w:pPr>
    </w:p>
    <w:p>
      <w:pPr>
        <w:jc w:val="right"/>
        <w:ind w:right="34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PETER G. LIVANOS</w:t>
      </w:r>
    </w:p>
    <w:p>
      <w:pPr>
        <w:spacing w:after="0" w:line="23" w:lineRule="exact"/>
        <w:rPr>
          <w:sz w:val="20"/>
          <w:szCs w:val="20"/>
          <w:color w:val="auto"/>
        </w:rPr>
      </w:pPr>
    </w:p>
    <w:p>
      <w:pPr>
        <w:jc w:val="right"/>
        <w:ind w:right="3460"/>
        <w:spacing w:after="0"/>
        <w:rPr>
          <w:sz w:val="20"/>
          <w:szCs w:val="20"/>
          <w:color w:val="auto"/>
        </w:rPr>
      </w:pPr>
      <w:r>
        <w:rPr>
          <w:rFonts w:ascii="Arial" w:cs="Arial" w:eastAsia="Arial" w:hAnsi="Arial"/>
          <w:sz w:val="18"/>
          <w:szCs w:val="18"/>
          <w:color w:val="auto"/>
        </w:rPr>
        <w:t>Name: Peter G. Livanos</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CERES SHIPPING LTD.</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PETER G. LIVANOS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Peter G. Livanos</w:t>
      </w:r>
    </w:p>
    <w:p>
      <w:pPr>
        <w:spacing w:after="0" w:line="9"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OLYMPIC LNG INVESTMENTS LTD.</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A.S. PAPADIMITRIOU</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A.S. Papadimitriou</w:t>
      </w:r>
    </w:p>
    <w:p>
      <w:pPr>
        <w:spacing w:after="0" w:line="9"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 GIALOURIS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 Gialouris</w:t>
      </w:r>
    </w:p>
    <w:p>
      <w:pPr>
        <w:spacing w:after="0" w:line="9"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Treasurer/Director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6" w:name="page7"/>
    <w:bookmarkEnd w:id="6"/>
    <w:p>
      <w:pPr>
        <w:ind w:left="4520"/>
        <w:spacing w:after="0"/>
        <w:rPr>
          <w:sz w:val="20"/>
          <w:szCs w:val="20"/>
          <w:color w:val="auto"/>
        </w:rPr>
      </w:pPr>
      <w:r>
        <w:rPr>
          <w:rFonts w:ascii="Arial" w:cs="Arial" w:eastAsia="Arial" w:hAnsi="Arial"/>
          <w:sz w:val="18"/>
          <w:szCs w:val="18"/>
          <w:b w:val="1"/>
          <w:bCs w:val="1"/>
          <w:color w:val="auto"/>
        </w:rPr>
        <w:t>GEPIF III CROWN BIDCO L.P.</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GEPIF III (GenPar), LLC, its general partner</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JAMES BERNER</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James Berner</w:t>
      </w:r>
    </w:p>
    <w:p>
      <w:pPr>
        <w:spacing w:after="0" w:line="9"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GLOBAL ENERGY &amp; POWER INFRASTRUCTURE FUND III, L.P.</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GEPIF III (GenPar), LLC, its general partner</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JAMES BERNER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-10160</wp:posOffset>
            </wp:positionV>
            <wp:extent cx="10064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064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James Berner</w:t>
      </w:r>
    </w:p>
    <w:p>
      <w:pPr>
        <w:spacing w:after="0" w:line="9"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940"/>
      </w:cols>
      <w:pgMar w:left="1440" w:top="93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lowerLetter"/>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o"/>
      <w:numFmt w:val="bullet"/>
      <w:start w:val="1"/>
    </w:lvl>
  </w:abstractNum>
  <w:abstractNum w:abstractNumId="5">
    <w:nsid w:val="515F007C"/>
    <w:multiLevelType w:val="hybridMultilevel"/>
    <w:lvl w:ilvl="0">
      <w:lvlJc w:val="left"/>
      <w:lvlText w:val="(%1)"/>
      <w:numFmt w:val="lowerRoman"/>
      <w:start w:val="5"/>
    </w:lvl>
  </w:abstractNum>
  <w:abstractNum w:abstractNumId="6">
    <w:nsid w:val="5BD062C2"/>
    <w:multiLevelType w:val="hybridMultilevel"/>
    <w:lvl w:ilvl="0">
      <w:lvlJc w:val="left"/>
      <w:lvlText w:val="(%1)"/>
      <w:numFmt w:val="lowerLetter"/>
      <w:start w:val="3"/>
    </w:lvl>
  </w:abstractNum>
  <w:abstractNum w:abstractNumId="7">
    <w:nsid w:val="12200854"/>
    <w:multiLevelType w:val="hybridMultilevel"/>
    <w:lvl w:ilvl="0">
      <w:lvlJc w:val="left"/>
      <w:lvlText w:val="(%1)"/>
      <w:numFmt w:val="lowerLetter"/>
      <w:start w:val="2"/>
    </w:lvl>
  </w:abstractNum>
  <w:abstractNum w:abstractNumId="8">
    <w:nsid w:val="4DB127F8"/>
    <w:multiLevelType w:val="hybridMultilevel"/>
    <w:lvl w:ilvl="0">
      <w:lvlJc w:val="left"/>
      <w:lvlText w:val="*"/>
      <w:numFmt w:val="bullet"/>
      <w:start w:val="1"/>
    </w:lvl>
    <w:lvl w:ilvl="1">
      <w:lvlJc w:val="left"/>
      <w:lvlText w:val="(%2)"/>
      <w:numFmt w:val="lowerLetter"/>
      <w:start w:val="7"/>
    </w:lvl>
  </w:abstractNum>
  <w:abstractNum w:abstractNumId="9">
    <w:nsid w:val="216231B"/>
    <w:multiLevelType w:val="hybridMultilevel"/>
    <w:lvl w:ilvl="0">
      <w:lvlJc w:val="left"/>
      <w:lvlText w:val="**"/>
      <w:numFmt w:val="bullet"/>
      <w:start w:val="1"/>
    </w:lvl>
    <w:lvl w:ilvl="1">
      <w:lvlJc w:val="left"/>
      <w:lvlText w:val="%2"/>
      <w:numFmt w:val="lowerLetter"/>
      <w:start w:val="1"/>
    </w:lvl>
  </w:abstractNum>
  <w:abstractNum w:abstractNumId="10">
    <w:nsid w:val="1F16E9E8"/>
    <w:multiLevelType w:val="hybridMultilevel"/>
    <w:lvl w:ilvl="0">
      <w:lvlJc w:val="left"/>
      <w:lvlText w:val="***"/>
      <w:numFmt w:val="bullet"/>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2021-06-09T07:29:56Z</dcterms:created>
  <dcterms:modified xsi:type="dcterms:W3CDTF">2021-06-09T07:29:56Z</dcterms:modified>
</cp:coreProperties>
</file>