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2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p>
        </w:tc>
        <w:tc>
          <w:tcPr>
            <w:tcW w:w="7920" w:type="dxa"/>
            <w:vAlign w:val="bottom"/>
          </w:tcPr>
          <w:p>
            <w:pPr>
              <w:ind w:left="160"/>
              <w:spacing w:after="0"/>
              <w:rPr>
                <w:sz w:val="20"/>
                <w:szCs w:val="20"/>
                <w:color w:val="auto"/>
              </w:rPr>
            </w:pPr>
            <w:r>
              <w:rPr>
                <w:rFonts w:ascii="Arial" w:cs="Arial" w:eastAsia="Arial" w:hAnsi="Arial"/>
                <w:sz w:val="18"/>
                <w:szCs w:val="18"/>
                <w:color w:val="auto"/>
              </w:rPr>
              <w:t>Form 40-F o</w:t>
            </w:r>
          </w:p>
        </w:tc>
        <w:tc>
          <w:tcPr>
            <w:tcW w:w="2300" w:type="dxa"/>
            <w:vAlign w:val="bottom"/>
          </w:tcPr>
          <w:p>
            <w:pPr>
              <w:spacing w:after="0"/>
              <w:rPr>
                <w:sz w:val="24"/>
                <w:szCs w:val="24"/>
                <w:color w:val="auto"/>
              </w:rPr>
            </w:pPr>
          </w:p>
        </w:tc>
      </w:tr>
      <w:tr>
        <w:trPr>
          <w:trHeight w:val="412"/>
        </w:trPr>
        <w:tc>
          <w:tcPr>
            <w:tcW w:w="9120" w:type="dxa"/>
            <w:vAlign w:val="bottom"/>
            <w:gridSpan w:val="2"/>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300" w:type="dxa"/>
            <w:vAlign w:val="bottom"/>
          </w:tcPr>
          <w:p>
            <w:pPr>
              <w:ind w:left="180"/>
              <w:spacing w:after="0"/>
              <w:rPr>
                <w:sz w:val="20"/>
                <w:szCs w:val="20"/>
                <w:color w:val="auto"/>
              </w:rPr>
            </w:pPr>
            <w:r>
              <w:rPr>
                <w:rFonts w:ascii="Arial" w:cs="Arial" w:eastAsia="Arial" w:hAnsi="Arial"/>
                <w:sz w:val="18"/>
                <w:szCs w:val="18"/>
                <w:color w:val="auto"/>
              </w:rPr>
              <w:t>o</w:t>
            </w:r>
          </w:p>
        </w:tc>
      </w:tr>
      <w:tr>
        <w:trPr>
          <w:trHeight w:val="432"/>
        </w:trPr>
        <w:tc>
          <w:tcPr>
            <w:tcW w:w="9120" w:type="dxa"/>
            <w:vAlign w:val="bottom"/>
            <w:gridSpan w:val="2"/>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300" w:type="dxa"/>
            <w:vAlign w:val="bottom"/>
          </w:tcPr>
          <w:p>
            <w:pPr>
              <w:ind w:left="180"/>
              <w:spacing w:after="0"/>
              <w:rPr>
                <w:sz w:val="20"/>
                <w:szCs w:val="20"/>
                <w:color w:val="auto"/>
              </w:rPr>
            </w:pPr>
            <w:r>
              <w:rPr>
                <w:rFonts w:ascii="Arial" w:cs="Arial" w:eastAsia="Arial" w:hAnsi="Arial"/>
                <w:sz w:val="18"/>
                <w:szCs w:val="18"/>
                <w:color w:val="auto"/>
              </w:rPr>
              <w:t>o</w:t>
            </w:r>
          </w:p>
        </w:tc>
      </w:tr>
      <w:tr>
        <w:trPr>
          <w:trHeight w:val="277"/>
        </w:trPr>
        <w:tc>
          <w:tcPr>
            <w:tcW w:w="1200" w:type="dxa"/>
            <w:vAlign w:val="bottom"/>
            <w:tcBorders>
              <w:bottom w:val="single" w:sz="8" w:color="C0C0C0"/>
            </w:tcBorders>
          </w:tcPr>
          <w:p>
            <w:pPr>
              <w:spacing w:after="0"/>
              <w:rPr>
                <w:sz w:val="24"/>
                <w:szCs w:val="24"/>
                <w:color w:val="auto"/>
              </w:rPr>
            </w:pPr>
          </w:p>
        </w:tc>
        <w:tc>
          <w:tcPr>
            <w:tcW w:w="7920" w:type="dxa"/>
            <w:vAlign w:val="bottom"/>
            <w:tcBorders>
              <w:bottom w:val="single" w:sz="8" w:color="C0C0C0"/>
            </w:tcBorders>
          </w:tcPr>
          <w:p>
            <w:pPr>
              <w:spacing w:after="0"/>
              <w:rPr>
                <w:sz w:val="24"/>
                <w:szCs w:val="24"/>
                <w:color w:val="auto"/>
              </w:rPr>
            </w:pPr>
          </w:p>
        </w:tc>
        <w:tc>
          <w:tcPr>
            <w:tcW w:w="23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46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February 1, 2017 announcing the appointment of Alastair Maxwell as Chief Financial Officer is attached hereto as Exhibit 99.1.</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240" w:top="409" w:right="45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2017</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0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250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634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55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Appoint Alastair Maxwell as Chief Financial Officer</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MONACO — February 1, 2017 — </w:t>
      </w:r>
      <w:r>
        <w:rPr>
          <w:rFonts w:ascii="Arial" w:cs="Arial" w:eastAsia="Arial" w:hAnsi="Arial"/>
          <w:sz w:val="16"/>
          <w:szCs w:val="16"/>
          <w:color w:val="auto"/>
        </w:rPr>
        <w:t>GasLog Ltd. (NYSE:GLOG) (“GasLog”) and GasLog Partners LP (NYSE:GLOP) (“GasLog Partners”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announced today that, following Simon Crowe’s decision to step down from his position as Chief Financial Officer (“CFO”), the Boards of GasLog and GasLog Partners have appointed Alastair Maxwell as CFO, to be effective immediately following the 20-F filings for GasLog and the Partnership, anticipated to be early March 2017. Simon will remain CFO until the filings are made and will work with Alastair to ensure a smooth transition.</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29 years in investment banking, Alastair Maxwell has a wealth of experience in both energy and finance. Most recently, Alastair was the Co-Head of the Global Energy Group in the Investment Banking Division of Goldman Sachs from 2010 to 2016 having previously been Head of the Energy Group in the EMEA region at Morgan Stanley. Alastair has worked on a wide range of M&amp;A transactions and equity, debt and structured financings across all segments of the energy value chain.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Paul Wogan, GasLog Ltd. CEO, said, “On behalf of the Board, Chairman Peter Livanos, and the Management team, I am pleased to welcome Alastair to GasLog. His deep understanding of the energy sector and financial markets and his involvement in some of the largest transactions in the industry will make him a huge asset to the team.”</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Andy Orekar, GasLog Partners CEO, said, “On behalf of the Board and Chairman Curt Anastasio, I am thrilled to have Alastair join the Partnership. His global energy experience, finance expertise and proven leadership capabilities are highly complementary to our senior executive team.”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Alastair Maxwell commented, “I am delighted to be joining GasLog and GasLog Partners at such an exciting time in the LNG market and in the development of the Group. I look forward to working with the GasLog team to build on the growth and shareholder value that they have delivered over the last several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nine LNG carriers with an average carrying capacity of approximately 149,500 cbm, each of which has a multi-year time charter. GasLog Partners’ principal executive offices are located at Gildo Pastor Center, 7 Rue du Gabian, MC 98000, Monaco.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Wogan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Andy Orekar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0847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2019-12-07T17:10:19Z</dcterms:created>
  <dcterms:modified xsi:type="dcterms:W3CDTF">2019-12-07T17:10:19Z</dcterms:modified>
</cp:coreProperties>
</file>