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REPORT OF FOREIGN PRIVATE ISSUER PURSUANT TO RULE 13a-16 OR 15d-16 UNDER THE SECURITIES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9800" w:type="dxa"/>
            <w:vAlign w:val="bottom"/>
          </w:tcPr>
          <w:p>
            <w:pPr>
              <w:spacing w:after="0"/>
              <w:rPr>
                <w:sz w:val="20"/>
                <w:szCs w:val="20"/>
                <w:color w:val="auto"/>
              </w:rPr>
            </w:pPr>
            <w:r>
              <w:rPr>
                <w:rFonts w:ascii="Arial" w:cs="Arial" w:eastAsia="Arial" w:hAnsi="Arial"/>
                <w:sz w:val="18"/>
                <w:szCs w:val="18"/>
                <w:color w:val="auto"/>
              </w:rPr>
              <w:t>For the month of May 2023</w:t>
            </w:r>
          </w:p>
        </w:tc>
        <w:tc>
          <w:tcPr>
            <w:tcW w:w="1440" w:type="dxa"/>
            <w:vAlign w:val="bottom"/>
          </w:tcPr>
          <w:p>
            <w:pPr>
              <w:spacing w:after="0"/>
              <w:rPr>
                <w:sz w:val="20"/>
                <w:szCs w:val="20"/>
                <w:color w:val="auto"/>
              </w:rPr>
            </w:pPr>
          </w:p>
        </w:tc>
      </w:tr>
      <w:tr>
        <w:trPr>
          <w:trHeight w:val="432"/>
        </w:trPr>
        <w:tc>
          <w:tcPr>
            <w:tcW w:w="9800" w:type="dxa"/>
            <w:vAlign w:val="bottom"/>
          </w:tcPr>
          <w:p>
            <w:pPr>
              <w:spacing w:after="0"/>
              <w:rPr>
                <w:sz w:val="20"/>
                <w:szCs w:val="20"/>
                <w:color w:val="auto"/>
              </w:rPr>
            </w:pPr>
            <w:r>
              <w:rPr>
                <w:rFonts w:ascii="Arial" w:cs="Arial" w:eastAsia="Arial" w:hAnsi="Arial"/>
                <w:sz w:val="18"/>
                <w:szCs w:val="18"/>
                <w:color w:val="auto"/>
              </w:rPr>
              <w:t>Commission File Number 001-35466</w:t>
            </w:r>
          </w:p>
        </w:tc>
        <w:tc>
          <w:tcPr>
            <w:tcW w:w="1440" w:type="dxa"/>
            <w:vAlign w:val="bottom"/>
          </w:tcPr>
          <w:p>
            <w:pPr>
              <w:spacing w:after="0"/>
              <w:rPr>
                <w:sz w:val="24"/>
                <w:szCs w:val="24"/>
                <w:color w:val="auto"/>
              </w:rPr>
            </w:pPr>
          </w:p>
        </w:tc>
      </w:tr>
      <w:tr>
        <w:trPr>
          <w:trHeight w:val="418"/>
        </w:trPr>
        <w:tc>
          <w:tcPr>
            <w:tcW w:w="9800" w:type="dxa"/>
            <w:vAlign w:val="bottom"/>
          </w:tcPr>
          <w:p>
            <w:pPr>
              <w:jc w:val="center"/>
              <w:ind w:left="1350"/>
              <w:spacing w:after="0"/>
              <w:rPr>
                <w:sz w:val="20"/>
                <w:szCs w:val="20"/>
                <w:color w:val="auto"/>
              </w:rPr>
            </w:pPr>
            <w:r>
              <w:rPr>
                <w:rFonts w:ascii="Arial" w:cs="Arial" w:eastAsia="Arial" w:hAnsi="Arial"/>
                <w:sz w:val="18"/>
                <w:szCs w:val="18"/>
                <w:b w:val="1"/>
                <w:bCs w:val="1"/>
                <w:color w:val="auto"/>
                <w:w w:val="91"/>
              </w:rPr>
              <w:t>GasLog Ltd.</w:t>
            </w:r>
          </w:p>
        </w:tc>
        <w:tc>
          <w:tcPr>
            <w:tcW w:w="1440" w:type="dxa"/>
            <w:vAlign w:val="bottom"/>
          </w:tcPr>
          <w:p>
            <w:pPr>
              <w:spacing w:after="0"/>
              <w:rPr>
                <w:sz w:val="24"/>
                <w:szCs w:val="24"/>
                <w:color w:val="auto"/>
              </w:rPr>
            </w:pPr>
          </w:p>
        </w:tc>
      </w:tr>
      <w:tr>
        <w:trPr>
          <w:trHeight w:val="230"/>
        </w:trPr>
        <w:tc>
          <w:tcPr>
            <w:tcW w:w="9800" w:type="dxa"/>
            <w:vAlign w:val="bottom"/>
          </w:tcPr>
          <w:p>
            <w:pPr>
              <w:jc w:val="center"/>
              <w:ind w:left="1350"/>
              <w:spacing w:after="0"/>
              <w:rPr>
                <w:sz w:val="20"/>
                <w:szCs w:val="20"/>
                <w:color w:val="auto"/>
              </w:rPr>
            </w:pPr>
            <w:r>
              <w:rPr>
                <w:rFonts w:ascii="Arial" w:cs="Arial" w:eastAsia="Arial" w:hAnsi="Arial"/>
                <w:sz w:val="18"/>
                <w:szCs w:val="18"/>
                <w:color w:val="auto"/>
                <w:w w:val="91"/>
              </w:rPr>
              <w:t>(Translation of registrant’s name into English)</w:t>
            </w:r>
          </w:p>
        </w:tc>
        <w:tc>
          <w:tcPr>
            <w:tcW w:w="1440" w:type="dxa"/>
            <w:vAlign w:val="bottom"/>
          </w:tcPr>
          <w:p>
            <w:pPr>
              <w:spacing w:after="0"/>
              <w:rPr>
                <w:sz w:val="20"/>
                <w:szCs w:val="20"/>
                <w:color w:val="auto"/>
              </w:rPr>
            </w:pPr>
          </w:p>
        </w:tc>
      </w:tr>
      <w:tr>
        <w:trPr>
          <w:trHeight w:val="418"/>
        </w:trPr>
        <w:tc>
          <w:tcPr>
            <w:tcW w:w="9800" w:type="dxa"/>
            <w:vAlign w:val="bottom"/>
          </w:tcPr>
          <w:p>
            <w:pPr>
              <w:jc w:val="center"/>
              <w:ind w:left="1350"/>
              <w:spacing w:after="0"/>
              <w:rPr>
                <w:sz w:val="20"/>
                <w:szCs w:val="20"/>
                <w:color w:val="auto"/>
              </w:rPr>
            </w:pPr>
            <w:r>
              <w:rPr>
                <w:rFonts w:ascii="Arial" w:cs="Arial" w:eastAsia="Arial" w:hAnsi="Arial"/>
                <w:sz w:val="18"/>
                <w:szCs w:val="18"/>
                <w:color w:val="auto"/>
                <w:w w:val="92"/>
              </w:rPr>
              <w:t>c/o GasLog LNG Services Ltd.</w:t>
            </w:r>
          </w:p>
        </w:tc>
        <w:tc>
          <w:tcPr>
            <w:tcW w:w="1440" w:type="dxa"/>
            <w:vAlign w:val="bottom"/>
          </w:tcPr>
          <w:p>
            <w:pPr>
              <w:spacing w:after="0"/>
              <w:rPr>
                <w:sz w:val="24"/>
                <w:szCs w:val="24"/>
                <w:color w:val="auto"/>
              </w:rPr>
            </w:pPr>
          </w:p>
        </w:tc>
      </w:tr>
      <w:tr>
        <w:trPr>
          <w:trHeight w:val="216"/>
        </w:trPr>
        <w:tc>
          <w:tcPr>
            <w:tcW w:w="9800" w:type="dxa"/>
            <w:vAlign w:val="bottom"/>
          </w:tcPr>
          <w:p>
            <w:pPr>
              <w:jc w:val="center"/>
              <w:ind w:left="1350"/>
              <w:spacing w:after="0"/>
              <w:rPr>
                <w:sz w:val="20"/>
                <w:szCs w:val="20"/>
                <w:color w:val="auto"/>
              </w:rPr>
            </w:pPr>
            <w:r>
              <w:rPr>
                <w:rFonts w:ascii="Arial" w:cs="Arial" w:eastAsia="Arial" w:hAnsi="Arial"/>
                <w:sz w:val="18"/>
                <w:szCs w:val="18"/>
                <w:color w:val="auto"/>
                <w:w w:val="94"/>
              </w:rPr>
              <w:t>69 Akti Miaouli, 18537</w:t>
            </w:r>
          </w:p>
        </w:tc>
        <w:tc>
          <w:tcPr>
            <w:tcW w:w="1440" w:type="dxa"/>
            <w:vAlign w:val="bottom"/>
          </w:tcPr>
          <w:p>
            <w:pPr>
              <w:spacing w:after="0"/>
              <w:rPr>
                <w:sz w:val="18"/>
                <w:szCs w:val="18"/>
                <w:color w:val="auto"/>
              </w:rPr>
            </w:pPr>
          </w:p>
        </w:tc>
      </w:tr>
      <w:tr>
        <w:trPr>
          <w:trHeight w:val="216"/>
        </w:trPr>
        <w:tc>
          <w:tcPr>
            <w:tcW w:w="9800" w:type="dxa"/>
            <w:vAlign w:val="bottom"/>
          </w:tcPr>
          <w:p>
            <w:pPr>
              <w:jc w:val="center"/>
              <w:ind w:left="1350"/>
              <w:spacing w:after="0"/>
              <w:rPr>
                <w:sz w:val="20"/>
                <w:szCs w:val="20"/>
                <w:color w:val="auto"/>
              </w:rPr>
            </w:pPr>
            <w:r>
              <w:rPr>
                <w:rFonts w:ascii="Arial" w:cs="Arial" w:eastAsia="Arial" w:hAnsi="Arial"/>
                <w:sz w:val="18"/>
                <w:szCs w:val="18"/>
                <w:color w:val="auto"/>
                <w:w w:val="86"/>
              </w:rPr>
              <w:t>Piraeus, Greece</w:t>
            </w:r>
          </w:p>
        </w:tc>
        <w:tc>
          <w:tcPr>
            <w:tcW w:w="1440" w:type="dxa"/>
            <w:vAlign w:val="bottom"/>
          </w:tcPr>
          <w:p>
            <w:pPr>
              <w:spacing w:after="0"/>
              <w:rPr>
                <w:sz w:val="18"/>
                <w:szCs w:val="18"/>
                <w:color w:val="auto"/>
              </w:rPr>
            </w:pPr>
          </w:p>
        </w:tc>
      </w:tr>
      <w:tr>
        <w:trPr>
          <w:trHeight w:val="230"/>
        </w:trPr>
        <w:tc>
          <w:tcPr>
            <w:tcW w:w="9800" w:type="dxa"/>
            <w:vAlign w:val="bottom"/>
          </w:tcPr>
          <w:p>
            <w:pPr>
              <w:jc w:val="center"/>
              <w:ind w:left="1370"/>
              <w:spacing w:after="0"/>
              <w:rPr>
                <w:sz w:val="20"/>
                <w:szCs w:val="20"/>
                <w:color w:val="auto"/>
              </w:rPr>
            </w:pPr>
            <w:r>
              <w:rPr>
                <w:rFonts w:ascii="Arial" w:cs="Arial" w:eastAsia="Arial" w:hAnsi="Arial"/>
                <w:sz w:val="18"/>
                <w:szCs w:val="18"/>
                <w:color w:val="auto"/>
                <w:w w:val="92"/>
              </w:rPr>
              <w:t>(Address of principal executive office)</w:t>
            </w:r>
          </w:p>
        </w:tc>
        <w:tc>
          <w:tcPr>
            <w:tcW w:w="1440" w:type="dxa"/>
            <w:vAlign w:val="bottom"/>
          </w:tcPr>
          <w:p>
            <w:pPr>
              <w:spacing w:after="0"/>
              <w:rPr>
                <w:sz w:val="20"/>
                <w:szCs w:val="20"/>
                <w:color w:val="auto"/>
              </w:rPr>
            </w:pPr>
          </w:p>
        </w:tc>
      </w:tr>
      <w:tr>
        <w:trPr>
          <w:trHeight w:val="432"/>
        </w:trPr>
        <w:tc>
          <w:tcPr>
            <w:tcW w:w="980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1440" w:type="dxa"/>
            <w:vAlign w:val="bottom"/>
          </w:tcPr>
          <w:p>
            <w:pPr>
              <w:spacing w:after="0"/>
              <w:rPr>
                <w:sz w:val="24"/>
                <w:szCs w:val="24"/>
                <w:color w:val="auto"/>
              </w:rPr>
            </w:pPr>
          </w:p>
        </w:tc>
      </w:tr>
      <w:tr>
        <w:trPr>
          <w:trHeight w:val="432"/>
        </w:trPr>
        <w:tc>
          <w:tcPr>
            <w:tcW w:w="9800" w:type="dxa"/>
            <w:vAlign w:val="bottom"/>
          </w:tcPr>
          <w:p>
            <w:pPr>
              <w:spacing w:after="0"/>
              <w:rPr>
                <w:sz w:val="20"/>
                <w:szCs w:val="20"/>
                <w:color w:val="auto"/>
              </w:rPr>
            </w:pPr>
            <w:r>
              <w:rPr>
                <w:rFonts w:ascii="Arial" w:cs="Arial" w:eastAsia="Arial" w:hAnsi="Arial"/>
                <w:sz w:val="18"/>
                <w:szCs w:val="18"/>
                <w:color w:val="auto"/>
              </w:rPr>
              <w:t>Form 20-F þ   Form 40-F o</w:t>
            </w:r>
          </w:p>
        </w:tc>
        <w:tc>
          <w:tcPr>
            <w:tcW w:w="1440" w:type="dxa"/>
            <w:vAlign w:val="bottom"/>
          </w:tcPr>
          <w:p>
            <w:pPr>
              <w:spacing w:after="0"/>
              <w:rPr>
                <w:sz w:val="24"/>
                <w:szCs w:val="24"/>
                <w:color w:val="auto"/>
              </w:rPr>
            </w:pPr>
          </w:p>
        </w:tc>
      </w:tr>
      <w:tr>
        <w:trPr>
          <w:trHeight w:val="460"/>
        </w:trPr>
        <w:tc>
          <w:tcPr>
            <w:tcW w:w="980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144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r>
      <w:tr>
        <w:trPr>
          <w:trHeight w:val="432"/>
        </w:trPr>
        <w:tc>
          <w:tcPr>
            <w:tcW w:w="980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144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r>
      <w:tr>
        <w:trPr>
          <w:trHeight w:val="620"/>
        </w:trPr>
        <w:tc>
          <w:tcPr>
            <w:tcW w:w="98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72" w:right="339" w:bottom="1440" w:gutter="0" w:footer="0" w:header="0"/>
        </w:sectPr>
      </w:pPr>
    </w:p>
    <w:bookmarkStart w:id="1" w:name="page2"/>
    <w:bookmarkEnd w:id="1"/>
    <w:p>
      <w:pPr>
        <w:ind w:left="360"/>
        <w:spacing w:after="0"/>
        <w:rPr>
          <w:sz w:val="20"/>
          <w:szCs w:val="20"/>
          <w:color w:val="auto"/>
        </w:rPr>
      </w:pPr>
      <w:r>
        <w:rPr>
          <w:rFonts w:ascii="Arial" w:cs="Arial" w:eastAsia="Arial" w:hAnsi="Arial"/>
          <w:sz w:val="14"/>
          <w:szCs w:val="14"/>
          <w:color w:val="auto"/>
        </w:rPr>
        <w:t>The press release issued by GasLog Ltd. on May 11, 2023, relating to its results for the three-month period ended March 31, 2023, is attached hereto as Exhibit 99.1.</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EXHIBIT LIST</w:t>
      </w:r>
    </w:p>
    <w:p>
      <w:pPr>
        <w:spacing w:after="0" w:line="221" w:lineRule="exact"/>
        <w:rPr>
          <w:sz w:val="20"/>
          <w:szCs w:val="20"/>
          <w:color w:val="auto"/>
        </w:rPr>
      </w:pPr>
    </w:p>
    <w:p>
      <w:pPr>
        <w:spacing w:after="0"/>
        <w:tabs>
          <w:tab w:leader="none" w:pos="780" w:val="left"/>
        </w:tabs>
        <w:rPr>
          <w:sz w:val="20"/>
          <w:szCs w:val="20"/>
          <w:color w:val="auto"/>
        </w:rPr>
      </w:pPr>
      <w:r>
        <w:rPr>
          <w:rFonts w:ascii="Arial" w:cs="Arial" w:eastAsia="Arial" w:hAnsi="Arial"/>
          <w:sz w:val="16"/>
          <w:szCs w:val="16"/>
          <w:color w:val="auto"/>
        </w:rPr>
        <w:t>Exhibit</w:t>
      </w:r>
      <w:r>
        <w:rPr>
          <w:sz w:val="20"/>
          <w:szCs w:val="20"/>
          <w:color w:val="auto"/>
        </w:rPr>
        <w:tab/>
      </w:r>
      <w:r>
        <w:rPr>
          <w:rFonts w:ascii="Arial" w:cs="Arial" w:eastAsia="Arial" w:hAnsi="Arial"/>
          <w:sz w:val="16"/>
          <w:szCs w:val="16"/>
          <w:color w:val="auto"/>
        </w:rPr>
        <w:t>Description</w:t>
      </w:r>
    </w:p>
    <w:p>
      <w:pPr>
        <w:spacing w:after="0" w:line="248" w:lineRule="exact"/>
        <w:rPr>
          <w:sz w:val="20"/>
          <w:szCs w:val="20"/>
          <w:color w:val="auto"/>
        </w:rPr>
      </w:pPr>
    </w:p>
    <w:p>
      <w:pPr>
        <w:spacing w:after="0"/>
        <w:tabs>
          <w:tab w:leader="none" w:pos="780" w:val="left"/>
        </w:tabs>
        <w:rPr>
          <w:sz w:val="20"/>
          <w:szCs w:val="20"/>
          <w:color w:val="auto"/>
        </w:rPr>
      </w:pPr>
      <w:r>
        <w:rPr>
          <w:rFonts w:ascii="Arial" w:cs="Arial" w:eastAsia="Arial" w:hAnsi="Arial"/>
          <w:sz w:val="16"/>
          <w:szCs w:val="16"/>
          <w:u w:val="single" w:color="auto"/>
          <w:color w:val="0000EE"/>
        </w:rPr>
        <w:t>99.1</w:t>
      </w:r>
      <w:r>
        <w:rPr>
          <w:sz w:val="20"/>
          <w:szCs w:val="20"/>
          <w:color w:val="auto"/>
        </w:rPr>
        <w:tab/>
      </w:r>
      <w:r>
        <w:rPr>
          <w:rFonts w:ascii="Arial" w:cs="Arial" w:eastAsia="Arial" w:hAnsi="Arial"/>
          <w:sz w:val="14"/>
          <w:szCs w:val="14"/>
          <w:u w:val="single" w:color="auto"/>
          <w:color w:val="0000EE"/>
        </w:rPr>
        <w:t>Press Release dated May 11, 2023</w:t>
      </w:r>
    </w:p>
    <w:p>
      <w:pPr>
        <w:spacing w:after="0" w:line="200" w:lineRule="exact"/>
        <w:rPr>
          <w:sz w:val="20"/>
          <w:szCs w:val="20"/>
          <w:color w:val="auto"/>
        </w:rPr>
      </w:pPr>
    </w:p>
    <w:p>
      <w:pPr>
        <w:spacing w:after="0" w:line="24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913" w:right="51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6"/>
          <w:szCs w:val="16"/>
          <w:color w:val="auto"/>
        </w:rPr>
        <w:t>SIGNATURES</w:t>
      </w:r>
    </w:p>
    <w:p>
      <w:pPr>
        <w:spacing w:after="0" w:line="221" w:lineRule="exact"/>
        <w:rPr>
          <w:sz w:val="20"/>
          <w:szCs w:val="20"/>
          <w:color w:val="auto"/>
        </w:rPr>
      </w:pPr>
    </w:p>
    <w:p>
      <w:pPr>
        <w:ind w:firstLine="356"/>
        <w:spacing w:after="0" w:line="29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Date: May 11, 2023</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GASLOG LTD.,</w:t>
      </w:r>
    </w:p>
    <w:p>
      <w:pPr>
        <w:spacing w:after="0" w:line="248" w:lineRule="exact"/>
        <w:rPr>
          <w:sz w:val="20"/>
          <w:szCs w:val="20"/>
          <w:color w:val="auto"/>
        </w:rPr>
      </w:pPr>
    </w:p>
    <w:p>
      <w:pPr>
        <w:ind w:left="5960"/>
        <w:spacing w:after="0"/>
        <w:tabs>
          <w:tab w:leader="none" w:pos="6280" w:val="left"/>
        </w:tabs>
        <w:rPr>
          <w:sz w:val="20"/>
          <w:szCs w:val="20"/>
          <w:color w:val="auto"/>
        </w:rPr>
      </w:pPr>
      <w:r>
        <w:rPr>
          <w:rFonts w:ascii="Arial" w:cs="Arial" w:eastAsia="Arial" w:hAnsi="Arial"/>
          <w:sz w:val="16"/>
          <w:szCs w:val="16"/>
          <w:color w:val="auto"/>
        </w:rPr>
        <w:t>by</w:t>
        <w:tab/>
        <w:t>/s/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26670</wp:posOffset>
            </wp:positionV>
            <wp:extent cx="24257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6" w:lineRule="exact"/>
        <w:rPr>
          <w:sz w:val="20"/>
          <w:szCs w:val="20"/>
          <w:color w:val="auto"/>
        </w:rPr>
      </w:pPr>
    </w:p>
    <w:p>
      <w:pPr>
        <w:ind w:left="6300"/>
        <w:spacing w:after="0"/>
        <w:tabs>
          <w:tab w:leader="none" w:pos="684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5"/>
          <w:szCs w:val="15"/>
          <w:color w:val="auto"/>
        </w:rPr>
        <w:t>Paolo Enoizi</w:t>
      </w:r>
    </w:p>
    <w:p>
      <w:pPr>
        <w:spacing w:after="0" w:line="22" w:lineRule="exact"/>
        <w:rPr>
          <w:sz w:val="20"/>
          <w:szCs w:val="20"/>
          <w:color w:val="auto"/>
        </w:rPr>
      </w:pPr>
    </w:p>
    <w:p>
      <w:pPr>
        <w:ind w:left="6300"/>
        <w:spacing w:after="0"/>
        <w:tabs>
          <w:tab w:leader="none" w:pos="6840" w:val="left"/>
        </w:tabs>
        <w:rPr>
          <w:sz w:val="20"/>
          <w:szCs w:val="20"/>
          <w:color w:val="auto"/>
        </w:rPr>
      </w:pPr>
      <w:r>
        <w:rPr>
          <w:rFonts w:ascii="Arial" w:cs="Arial" w:eastAsia="Arial" w:hAnsi="Arial"/>
          <w:sz w:val="16"/>
          <w:szCs w:val="16"/>
          <w:color w:val="auto"/>
        </w:rPr>
        <w:t>Title:</w:t>
        <w:tab/>
        <w:t>Chief Executive Officer</w:t>
      </w:r>
    </w:p>
    <w:p>
      <w:pPr>
        <w:spacing w:after="0" w:line="200" w:lineRule="exact"/>
        <w:rPr>
          <w:sz w:val="20"/>
          <w:szCs w:val="20"/>
          <w:color w:val="auto"/>
        </w:rPr>
      </w:pPr>
    </w:p>
    <w:p>
      <w:pPr>
        <w:spacing w:after="0" w:line="2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899"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Press Release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GasLog Ltd. Reports Financial Results for the Three-Month Period Ended March 31, 2023</w:t>
      </w:r>
    </w:p>
    <w:p>
      <w:pPr>
        <w:spacing w:after="0" w:line="221"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b w:val="1"/>
          <w:bCs w:val="1"/>
          <w:color w:val="auto"/>
        </w:rPr>
        <w:t>Hamilton, Bermuda, May 11, 2023, GasLog Ltd. and its subsidiaries (“GasLog”, “Group” or “Company”) (NYSE: GLOG-PA)</w:t>
      </w:r>
      <w:r>
        <w:rPr>
          <w:rFonts w:ascii="Arial" w:cs="Arial" w:eastAsia="Arial" w:hAnsi="Arial"/>
          <w:sz w:val="16"/>
          <w:szCs w:val="16"/>
          <w:color w:val="auto"/>
        </w:rPr>
        <w:t>, an international owner, operator and</w:t>
      </w:r>
      <w:r>
        <w:rPr>
          <w:rFonts w:ascii="Arial" w:cs="Arial" w:eastAsia="Arial" w:hAnsi="Arial"/>
          <w:sz w:val="16"/>
          <w:szCs w:val="16"/>
          <w:b w:val="1"/>
          <w:bCs w:val="1"/>
          <w:color w:val="auto"/>
        </w:rPr>
        <w:t xml:space="preserve"> </w:t>
      </w:r>
      <w:r>
        <w:rPr>
          <w:rFonts w:ascii="Arial" w:cs="Arial" w:eastAsia="Arial" w:hAnsi="Arial"/>
          <w:sz w:val="16"/>
          <w:szCs w:val="16"/>
          <w:color w:val="auto"/>
        </w:rPr>
        <w:t>manager of liquefied natural gas (“LNG”) carriers, today reported its financial results for the quarter ended March 31, 2023.</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 xml:space="preserve">Agreement for Sale of </w:t>
      </w:r>
      <w:r>
        <w:rPr>
          <w:rFonts w:ascii="Arial" w:cs="Arial" w:eastAsia="Arial" w:hAnsi="Arial"/>
          <w:sz w:val="16"/>
          <w:szCs w:val="16"/>
          <w:b w:val="1"/>
          <w:bCs w:val="1"/>
          <w:i w:val="1"/>
          <w:iCs w:val="1"/>
          <w:u w:val="single" w:color="auto"/>
          <w:color w:val="auto"/>
        </w:rPr>
        <w:t>GasLog Athens</w:t>
      </w:r>
    </w:p>
    <w:p>
      <w:pPr>
        <w:spacing w:after="0" w:line="225" w:lineRule="exact"/>
        <w:rPr>
          <w:sz w:val="20"/>
          <w:szCs w:val="20"/>
          <w:color w:val="auto"/>
        </w:rPr>
      </w:pPr>
    </w:p>
    <w:p>
      <w:pPr>
        <w:ind w:right="40" w:firstLine="383"/>
        <w:spacing w:after="0" w:line="273" w:lineRule="auto"/>
        <w:rPr>
          <w:sz w:val="20"/>
          <w:szCs w:val="20"/>
          <w:color w:val="auto"/>
        </w:rPr>
      </w:pPr>
      <w:r>
        <w:rPr>
          <w:rFonts w:ascii="Arial" w:cs="Arial" w:eastAsia="Arial" w:hAnsi="Arial"/>
          <w:sz w:val="16"/>
          <w:szCs w:val="16"/>
          <w:color w:val="auto"/>
        </w:rPr>
        <w:t xml:space="preserve">On January 17, 2023, GasLog Hellas-2 Special Maritime Enterprise, the vessel-owning entity of the </w:t>
      </w:r>
      <w:r>
        <w:rPr>
          <w:rFonts w:ascii="Arial" w:cs="Arial" w:eastAsia="Arial" w:hAnsi="Arial"/>
          <w:sz w:val="16"/>
          <w:szCs w:val="16"/>
          <w:i w:val="1"/>
          <w:iCs w:val="1"/>
          <w:color w:val="auto"/>
        </w:rPr>
        <w:t>GasLog Athens</w:t>
      </w:r>
      <w:r>
        <w:rPr>
          <w:rFonts w:ascii="Arial" w:cs="Arial" w:eastAsia="Arial" w:hAnsi="Arial"/>
          <w:sz w:val="16"/>
          <w:szCs w:val="16"/>
          <w:color w:val="auto"/>
        </w:rPr>
        <w:t>, a 145,000 cubic meter (“cbm”) steam turbine propulsion (“Steam”) LNG carrier, entered into a Memorandum of Agreement with respect to the sale of its vessel to an unrelated third party, resulting in the reclassification of the vessel as held for sale and the recognition of a non-cash impairment loss of $9.3 million as of March 31, 2023. The transaction is expected to be completed upon redelivery of the vessel from its current charterer.</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Sale and Lease-Back Arrangements</w:t>
      </w:r>
    </w:p>
    <w:p>
      <w:pPr>
        <w:spacing w:after="0" w:line="225" w:lineRule="exact"/>
        <w:rPr>
          <w:sz w:val="20"/>
          <w:szCs w:val="20"/>
          <w:color w:val="auto"/>
        </w:rPr>
      </w:pPr>
    </w:p>
    <w:p>
      <w:pPr>
        <w:ind w:right="140" w:firstLine="383"/>
        <w:spacing w:after="0" w:line="273" w:lineRule="auto"/>
        <w:rPr>
          <w:sz w:val="20"/>
          <w:szCs w:val="20"/>
          <w:color w:val="auto"/>
        </w:rPr>
      </w:pPr>
      <w:r>
        <w:rPr>
          <w:rFonts w:ascii="Arial" w:cs="Arial" w:eastAsia="Arial" w:hAnsi="Arial"/>
          <w:sz w:val="16"/>
          <w:szCs w:val="16"/>
          <w:color w:val="auto"/>
        </w:rPr>
        <w:t xml:space="preserve">On March 30, 2023, GasLog Partners LP (“GasLog Partners” or the “Partnership”) completed the sale and lease-back of the </w:t>
      </w:r>
      <w:r>
        <w:rPr>
          <w:rFonts w:ascii="Arial" w:cs="Arial" w:eastAsia="Arial" w:hAnsi="Arial"/>
          <w:sz w:val="16"/>
          <w:szCs w:val="16"/>
          <w:i w:val="1"/>
          <w:iCs w:val="1"/>
          <w:color w:val="auto"/>
        </w:rPr>
        <w:t>GasLog Sydney</w:t>
      </w:r>
      <w:r>
        <w:rPr>
          <w:rFonts w:ascii="Arial" w:cs="Arial" w:eastAsia="Arial" w:hAnsi="Arial"/>
          <w:sz w:val="16"/>
          <w:szCs w:val="16"/>
          <w:color w:val="auto"/>
        </w:rPr>
        <w:t>, a 155,000 cbm tri-fuel diesel electric (“TFDE”) LNG carrier, built in 2013, with a wholly owned subsidiary of China Development Bank Leasing (“CDBL”). The vessel was sold and leased back under a bareboat charter with CDBL for a period of five years with no repurchase option or obligation, at a price of $140.0 million. The completion of the transaction resulted in the recognition of a non-cash impairment loss of $0.1 million and a loss on disposal of $0.7 million.</w:t>
      </w:r>
    </w:p>
    <w:p>
      <w:pPr>
        <w:spacing w:after="0" w:line="175" w:lineRule="exact"/>
        <w:rPr>
          <w:sz w:val="20"/>
          <w:szCs w:val="20"/>
          <w:color w:val="auto"/>
        </w:rPr>
      </w:pPr>
    </w:p>
    <w:p>
      <w:pPr>
        <w:ind w:right="20" w:firstLine="383"/>
        <w:spacing w:after="0" w:line="305" w:lineRule="auto"/>
        <w:rPr>
          <w:sz w:val="20"/>
          <w:szCs w:val="20"/>
          <w:color w:val="auto"/>
        </w:rPr>
      </w:pPr>
      <w:r>
        <w:rPr>
          <w:rFonts w:ascii="Arial" w:cs="Arial" w:eastAsia="Arial" w:hAnsi="Arial"/>
          <w:sz w:val="15"/>
          <w:szCs w:val="15"/>
          <w:color w:val="auto"/>
        </w:rPr>
        <w:t xml:space="preserve">On March 30, 2023, GasLog completed the sale and lease-back of the </w:t>
      </w:r>
      <w:r>
        <w:rPr>
          <w:rFonts w:ascii="Arial" w:cs="Arial" w:eastAsia="Arial" w:hAnsi="Arial"/>
          <w:sz w:val="15"/>
          <w:szCs w:val="15"/>
          <w:i w:val="1"/>
          <w:iCs w:val="1"/>
          <w:color w:val="auto"/>
        </w:rPr>
        <w:t>GasLog Saratoga,</w:t>
      </w:r>
      <w:r>
        <w:rPr>
          <w:rFonts w:ascii="Arial" w:cs="Arial" w:eastAsia="Arial" w:hAnsi="Arial"/>
          <w:sz w:val="15"/>
          <w:szCs w:val="15"/>
          <w:color w:val="auto"/>
        </w:rPr>
        <w:t xml:space="preserve"> a 155,000 cbm TFDE LNG carrier, built in 2014, with CDBL. The vessel was sold and leased back under a bareboat charter with CDBL for a period of five years with no repurchase option or obligation, at a price of $144.0 million. The completion of the transaction resulted in the recognition of a non-cash impairment loss of $6.1 million and of a loss on disposal of $0.6 million.</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Merger Agreement with GasLog Partners</w:t>
      </w:r>
    </w:p>
    <w:p>
      <w:pPr>
        <w:spacing w:after="0" w:line="225" w:lineRule="exact"/>
        <w:rPr>
          <w:sz w:val="20"/>
          <w:szCs w:val="20"/>
          <w:color w:val="auto"/>
        </w:rPr>
      </w:pPr>
    </w:p>
    <w:p>
      <w:pPr>
        <w:ind w:right="40" w:firstLine="405"/>
        <w:spacing w:after="0" w:line="324" w:lineRule="auto"/>
        <w:rPr>
          <w:sz w:val="20"/>
          <w:szCs w:val="20"/>
          <w:color w:val="auto"/>
        </w:rPr>
      </w:pPr>
      <w:r>
        <w:rPr>
          <w:rFonts w:ascii="Arial" w:cs="Arial" w:eastAsia="Arial" w:hAnsi="Arial"/>
          <w:sz w:val="14"/>
          <w:szCs w:val="14"/>
          <w:color w:val="auto"/>
        </w:rPr>
        <w:t>On April 6, 2023, GasLog and subsidiaries of GasLog entered into an Agreement and Plan of Merger (the “Merger Agreement”) with the Partnership. Pursuant to the Merger Agreement, GasLog will acquire the outstanding common units of the Partnership not beneficially owned by GasLog (the “Transaction”) for overall consideration of $8.65 per common unit in cash, consisting in part of a special distribution by the Partnership of $3.28 per common unit in cash that will be distributed to the Partnership’s unitholders in connection with the closing of the Transaction and the remainder to be paid by GasLog as merger consideration at the closing of the Transaction.</w:t>
      </w:r>
    </w:p>
    <w:p>
      <w:pPr>
        <w:spacing w:after="0" w:line="143" w:lineRule="exact"/>
        <w:rPr>
          <w:sz w:val="20"/>
          <w:szCs w:val="20"/>
          <w:color w:val="auto"/>
        </w:rPr>
      </w:pPr>
    </w:p>
    <w:p>
      <w:pPr>
        <w:ind w:right="60" w:firstLine="405"/>
        <w:spacing w:after="0" w:line="271" w:lineRule="auto"/>
        <w:rPr>
          <w:sz w:val="20"/>
          <w:szCs w:val="20"/>
          <w:color w:val="auto"/>
        </w:rPr>
      </w:pPr>
      <w:r>
        <w:rPr>
          <w:rFonts w:ascii="Arial" w:cs="Arial" w:eastAsia="Arial" w:hAnsi="Arial"/>
          <w:sz w:val="16"/>
          <w:szCs w:val="16"/>
          <w:color w:val="auto"/>
        </w:rPr>
        <w:t>The conflicts committee (the “Conflicts Committee”) of the Partnership’s board of directors, comprised solely of independent directors and advised by its own independent legal and financial advisors, unanimously recommended that the Partnership’s board of directors approve the Merger Agreement and determined that the Transaction was in the best interests of the Partnership and the holders of its common units unaffiliated with GasLog. Acting upon the recommendation and approval of the Conflicts Committee, the Partnership’s board of directors unanimously approved the Merger Agreement and the Transaction and recommended that the common unitholders of the Partnership vote in favor of the Transaction.</w:t>
      </w:r>
    </w:p>
    <w:p>
      <w:pPr>
        <w:spacing w:after="0" w:line="176" w:lineRule="exact"/>
        <w:rPr>
          <w:sz w:val="20"/>
          <w:szCs w:val="20"/>
          <w:color w:val="auto"/>
        </w:rPr>
      </w:pPr>
    </w:p>
    <w:p>
      <w:pPr>
        <w:jc w:val="both"/>
        <w:ind w:right="40" w:firstLine="405"/>
        <w:spacing w:after="0" w:line="273" w:lineRule="auto"/>
        <w:rPr>
          <w:sz w:val="20"/>
          <w:szCs w:val="20"/>
          <w:color w:val="auto"/>
        </w:rPr>
      </w:pPr>
      <w:r>
        <w:rPr>
          <w:rFonts w:ascii="Arial" w:cs="Arial" w:eastAsia="Arial" w:hAnsi="Arial"/>
          <w:sz w:val="16"/>
          <w:szCs w:val="16"/>
          <w:color w:val="auto"/>
        </w:rPr>
        <w:t>The Transaction is expected to close by the end of the third quarter of 2023, subject to approval of the Transaction by holders of a majority of the common units of the Partnership and the satisfaction of certain closing conditions. GasLog owns 30.2% of the common units of the Partnership and has entered into a support agreement with the Partnership committing to vote its common units in favor of the Transaction. Upon closing of the Transaction, the Partnership’s preference units will continue to trade on the New York Stock Exchange.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New Charter Agreements</w:t>
      </w:r>
    </w:p>
    <w:p>
      <w:pPr>
        <w:spacing w:after="0" w:line="225" w:lineRule="exact"/>
        <w:rPr>
          <w:sz w:val="20"/>
          <w:szCs w:val="20"/>
          <w:color w:val="auto"/>
        </w:rPr>
      </w:pPr>
    </w:p>
    <w:p>
      <w:pPr>
        <w:ind w:right="360" w:firstLine="383"/>
        <w:spacing w:after="0" w:line="271" w:lineRule="auto"/>
        <w:rPr>
          <w:sz w:val="20"/>
          <w:szCs w:val="20"/>
          <w:color w:val="auto"/>
        </w:rPr>
      </w:pPr>
      <w:r>
        <w:rPr>
          <w:rFonts w:ascii="Arial" w:cs="Arial" w:eastAsia="Arial" w:hAnsi="Arial"/>
          <w:sz w:val="16"/>
          <w:szCs w:val="16"/>
          <w:color w:val="auto"/>
        </w:rPr>
        <w:t xml:space="preserve">During the first quarter of 2023, GasLog signed a time charter agreement for the </w:t>
      </w:r>
      <w:r>
        <w:rPr>
          <w:rFonts w:ascii="Arial" w:cs="Arial" w:eastAsia="Arial" w:hAnsi="Arial"/>
          <w:sz w:val="16"/>
          <w:szCs w:val="16"/>
          <w:i w:val="1"/>
          <w:iCs w:val="1"/>
          <w:color w:val="auto"/>
        </w:rPr>
        <w:t>GasLog Singapore</w:t>
      </w:r>
      <w:r>
        <w:rPr>
          <w:rFonts w:ascii="Arial" w:cs="Arial" w:eastAsia="Arial" w:hAnsi="Arial"/>
          <w:sz w:val="16"/>
          <w:szCs w:val="16"/>
          <w:color w:val="auto"/>
        </w:rPr>
        <w:t xml:space="preserve">, a TFDE LNG carrier, with New Fortress Energy Transport Partners LLC (“NFE Transport Partners LLC”) for approximately two years and the time charter agreement of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a TFDE LNG carrier, with a wholly owned subsidiary of Shell plc (“Shell”) was extended by five years, following the exercise of their extension option, with the contract now due to expire in 2028. Post-quarter end the time charter agreement of the </w:t>
      </w:r>
      <w:r>
        <w:rPr>
          <w:rFonts w:ascii="Arial" w:cs="Arial" w:eastAsia="Arial" w:hAnsi="Arial"/>
          <w:sz w:val="16"/>
          <w:szCs w:val="16"/>
          <w:i w:val="1"/>
          <w:iCs w:val="1"/>
          <w:color w:val="auto"/>
        </w:rPr>
        <w:t>GasLog Gibraltar</w:t>
      </w:r>
      <w:r>
        <w:rPr>
          <w:rFonts w:ascii="Arial" w:cs="Arial" w:eastAsia="Arial" w:hAnsi="Arial"/>
          <w:sz w:val="16"/>
          <w:szCs w:val="16"/>
          <w:color w:val="auto"/>
        </w:rPr>
        <w:t>, a TFDE LNG carrier, with Shell was extended by five years, following the exercise of their extension option, with the contract now to expire in 2028.</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Dividend Declarations</w:t>
      </w:r>
    </w:p>
    <w:p>
      <w:pPr>
        <w:spacing w:after="0" w:line="225" w:lineRule="exact"/>
        <w:rPr>
          <w:sz w:val="20"/>
          <w:szCs w:val="20"/>
          <w:color w:val="auto"/>
        </w:rPr>
      </w:pPr>
    </w:p>
    <w:p>
      <w:pPr>
        <w:ind w:right="160" w:firstLine="405"/>
        <w:spacing w:after="0" w:line="293" w:lineRule="auto"/>
        <w:rPr>
          <w:sz w:val="20"/>
          <w:szCs w:val="20"/>
          <w:color w:val="auto"/>
        </w:rPr>
      </w:pPr>
      <w:r>
        <w:rPr>
          <w:rFonts w:ascii="Arial" w:cs="Arial" w:eastAsia="Arial" w:hAnsi="Arial"/>
          <w:sz w:val="16"/>
          <w:szCs w:val="16"/>
          <w:color w:val="auto"/>
        </w:rPr>
        <w:t>On May 10, 2023, the board of directors declared a quarterly cash dividend of $0.15 per common share, or $14.3 million in the aggregate, payable on May 12, 2023, to shareholders of record as of May 11, 2023.</w:t>
      </w:r>
    </w:p>
    <w:p>
      <w:pPr>
        <w:spacing w:after="0" w:line="158" w:lineRule="exact"/>
        <w:rPr>
          <w:sz w:val="20"/>
          <w:szCs w:val="20"/>
          <w:color w:val="auto"/>
        </w:rPr>
      </w:pPr>
    </w:p>
    <w:p>
      <w:pPr>
        <w:ind w:right="240" w:firstLine="405"/>
        <w:spacing w:after="0" w:line="293" w:lineRule="auto"/>
        <w:rPr>
          <w:sz w:val="20"/>
          <w:szCs w:val="20"/>
          <w:color w:val="auto"/>
        </w:rPr>
      </w:pPr>
      <w:r>
        <w:rPr>
          <w:rFonts w:ascii="Arial" w:cs="Arial" w:eastAsia="Arial" w:hAnsi="Arial"/>
          <w:sz w:val="16"/>
          <w:szCs w:val="16"/>
          <w:color w:val="auto"/>
        </w:rPr>
        <w:t>On May 10, 2023, the board of directors declared a dividend on the Series A Preference Shares of $0.546875 per share, or $2.5 million in the aggregate, payable on July 3, 2023, to holders of record as of June 30, 2023.</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0"/>
        </w:trPr>
        <w:tc>
          <w:tcPr>
            <w:tcW w:w="8100" w:type="dxa"/>
            <w:vAlign w:val="bottom"/>
          </w:tcPr>
          <w:p>
            <w:pPr>
              <w:spacing w:after="0"/>
              <w:rPr>
                <w:sz w:val="20"/>
                <w:szCs w:val="20"/>
                <w:color w:val="auto"/>
              </w:rPr>
            </w:pPr>
            <w:r>
              <w:rPr>
                <w:rFonts w:ascii="Arial" w:cs="Arial" w:eastAsia="Arial" w:hAnsi="Arial"/>
                <w:sz w:val="16"/>
                <w:szCs w:val="16"/>
                <w:b w:val="1"/>
                <w:bCs w:val="1"/>
                <w:color w:val="auto"/>
              </w:rPr>
              <w:t>Financial Summary</w:t>
            </w: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8"/>
        </w:trPr>
        <w:tc>
          <w:tcPr>
            <w:tcW w:w="8100" w:type="dxa"/>
            <w:vAlign w:val="bottom"/>
          </w:tcPr>
          <w:p>
            <w:pPr>
              <w:spacing w:after="0"/>
              <w:rPr>
                <w:sz w:val="20"/>
                <w:szCs w:val="20"/>
                <w:color w:val="auto"/>
              </w:rPr>
            </w:pPr>
            <w:r>
              <w:rPr>
                <w:rFonts w:ascii="Arial" w:cs="Arial" w:eastAsia="Arial" w:hAnsi="Arial"/>
                <w:sz w:val="16"/>
                <w:szCs w:val="16"/>
                <w:b w:val="1"/>
                <w:bCs w:val="1"/>
                <w:i w:val="1"/>
                <w:iCs w:val="1"/>
                <w:color w:val="auto"/>
              </w:rPr>
              <w:t>Amounts in thousands of U.S. Dollars</w:t>
            </w:r>
          </w:p>
        </w:tc>
        <w:tc>
          <w:tcPr>
            <w:tcW w:w="380" w:type="dxa"/>
            <w:vAlign w:val="bottom"/>
          </w:tcPr>
          <w:p>
            <w:pPr>
              <w:spacing w:after="0"/>
              <w:rPr>
                <w:sz w:val="24"/>
                <w:szCs w:val="24"/>
                <w:color w:val="auto"/>
              </w:rPr>
            </w:pPr>
          </w:p>
        </w:tc>
        <w:tc>
          <w:tcPr>
            <w:tcW w:w="2100" w:type="dxa"/>
            <w:vAlign w:val="bottom"/>
            <w:gridSpan w:val="3"/>
          </w:tcPr>
          <w:p>
            <w:pPr>
              <w:ind w:left="180"/>
              <w:spacing w:after="0"/>
              <w:rPr>
                <w:sz w:val="20"/>
                <w:szCs w:val="20"/>
                <w:color w:val="auto"/>
              </w:rPr>
            </w:pPr>
            <w:r>
              <w:rPr>
                <w:rFonts w:ascii="Arial" w:cs="Arial" w:eastAsia="Arial" w:hAnsi="Arial"/>
                <w:sz w:val="16"/>
                <w:szCs w:val="16"/>
                <w:b w:val="1"/>
                <w:bCs w:val="1"/>
                <w:color w:val="auto"/>
                <w:w w:val="89"/>
              </w:rPr>
              <w:t>For the three months ended</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3"/>
        </w:trPr>
        <w:tc>
          <w:tcPr>
            <w:tcW w:w="8100" w:type="dxa"/>
            <w:vAlign w:val="bottom"/>
          </w:tcPr>
          <w:p>
            <w:pPr>
              <w:spacing w:after="0"/>
              <w:rPr>
                <w:sz w:val="20"/>
                <w:szCs w:val="20"/>
                <w:color w:val="auto"/>
              </w:rPr>
            </w:pPr>
          </w:p>
        </w:tc>
        <w:tc>
          <w:tcPr>
            <w:tcW w:w="134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 2022</w:t>
            </w:r>
          </w:p>
        </w:tc>
        <w:tc>
          <w:tcPr>
            <w:tcW w:w="340" w:type="dxa"/>
            <w:vAlign w:val="bottom"/>
          </w:tcPr>
          <w:p>
            <w:pPr>
              <w:spacing w:after="0"/>
              <w:rPr>
                <w:sz w:val="20"/>
                <w:szCs w:val="20"/>
                <w:color w:val="auto"/>
              </w:rPr>
            </w:pPr>
          </w:p>
        </w:tc>
        <w:tc>
          <w:tcPr>
            <w:tcW w:w="1460" w:type="dxa"/>
            <w:vAlign w:val="bottom"/>
            <w:gridSpan w:val="3"/>
          </w:tcPr>
          <w:p>
            <w:pPr>
              <w:ind w:left="140"/>
              <w:spacing w:after="0"/>
              <w:rPr>
                <w:sz w:val="20"/>
                <w:szCs w:val="20"/>
                <w:color w:val="auto"/>
              </w:rPr>
            </w:pPr>
            <w:r>
              <w:rPr>
                <w:rFonts w:ascii="Arial" w:cs="Arial" w:eastAsia="Arial" w:hAnsi="Arial"/>
                <w:sz w:val="16"/>
                <w:szCs w:val="16"/>
                <w:b w:val="1"/>
                <w:bCs w:val="1"/>
                <w:color w:val="auto"/>
              </w:rPr>
              <w:t>March 31, 2023</w:t>
            </w:r>
          </w:p>
        </w:tc>
      </w:tr>
      <w:tr>
        <w:trPr>
          <w:trHeight w:val="199"/>
        </w:trPr>
        <w:tc>
          <w:tcPr>
            <w:tcW w:w="8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Revenues</w:t>
            </w:r>
          </w:p>
        </w:tc>
        <w:tc>
          <w:tcPr>
            <w:tcW w:w="3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213,723</w:t>
            </w:r>
          </w:p>
        </w:tc>
        <w:tc>
          <w:tcPr>
            <w:tcW w:w="3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231,299</w:t>
            </w:r>
          </w:p>
        </w:tc>
        <w:tc>
          <w:tcPr>
            <w:tcW w:w="100" w:type="dxa"/>
            <w:vAlign w:val="bottom"/>
            <w:tcBorders>
              <w:top w:val="single" w:sz="8" w:color="CCEEFF"/>
            </w:tcBorders>
            <w:shd w:val="clear" w:color="auto" w:fill="CCEEFF"/>
          </w:tcPr>
          <w:p>
            <w:pPr>
              <w:spacing w:after="0"/>
              <w:rPr>
                <w:sz w:val="17"/>
                <w:szCs w:val="17"/>
                <w:color w:val="auto"/>
              </w:rPr>
            </w:pPr>
          </w:p>
        </w:tc>
      </w:tr>
      <w:tr>
        <w:trPr>
          <w:trHeight w:val="213"/>
        </w:trPr>
        <w:tc>
          <w:tcPr>
            <w:tcW w:w="8100" w:type="dxa"/>
            <w:vAlign w:val="bottom"/>
          </w:tcPr>
          <w:p>
            <w:pPr>
              <w:spacing w:after="0"/>
              <w:rPr>
                <w:sz w:val="20"/>
                <w:szCs w:val="20"/>
                <w:color w:val="auto"/>
              </w:rPr>
            </w:pPr>
            <w:r>
              <w:rPr>
                <w:rFonts w:ascii="Arial" w:cs="Arial" w:eastAsia="Arial" w:hAnsi="Arial"/>
                <w:sz w:val="16"/>
                <w:szCs w:val="16"/>
                <w:color w:val="auto"/>
              </w:rPr>
              <w:t>Profit for the period</w:t>
            </w:r>
          </w:p>
        </w:tc>
        <w:tc>
          <w:tcPr>
            <w:tcW w:w="380" w:type="dxa"/>
            <w:vAlign w:val="bottom"/>
          </w:tcPr>
          <w:p>
            <w:pPr>
              <w:ind w:left="1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71,052</w:t>
            </w:r>
          </w:p>
        </w:tc>
        <w:tc>
          <w:tcPr>
            <w:tcW w:w="114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45,024</w:t>
            </w:r>
          </w:p>
        </w:tc>
        <w:tc>
          <w:tcPr>
            <w:tcW w:w="100" w:type="dxa"/>
            <w:vAlign w:val="bottom"/>
          </w:tcPr>
          <w:p>
            <w:pPr>
              <w:spacing w:after="0"/>
              <w:rPr>
                <w:sz w:val="18"/>
                <w:szCs w:val="18"/>
                <w:color w:val="auto"/>
              </w:rPr>
            </w:pPr>
          </w:p>
        </w:tc>
      </w:tr>
      <w:tr>
        <w:trPr>
          <w:trHeight w:val="246"/>
        </w:trPr>
        <w:tc>
          <w:tcPr>
            <w:tcW w:w="8100" w:type="dxa"/>
            <w:vAlign w:val="bottom"/>
            <w:shd w:val="clear" w:color="auto" w:fill="CCEEFF"/>
          </w:tcPr>
          <w:p>
            <w:pPr>
              <w:spacing w:after="0" w:line="246" w:lineRule="exact"/>
              <w:rPr>
                <w:sz w:val="20"/>
                <w:szCs w:val="20"/>
                <w:color w:val="auto"/>
              </w:rPr>
            </w:pPr>
            <w:r>
              <w:rPr>
                <w:rFonts w:ascii="Arial" w:cs="Arial" w:eastAsia="Arial" w:hAnsi="Arial"/>
                <w:sz w:val="16"/>
                <w:szCs w:val="16"/>
                <w:color w:val="auto"/>
              </w:rPr>
              <w:t>Adjusted EBITDA</w:t>
            </w:r>
            <w:r>
              <w:rPr>
                <w:rFonts w:ascii="Arial" w:cs="Arial" w:eastAsia="Arial" w:hAnsi="Arial"/>
                <w:sz w:val="26"/>
                <w:szCs w:val="26"/>
                <w:color w:val="auto"/>
                <w:vertAlign w:val="superscript"/>
              </w:rPr>
              <w:t>1</w:t>
            </w:r>
          </w:p>
        </w:tc>
        <w:tc>
          <w:tcPr>
            <w:tcW w:w="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157,533</w:t>
            </w:r>
          </w:p>
        </w:tc>
        <w:tc>
          <w:tcPr>
            <w:tcW w:w="114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180,088</w:t>
            </w:r>
          </w:p>
        </w:tc>
        <w:tc>
          <w:tcPr>
            <w:tcW w:w="100" w:type="dxa"/>
            <w:vAlign w:val="bottom"/>
            <w:shd w:val="clear" w:color="auto" w:fill="CCEEFF"/>
          </w:tcPr>
          <w:p>
            <w:pPr>
              <w:spacing w:after="0"/>
              <w:rPr>
                <w:sz w:val="21"/>
                <w:szCs w:val="21"/>
                <w:color w:val="auto"/>
              </w:rPr>
            </w:pPr>
          </w:p>
        </w:tc>
      </w:tr>
      <w:tr>
        <w:trPr>
          <w:trHeight w:val="244"/>
        </w:trPr>
        <w:tc>
          <w:tcPr>
            <w:tcW w:w="8100" w:type="dxa"/>
            <w:vAlign w:val="bottom"/>
          </w:tcPr>
          <w:p>
            <w:pPr>
              <w:spacing w:after="0" w:line="245" w:lineRule="exact"/>
              <w:rPr>
                <w:sz w:val="20"/>
                <w:szCs w:val="20"/>
                <w:color w:val="auto"/>
              </w:rPr>
            </w:pPr>
            <w:r>
              <w:rPr>
                <w:rFonts w:ascii="Arial" w:cs="Arial" w:eastAsia="Arial" w:hAnsi="Arial"/>
                <w:sz w:val="16"/>
                <w:szCs w:val="16"/>
                <w:color w:val="auto"/>
              </w:rPr>
              <w:t>Adjusted Profit</w:t>
            </w:r>
            <w:r>
              <w:rPr>
                <w:rFonts w:ascii="Arial" w:cs="Arial" w:eastAsia="Arial" w:hAnsi="Arial"/>
                <w:sz w:val="26"/>
                <w:szCs w:val="26"/>
                <w:color w:val="auto"/>
                <w:vertAlign w:val="superscript"/>
              </w:rPr>
              <w:t>1</w:t>
            </w:r>
          </w:p>
        </w:tc>
        <w:tc>
          <w:tcPr>
            <w:tcW w:w="380" w:type="dxa"/>
            <w:vAlign w:val="bottom"/>
          </w:tcPr>
          <w:p>
            <w:pPr>
              <w:ind w:left="1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58,034</w:t>
            </w:r>
          </w:p>
        </w:tc>
        <w:tc>
          <w:tcPr>
            <w:tcW w:w="114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69,959</w:t>
            </w:r>
          </w:p>
        </w:tc>
        <w:tc>
          <w:tcPr>
            <w:tcW w:w="100" w:type="dxa"/>
            <w:vAlign w:val="bottom"/>
          </w:tcPr>
          <w:p>
            <w:pPr>
              <w:spacing w:after="0"/>
              <w:rPr>
                <w:sz w:val="21"/>
                <w:szCs w:val="21"/>
                <w:color w:val="auto"/>
              </w:rPr>
            </w:pPr>
          </w:p>
        </w:tc>
      </w:tr>
    </w:tbl>
    <w:p>
      <w:pPr>
        <w:spacing w:after="0" w:line="66" w:lineRule="exact"/>
        <w:rPr>
          <w:sz w:val="20"/>
          <w:szCs w:val="20"/>
          <w:color w:val="auto"/>
        </w:rPr>
      </w:pPr>
    </w:p>
    <w:p>
      <w:pPr>
        <w:jc w:val="both"/>
        <w:ind w:right="20" w:firstLine="48"/>
        <w:spacing w:after="0" w:line="180" w:lineRule="auto"/>
        <w:tabs>
          <w:tab w:leader="none" w:pos="153" w:val="left"/>
        </w:tabs>
        <w:numPr>
          <w:ilvl w:val="0"/>
          <w:numId w:val="1"/>
        </w:numPr>
        <w:rPr>
          <w:rFonts w:ascii="Arial" w:cs="Arial" w:eastAsia="Arial" w:hAnsi="Arial"/>
          <w:sz w:val="27"/>
          <w:szCs w:val="27"/>
          <w:color w:val="auto"/>
          <w:vertAlign w:val="superscript"/>
        </w:rPr>
      </w:pPr>
      <w:r>
        <w:rPr>
          <w:rFonts w:ascii="Arial" w:cs="Arial" w:eastAsia="Arial" w:hAnsi="Arial"/>
          <w:sz w:val="13"/>
          <w:szCs w:val="13"/>
          <w:color w:val="auto"/>
        </w:rPr>
        <w:t>Adjusted EBITDA and Adjusted Profit are non-GAAP financial measures and should not be used in isolation or as substitutes for GasLog’s financial results presented in accordance with International Financial Reporting Standards (“IFRS”). For the definitions and reconciliations of these measures to the most directly comparable financial measures calculated and presented in accordance with IFRS, please refer to Exhibit II at the end of this press release.</w:t>
      </w:r>
    </w:p>
    <w:p>
      <w:pPr>
        <w:spacing w:after="0" w:line="182" w:lineRule="exact"/>
        <w:rPr>
          <w:sz w:val="20"/>
          <w:szCs w:val="20"/>
          <w:color w:val="auto"/>
        </w:rPr>
      </w:pPr>
    </w:p>
    <w:p>
      <w:pPr>
        <w:ind w:right="80" w:firstLine="383"/>
        <w:spacing w:after="0" w:line="269" w:lineRule="auto"/>
        <w:rPr>
          <w:sz w:val="20"/>
          <w:szCs w:val="20"/>
          <w:color w:val="auto"/>
        </w:rPr>
      </w:pPr>
      <w:r>
        <w:rPr>
          <w:rFonts w:ascii="Arial" w:cs="Arial" w:eastAsia="Arial" w:hAnsi="Arial"/>
          <w:sz w:val="16"/>
          <w:szCs w:val="16"/>
          <w:color w:val="auto"/>
        </w:rPr>
        <w:t xml:space="preserve">There were 2,908 available days for the quarter ended March 31, 2023, as compared to 3,150 available days for the quarter ended March 31, 2022. Available days represent total calendar days in the period after deducting off-hire days where vessels are undergoing dry-dockings and unavailable days (for example, days before and after a dry-docking where the vessel has limited practical ability for chartering opportunities). The decrease in available days was attributable to the sale of the </w:t>
      </w:r>
      <w:r>
        <w:rPr>
          <w:rFonts w:ascii="Arial" w:cs="Arial" w:eastAsia="Arial" w:hAnsi="Arial"/>
          <w:sz w:val="16"/>
          <w:szCs w:val="16"/>
          <w:i w:val="1"/>
          <w:iCs w:val="1"/>
          <w:color w:val="auto"/>
        </w:rPr>
        <w:t>Methane Shirley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Elisabeth </w:t>
      </w:r>
      <w:r>
        <w:rPr>
          <w:rFonts w:ascii="Arial" w:cs="Arial" w:eastAsia="Arial" w:hAnsi="Arial"/>
          <w:sz w:val="16"/>
          <w:szCs w:val="16"/>
          <w:color w:val="auto"/>
        </w:rPr>
        <w:t>in September 2022, the increase in off-hire days for scheduled dry-dockings (nil dry-docking off-hire days in the three-month period ended March 31, 2022,</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compared to 65 dry-docking off-hire days in the three-month period ended March 31, 2023) and to the Floating Storage Regasification Unit (“FSRU”) conversion of the </w:t>
      </w:r>
      <w:r>
        <w:rPr>
          <w:rFonts w:ascii="Arial" w:cs="Arial" w:eastAsia="Arial" w:hAnsi="Arial"/>
          <w:sz w:val="16"/>
          <w:szCs w:val="16"/>
          <w:i w:val="1"/>
          <w:iCs w:val="1"/>
          <w:color w:val="auto"/>
        </w:rPr>
        <w:t xml:space="preserve">Alexandroupoli </w:t>
      </w:r>
      <w:r>
        <w:rPr>
          <w:rFonts w:ascii="Arial" w:cs="Arial" w:eastAsia="Arial" w:hAnsi="Arial"/>
          <w:sz w:val="16"/>
          <w:szCs w:val="16"/>
          <w:color w:val="auto"/>
        </w:rPr>
        <w:t>that started in February 2023.</w:t>
      </w:r>
    </w:p>
    <w:p>
      <w:pPr>
        <w:spacing w:after="0" w:line="180" w:lineRule="exact"/>
        <w:rPr>
          <w:sz w:val="20"/>
          <w:szCs w:val="20"/>
          <w:color w:val="auto"/>
        </w:rPr>
      </w:pPr>
    </w:p>
    <w:p>
      <w:pPr>
        <w:ind w:right="100" w:firstLine="383"/>
        <w:spacing w:after="0" w:line="297" w:lineRule="auto"/>
        <w:rPr>
          <w:sz w:val="20"/>
          <w:szCs w:val="20"/>
          <w:color w:val="auto"/>
        </w:rPr>
      </w:pPr>
      <w:r>
        <w:rPr>
          <w:rFonts w:ascii="Arial" w:cs="Arial" w:eastAsia="Arial" w:hAnsi="Arial"/>
          <w:sz w:val="15"/>
          <w:szCs w:val="15"/>
          <w:color w:val="auto"/>
        </w:rPr>
        <w:t xml:space="preserve">Revenues were $231.3 million for the quarter ended March 31, 2023 ($213.7 million for the quarter ended March 31, 2022). The increase in revenues is mainly attributable to a net increase in revenues from our vessels operating in the spot and short-term markets in the first quarter of 2023, under time charters that were executed in 2022. This net increase was partially offset by a decrease in revenues from the off-hire days due to the scheduled dry-docking of our vessels in the first quarter of 2023 (nil dry-dockings in the same period in 2022) and the sale of the </w:t>
      </w:r>
      <w:r>
        <w:rPr>
          <w:rFonts w:ascii="Arial" w:cs="Arial" w:eastAsia="Arial" w:hAnsi="Arial"/>
          <w:sz w:val="15"/>
          <w:szCs w:val="15"/>
          <w:i w:val="1"/>
          <w:iCs w:val="1"/>
          <w:color w:val="auto"/>
        </w:rPr>
        <w:t>Methane Shirley Elisabeth</w:t>
      </w:r>
      <w:r>
        <w:rPr>
          <w:rFonts w:ascii="Arial" w:cs="Arial" w:eastAsia="Arial" w:hAnsi="Arial"/>
          <w:sz w:val="15"/>
          <w:szCs w:val="15"/>
          <w:color w:val="auto"/>
        </w:rPr>
        <w:t xml:space="preserve"> in the third quarter of 2022.</w:t>
      </w:r>
    </w:p>
    <w:p>
      <w:pPr>
        <w:spacing w:after="0" w:line="159" w:lineRule="exact"/>
        <w:rPr>
          <w:sz w:val="20"/>
          <w:szCs w:val="20"/>
          <w:color w:val="auto"/>
        </w:rPr>
      </w:pPr>
    </w:p>
    <w:p>
      <w:pPr>
        <w:ind w:right="60" w:firstLine="383"/>
        <w:spacing w:after="0" w:line="293" w:lineRule="auto"/>
        <w:rPr>
          <w:sz w:val="20"/>
          <w:szCs w:val="20"/>
          <w:color w:val="auto"/>
        </w:rPr>
      </w:pPr>
      <w:r>
        <w:rPr>
          <w:rFonts w:ascii="Arial" w:cs="Arial" w:eastAsia="Arial" w:hAnsi="Arial"/>
          <w:sz w:val="15"/>
          <w:szCs w:val="15"/>
          <w:color w:val="auto"/>
        </w:rPr>
        <w:t>Profit for the period was $45.0 million for the quarter ended March 31, 2023 (profit of $71.1 million for the quarter ended March 31, 2022). The decrease in profit is mainly attributable to the decrease in gain from marked-to-market valuation of our derivative financial instruments carried at fair value through profit or loss due to changes in the forward yield curve and the increase in financial costs, mainly attributable to the increase in interest expense on loans, partially offset by the decrease in realized loss from derivatives held for trading, both as a result of the increased interest rates in the first quarter of 2023 as compared to the same period in 2022, the increase in revenues, as discussed above, and the decrease in non-cash impairment loss recognized in the first quarter of 2023 compared to the same quarter in 2022.</w:t>
      </w:r>
    </w:p>
    <w:p>
      <w:pPr>
        <w:spacing w:after="0" w:line="162" w:lineRule="exact"/>
        <w:rPr>
          <w:sz w:val="20"/>
          <w:szCs w:val="20"/>
          <w:color w:val="auto"/>
        </w:rPr>
      </w:pPr>
    </w:p>
    <w:p>
      <w:pPr>
        <w:ind w:firstLine="383"/>
        <w:spacing w:after="0" w:line="273" w:lineRule="auto"/>
        <w:rPr>
          <w:sz w:val="20"/>
          <w:szCs w:val="20"/>
          <w:color w:val="auto"/>
        </w:rPr>
      </w:pPr>
      <w:r>
        <w:rPr>
          <w:rFonts w:ascii="Arial" w:cs="Arial" w:eastAsia="Arial" w:hAnsi="Arial"/>
          <w:sz w:val="16"/>
          <w:szCs w:val="16"/>
          <w:color w:val="auto"/>
        </w:rPr>
        <w:t>Adjusted EBITDA was $180.1 million for the quarter ended March 31, 2023 ($157.5 million for the quarter ended March 31, 2022). The increase in Adjusted EBITDA is mainly attributable to the increase in revenues of $17.6 million, as discussed above and a decrease of $3.6 million in vessel operating and supervision costs, largely related to cost savings in 2023 following the relaxation of our COVID-19 enhanced protocols and a more favorable Euro/United States Dollar exchange rate in the first quarter of 2023 compared to the same period in 2022.</w:t>
      </w:r>
    </w:p>
    <w:p>
      <w:pPr>
        <w:spacing w:after="0" w:line="175" w:lineRule="exact"/>
        <w:rPr>
          <w:sz w:val="20"/>
          <w:szCs w:val="20"/>
          <w:color w:val="auto"/>
        </w:rPr>
      </w:pPr>
    </w:p>
    <w:p>
      <w:pPr>
        <w:ind w:right="160" w:firstLine="383"/>
        <w:spacing w:after="0" w:line="305" w:lineRule="auto"/>
        <w:rPr>
          <w:sz w:val="20"/>
          <w:szCs w:val="20"/>
          <w:color w:val="auto"/>
        </w:rPr>
      </w:pPr>
      <w:r>
        <w:rPr>
          <w:rFonts w:ascii="Arial" w:cs="Arial" w:eastAsia="Arial" w:hAnsi="Arial"/>
          <w:sz w:val="15"/>
          <w:szCs w:val="15"/>
          <w:color w:val="auto"/>
        </w:rPr>
        <w:t>Adjusted Profit was $70.0 million for the quarter ended March 31, 2023 ($58.0 million for the quarter ended March 31, 2022). The increase in Adjusted Profit is mainly attributable to the increase in Adjusted EBITDA, the decrease in realized loss from derivatives held for trading and the increase in financial income, partially offset by the increase in financial costs, all as a result of the increase in interest rates in the first quarter of 2023 as compared to the same period in 2022.</w:t>
      </w:r>
    </w:p>
    <w:p>
      <w:pPr>
        <w:spacing w:after="0" w:line="152" w:lineRule="exact"/>
        <w:rPr>
          <w:sz w:val="20"/>
          <w:szCs w:val="20"/>
          <w:color w:val="auto"/>
        </w:rPr>
      </w:pPr>
    </w:p>
    <w:p>
      <w:pPr>
        <w:ind w:right="380" w:firstLine="383"/>
        <w:spacing w:after="0" w:line="293" w:lineRule="auto"/>
        <w:rPr>
          <w:sz w:val="20"/>
          <w:szCs w:val="20"/>
          <w:color w:val="auto"/>
        </w:rPr>
      </w:pPr>
      <w:r>
        <w:rPr>
          <w:rFonts w:ascii="Arial" w:cs="Arial" w:eastAsia="Arial" w:hAnsi="Arial"/>
          <w:sz w:val="16"/>
          <w:szCs w:val="16"/>
          <w:color w:val="auto"/>
        </w:rPr>
        <w:t>As of March 31, 2023, GasLog had $413.1 million of cash and cash equivalents. An additional amount of $91.5 million of time deposits with an original duration greater than three months was classified under short-term cash deposits.</w:t>
      </w:r>
    </w:p>
    <w:p>
      <w:pPr>
        <w:spacing w:after="0" w:line="158" w:lineRule="exact"/>
        <w:rPr>
          <w:sz w:val="20"/>
          <w:szCs w:val="20"/>
          <w:color w:val="auto"/>
        </w:rPr>
      </w:pPr>
    </w:p>
    <w:p>
      <w:pPr>
        <w:ind w:right="60" w:firstLine="383"/>
        <w:spacing w:after="0" w:line="293" w:lineRule="auto"/>
        <w:rPr>
          <w:sz w:val="20"/>
          <w:szCs w:val="20"/>
          <w:color w:val="auto"/>
        </w:rPr>
      </w:pPr>
      <w:r>
        <w:rPr>
          <w:rFonts w:ascii="Arial" w:cs="Arial" w:eastAsia="Arial" w:hAnsi="Arial"/>
          <w:sz w:val="15"/>
          <w:szCs w:val="15"/>
          <w:color w:val="auto"/>
        </w:rPr>
        <w:t>As of March 31, 2023, GasLog had an aggregate of $3.0 billion of indebtedness outstanding under its credit facilities and bond agreements, of which $372.3 million is repayable within one year. Current bank borrowings include an amount of a) $156.7 million with respect to the credit facility of up to $450.0 million of GAS-four Ltd., GAS-sixteen Ltd. and GAS-seventeen Ltd. with Credit Suisse AG, Nordea Bank Abp, filial I Norge, Iyo Bank Ltd., Singapore Branch and the Development Bank of Japan, Inc. which matures in February 2024 and b) $32.5 million with respect to the associated debt of the vessel classified as held for sale as of March 31, 2023. Furthermore, as of March 31, 2023, we also had an aggregate of $435.7 million of lease liabilities, of which $69.6 million is payable within one year.</w:t>
      </w:r>
    </w:p>
    <w:p>
      <w:pPr>
        <w:spacing w:after="0" w:line="162" w:lineRule="exact"/>
        <w:rPr>
          <w:sz w:val="20"/>
          <w:szCs w:val="20"/>
          <w:color w:val="auto"/>
        </w:rPr>
      </w:pPr>
    </w:p>
    <w:p>
      <w:pPr>
        <w:ind w:right="40" w:firstLine="383"/>
        <w:spacing w:after="0" w:line="328" w:lineRule="auto"/>
        <w:rPr>
          <w:sz w:val="20"/>
          <w:szCs w:val="20"/>
          <w:color w:val="auto"/>
        </w:rPr>
      </w:pPr>
      <w:r>
        <w:rPr>
          <w:rFonts w:ascii="Arial" w:cs="Arial" w:eastAsia="Arial" w:hAnsi="Arial"/>
          <w:sz w:val="15"/>
          <w:szCs w:val="15"/>
          <w:color w:val="auto"/>
        </w:rPr>
        <w:t>As of March 31, 2023, the total remaining balance of the contract prices of the four LNG carriers on order was $639.0 million, of which $82.8 million is due within 12 months and will be funded by the four sale and leaseback agreements entered into on July 6, 2022 with CMB Financial Leasing Co., Ltd. (“CMBFL”).</w:t>
      </w:r>
    </w:p>
    <w:p>
      <w:pPr>
        <w:spacing w:after="0" w:line="136" w:lineRule="exact"/>
        <w:rPr>
          <w:sz w:val="20"/>
          <w:szCs w:val="20"/>
          <w:color w:val="auto"/>
        </w:rPr>
      </w:pPr>
    </w:p>
    <w:p>
      <w:pPr>
        <w:ind w:right="140" w:firstLine="383"/>
        <w:spacing w:after="0" w:line="278" w:lineRule="auto"/>
        <w:rPr>
          <w:sz w:val="20"/>
          <w:szCs w:val="20"/>
          <w:color w:val="auto"/>
        </w:rPr>
      </w:pPr>
      <w:r>
        <w:rPr>
          <w:rFonts w:ascii="Arial" w:cs="Arial" w:eastAsia="Arial" w:hAnsi="Arial"/>
          <w:sz w:val="16"/>
          <w:szCs w:val="16"/>
          <w:color w:val="auto"/>
        </w:rPr>
        <w:t>As of March 31, 2023, GasLog’s current assets totaled $625.2 million, while current liabilities totaled $625.3 million, resulting in a negative working capital position of $0.1 million. Current liabilities include $66.5 million of unearned revenue in relation to hires received in advance of March 31, 2023 (which represents a non-cash liability that will be recognized as revenue in April 2023 as the services are rendered).</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GasLog Partners Preference Unit Repurchase Programme</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In the quarter ended March 31, 2023, there were no repurchases of preference units, due to an extended blackout period in relation to the Transaction.</w:t>
      </w:r>
    </w:p>
    <w:p>
      <w:pPr>
        <w:spacing w:after="0" w:line="221" w:lineRule="exact"/>
        <w:rPr>
          <w:sz w:val="20"/>
          <w:szCs w:val="20"/>
          <w:color w:val="auto"/>
        </w:rPr>
      </w:pPr>
    </w:p>
    <w:p>
      <w:pPr>
        <w:ind w:right="460" w:firstLine="383"/>
        <w:spacing w:after="0" w:line="293" w:lineRule="auto"/>
        <w:rPr>
          <w:sz w:val="20"/>
          <w:szCs w:val="20"/>
          <w:color w:val="auto"/>
        </w:rPr>
      </w:pPr>
      <w:r>
        <w:rPr>
          <w:rFonts w:ascii="Arial" w:cs="Arial" w:eastAsia="Arial" w:hAnsi="Arial"/>
          <w:sz w:val="16"/>
          <w:szCs w:val="16"/>
          <w:color w:val="auto"/>
        </w:rPr>
        <w:t>Since inception of the GasLog Partners’ preference unit repurchase programme in March 2021, and up to March 31, 2023, GasLog Partners has repurchased and cancelled 665,016 8.625% Series A Cumulative Redeemable Perpetual Fixed to Floating Rate Preference Units, 1,103,618</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 w:name="page6"/>
    <w:bookmarkEnd w:id="5"/>
    <w:p>
      <w:pPr>
        <w:ind w:right="400"/>
        <w:spacing w:after="0" w:line="278" w:lineRule="auto"/>
        <w:rPr>
          <w:sz w:val="20"/>
          <w:szCs w:val="20"/>
          <w:color w:val="auto"/>
        </w:rPr>
      </w:pPr>
      <w:r>
        <w:rPr>
          <w:rFonts w:ascii="Arial" w:cs="Arial" w:eastAsia="Arial" w:hAnsi="Arial"/>
          <w:sz w:val="16"/>
          <w:szCs w:val="16"/>
          <w:color w:val="auto"/>
        </w:rPr>
        <w:t>8.200% Series B Cumulative Redeemable Perpetual Fixed to Floating Rate Preference Units and 938,955 8.500% Series C Cumulative Redeemable Perpetual Fixed to Floating Rate Preference Units, at a weighted average price of $24.64, $25.01 and $25.03 per preference unit for Series A, Series B and Series C, respectively, for an aggregate amount of $67.6 million, including commissions.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Fleet Update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Owned Fleet</w:t>
      </w:r>
    </w:p>
    <w:p>
      <w:pPr>
        <w:spacing w:after="0" w:line="22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As of May 11, 2023, our wholly owned fleet consisted of the following vessels: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5"/>
              </w:rPr>
              <w:t>Cargo</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6"/>
              </w:rPr>
              <w:t>Charterer (for</w:t>
            </w:r>
          </w:p>
        </w:tc>
        <w:tc>
          <w:tcPr>
            <w:tcW w:w="1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Charter</w:t>
            </w:r>
          </w:p>
        </w:tc>
        <w:tc>
          <w:tcPr>
            <w:tcW w:w="100" w:type="dxa"/>
            <w:vAlign w:val="bottom"/>
          </w:tcPr>
          <w:p>
            <w:pPr>
              <w:spacing w:after="0"/>
              <w:rPr>
                <w:sz w:val="17"/>
                <w:szCs w:val="17"/>
                <w:color w:val="auto"/>
              </w:rPr>
            </w:pPr>
          </w:p>
        </w:tc>
        <w:tc>
          <w:tcPr>
            <w:tcW w:w="10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Optional</w:t>
            </w:r>
          </w:p>
        </w:tc>
        <w:tc>
          <w:tcPr>
            <w:tcW w:w="0" w:type="dxa"/>
            <w:vAlign w:val="bottom"/>
          </w:tcPr>
          <w:p>
            <w:pPr>
              <w:spacing w:after="0"/>
              <w:rPr>
                <w:sz w:val="1"/>
                <w:szCs w:val="1"/>
                <w:color w:val="auto"/>
              </w:rPr>
            </w:pPr>
          </w:p>
        </w:tc>
      </w:tr>
      <w:tr>
        <w:trPr>
          <w:trHeight w:val="163"/>
        </w:trPr>
        <w:tc>
          <w:tcPr>
            <w:tcW w:w="2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ind w:left="200"/>
              <w:spacing w:after="0" w:line="163" w:lineRule="exact"/>
              <w:rPr>
                <w:sz w:val="20"/>
                <w:szCs w:val="20"/>
                <w:color w:val="auto"/>
              </w:rPr>
            </w:pPr>
            <w:r>
              <w:rPr>
                <w:rFonts w:ascii="Arial" w:cs="Arial" w:eastAsia="Arial" w:hAnsi="Arial"/>
                <w:sz w:val="16"/>
                <w:szCs w:val="16"/>
                <w:b w:val="1"/>
                <w:bCs w:val="1"/>
                <w:color w:val="auto"/>
              </w:rPr>
              <w:t>Year</w:t>
            </w:r>
          </w:p>
        </w:tc>
        <w:tc>
          <w:tcPr>
            <w:tcW w:w="120" w:type="dxa"/>
            <w:vAlign w:val="bottom"/>
          </w:tcPr>
          <w:p>
            <w:pPr>
              <w:spacing w:after="0"/>
              <w:rPr>
                <w:sz w:val="14"/>
                <w:szCs w:val="14"/>
                <w:color w:val="auto"/>
              </w:rPr>
            </w:pPr>
          </w:p>
        </w:tc>
        <w:tc>
          <w:tcPr>
            <w:tcW w:w="1000" w:type="dxa"/>
            <w:vAlign w:val="bottom"/>
          </w:tcPr>
          <w:p>
            <w:pPr>
              <w:jc w:val="center"/>
              <w:spacing w:after="0" w:line="163" w:lineRule="exact"/>
              <w:rPr>
                <w:sz w:val="20"/>
                <w:szCs w:val="20"/>
                <w:color w:val="auto"/>
              </w:rPr>
            </w:pPr>
            <w:r>
              <w:rPr>
                <w:rFonts w:ascii="Arial" w:cs="Arial" w:eastAsia="Arial" w:hAnsi="Arial"/>
                <w:sz w:val="16"/>
                <w:szCs w:val="16"/>
                <w:b w:val="1"/>
                <w:bCs w:val="1"/>
                <w:color w:val="auto"/>
                <w:w w:val="95"/>
              </w:rPr>
              <w:t>Capacity</w:t>
            </w:r>
          </w:p>
        </w:tc>
        <w:tc>
          <w:tcPr>
            <w:tcW w:w="120" w:type="dxa"/>
            <w:vAlign w:val="bottom"/>
          </w:tcPr>
          <w:p>
            <w:pPr>
              <w:spacing w:after="0"/>
              <w:rPr>
                <w:sz w:val="14"/>
                <w:szCs w:val="14"/>
                <w:color w:val="auto"/>
              </w:rPr>
            </w:pPr>
          </w:p>
        </w:tc>
        <w:tc>
          <w:tcPr>
            <w:tcW w:w="1680" w:type="dxa"/>
            <w:vAlign w:val="bottom"/>
          </w:tcPr>
          <w:p>
            <w:pPr>
              <w:jc w:val="center"/>
              <w:spacing w:after="0" w:line="163" w:lineRule="exact"/>
              <w:rPr>
                <w:sz w:val="20"/>
                <w:szCs w:val="20"/>
                <w:color w:val="auto"/>
              </w:rPr>
            </w:pPr>
            <w:r>
              <w:rPr>
                <w:rFonts w:ascii="Arial" w:cs="Arial" w:eastAsia="Arial" w:hAnsi="Arial"/>
                <w:sz w:val="16"/>
                <w:szCs w:val="16"/>
                <w:b w:val="1"/>
                <w:bCs w:val="1"/>
                <w:color w:val="auto"/>
                <w:w w:val="88"/>
              </w:rPr>
              <w:t>contracts of more</w:t>
            </w:r>
          </w:p>
        </w:tc>
        <w:tc>
          <w:tcPr>
            <w:tcW w:w="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6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tcPr>
          <w:p>
            <w:pPr>
              <w:ind w:left="660"/>
              <w:spacing w:after="0"/>
              <w:rPr>
                <w:sz w:val="20"/>
                <w:szCs w:val="20"/>
                <w:color w:val="auto"/>
              </w:rPr>
            </w:pPr>
            <w:r>
              <w:rPr>
                <w:rFonts w:ascii="Arial" w:cs="Arial" w:eastAsia="Arial" w:hAnsi="Arial"/>
                <w:sz w:val="16"/>
                <w:szCs w:val="16"/>
                <w:b w:val="1"/>
                <w:bCs w:val="1"/>
                <w:color w:val="auto"/>
              </w:rPr>
              <w:t>Vessel Name</w:t>
            </w:r>
          </w:p>
        </w:tc>
        <w:tc>
          <w:tcPr>
            <w:tcW w:w="120" w:type="dxa"/>
            <w:vAlign w:val="bottom"/>
          </w:tcPr>
          <w:p>
            <w:pPr>
              <w:spacing w:after="0"/>
              <w:rPr>
                <w:sz w:val="22"/>
                <w:szCs w:val="22"/>
                <w:color w:val="auto"/>
              </w:rPr>
            </w:pPr>
          </w:p>
        </w:tc>
        <w:tc>
          <w:tcPr>
            <w:tcW w:w="78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Built</w:t>
            </w:r>
          </w:p>
        </w:tc>
        <w:tc>
          <w:tcPr>
            <w:tcW w:w="120" w:type="dxa"/>
            <w:vAlign w:val="bottom"/>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(cbm)</w:t>
            </w:r>
          </w:p>
        </w:tc>
        <w:tc>
          <w:tcPr>
            <w:tcW w:w="120" w:type="dxa"/>
            <w:vAlign w:val="bottom"/>
          </w:tcPr>
          <w:p>
            <w:pPr>
              <w:spacing w:after="0"/>
              <w:rPr>
                <w:sz w:val="22"/>
                <w:szCs w:val="22"/>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than six months)</w:t>
            </w:r>
          </w:p>
        </w:tc>
        <w:tc>
          <w:tcPr>
            <w:tcW w:w="120" w:type="dxa"/>
            <w:vAlign w:val="bottom"/>
          </w:tcPr>
          <w:p>
            <w:pPr>
              <w:spacing w:after="0"/>
              <w:rPr>
                <w:sz w:val="22"/>
                <w:szCs w:val="22"/>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Propulsion</w:t>
            </w: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center"/>
              <w:spacing w:after="0" w:line="256" w:lineRule="exact"/>
              <w:rPr>
                <w:sz w:val="20"/>
                <w:szCs w:val="20"/>
                <w:color w:val="auto"/>
              </w:rPr>
            </w:pPr>
            <w:r>
              <w:rPr>
                <w:rFonts w:ascii="Arial" w:cs="Arial" w:eastAsia="Arial" w:hAnsi="Arial"/>
                <w:sz w:val="16"/>
                <w:szCs w:val="16"/>
                <w:b w:val="1"/>
                <w:bCs w:val="1"/>
                <w:color w:val="auto"/>
                <w:w w:val="90"/>
              </w:rPr>
              <w:t>Expiration</w:t>
            </w:r>
            <w:r>
              <w:rPr>
                <w:rFonts w:ascii="Arial" w:cs="Arial" w:eastAsia="Arial" w:hAnsi="Arial"/>
                <w:sz w:val="26"/>
                <w:szCs w:val="26"/>
                <w:b w:val="1"/>
                <w:bCs w:val="1"/>
                <w:color w:val="auto"/>
                <w:w w:val="90"/>
                <w:vertAlign w:val="superscript"/>
              </w:rPr>
              <w:t>(1)</w:t>
            </w:r>
          </w:p>
        </w:tc>
        <w:tc>
          <w:tcPr>
            <w:tcW w:w="100" w:type="dxa"/>
            <w:vAlign w:val="bottom"/>
          </w:tcPr>
          <w:p>
            <w:pPr>
              <w:spacing w:after="0"/>
              <w:rPr>
                <w:sz w:val="22"/>
                <w:szCs w:val="22"/>
                <w:color w:val="auto"/>
              </w:rPr>
            </w:pPr>
          </w:p>
        </w:tc>
        <w:tc>
          <w:tcPr>
            <w:tcW w:w="1020" w:type="dxa"/>
            <w:vAlign w:val="bottom"/>
            <w:tcBorders>
              <w:bottom w:val="single" w:sz="8" w:color="auto"/>
            </w:tcBorders>
          </w:tcPr>
          <w:p>
            <w:pPr>
              <w:jc w:val="center"/>
              <w:spacing w:after="0" w:line="256" w:lineRule="exact"/>
              <w:rPr>
                <w:sz w:val="20"/>
                <w:szCs w:val="20"/>
                <w:color w:val="auto"/>
              </w:rPr>
            </w:pPr>
            <w:r>
              <w:rPr>
                <w:rFonts w:ascii="Arial" w:cs="Arial" w:eastAsia="Arial" w:hAnsi="Arial"/>
                <w:sz w:val="16"/>
                <w:szCs w:val="16"/>
                <w:b w:val="1"/>
                <w:bCs w:val="1"/>
                <w:color w:val="auto"/>
                <w:w w:val="87"/>
              </w:rPr>
              <w:t>Period</w:t>
            </w:r>
            <w:r>
              <w:rPr>
                <w:rFonts w:ascii="Arial" w:cs="Arial" w:eastAsia="Arial" w:hAnsi="Arial"/>
                <w:sz w:val="26"/>
                <w:szCs w:val="26"/>
                <w:b w:val="1"/>
                <w:bCs w:val="1"/>
                <w:color w:val="auto"/>
                <w:w w:val="87"/>
                <w:vertAlign w:val="superscript"/>
              </w:rPr>
              <w:t>(2)</w:t>
            </w:r>
          </w:p>
        </w:tc>
        <w:tc>
          <w:tcPr>
            <w:tcW w:w="0" w:type="dxa"/>
            <w:vAlign w:val="bottom"/>
          </w:tcPr>
          <w:p>
            <w:pPr>
              <w:spacing w:after="0"/>
              <w:rPr>
                <w:sz w:val="1"/>
                <w:szCs w:val="1"/>
                <w:color w:val="auto"/>
              </w:rPr>
            </w:pPr>
          </w:p>
        </w:tc>
      </w:tr>
      <w:tr>
        <w:trPr>
          <w:trHeight w:val="236"/>
        </w:trPr>
        <w:tc>
          <w:tcPr>
            <w:tcW w:w="2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1</w:t>
            </w:r>
          </w:p>
        </w:tc>
        <w:tc>
          <w:tcPr>
            <w:tcW w:w="2440" w:type="dxa"/>
            <w:vAlign w:val="bottom"/>
            <w:shd w:val="clear" w:color="auto" w:fill="CCEEFF"/>
          </w:tcPr>
          <w:p>
            <w:pPr>
              <w:ind w:left="80"/>
              <w:spacing w:after="0" w:line="236" w:lineRule="exact"/>
              <w:rPr>
                <w:sz w:val="20"/>
                <w:szCs w:val="20"/>
                <w:color w:val="auto"/>
              </w:rPr>
            </w:pPr>
            <w:r>
              <w:rPr>
                <w:rFonts w:ascii="Arial" w:cs="Arial" w:eastAsia="Arial" w:hAnsi="Arial"/>
                <w:sz w:val="16"/>
                <w:szCs w:val="16"/>
                <w:i w:val="1"/>
                <w:iCs w:val="1"/>
                <w:color w:val="auto"/>
              </w:rPr>
              <w:t xml:space="preserve">Alexandroupoli </w:t>
            </w:r>
            <w:r>
              <w:rPr>
                <w:rFonts w:ascii="Arial" w:cs="Arial" w:eastAsia="Arial" w:hAnsi="Arial"/>
                <w:sz w:val="26"/>
                <w:szCs w:val="26"/>
                <w:color w:val="auto"/>
                <w:vertAlign w:val="superscript"/>
              </w:rPr>
              <w:t>(3)</w:t>
            </w: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2010</w:t>
            </w:r>
          </w:p>
        </w:tc>
        <w:tc>
          <w:tcPr>
            <w:tcW w:w="11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153,600</w:t>
            </w: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n/a</w:t>
            </w:r>
          </w:p>
        </w:tc>
        <w:tc>
          <w:tcPr>
            <w:tcW w:w="120" w:type="dxa"/>
            <w:vAlign w:val="bottom"/>
            <w:shd w:val="clear" w:color="auto" w:fill="CCEEFF"/>
          </w:tcPr>
          <w:p>
            <w:pPr>
              <w:spacing w:after="0"/>
              <w:rPr>
                <w:sz w:val="20"/>
                <w:szCs w:val="20"/>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TFDE</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n/a</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n/a</w:t>
            </w:r>
          </w:p>
        </w:tc>
        <w:tc>
          <w:tcPr>
            <w:tcW w:w="0" w:type="dxa"/>
            <w:vAlign w:val="bottom"/>
          </w:tcPr>
          <w:p>
            <w:pPr>
              <w:spacing w:after="0"/>
              <w:rPr>
                <w:sz w:val="1"/>
                <w:szCs w:val="1"/>
                <w:color w:val="auto"/>
              </w:rPr>
            </w:pPr>
          </w:p>
        </w:tc>
      </w:tr>
      <w:tr>
        <w:trPr>
          <w:trHeight w:val="243"/>
        </w:trPr>
        <w:tc>
          <w:tcPr>
            <w:tcW w:w="260" w:type="dxa"/>
            <w:vAlign w:val="bottom"/>
          </w:tcPr>
          <w:p>
            <w:pPr>
              <w:spacing w:after="0"/>
              <w:rPr>
                <w:sz w:val="20"/>
                <w:szCs w:val="20"/>
                <w:color w:val="auto"/>
              </w:rPr>
            </w:pPr>
            <w:r>
              <w:rPr>
                <w:rFonts w:ascii="Arial" w:cs="Arial" w:eastAsia="Arial" w:hAnsi="Arial"/>
                <w:sz w:val="16"/>
                <w:szCs w:val="16"/>
                <w:b w:val="1"/>
                <w:bCs w:val="1"/>
                <w:color w:val="auto"/>
              </w:rPr>
              <w:t>2</w:t>
            </w:r>
          </w:p>
        </w:tc>
        <w:tc>
          <w:tcPr>
            <w:tcW w:w="2440" w:type="dxa"/>
            <w:vAlign w:val="bottom"/>
          </w:tcPr>
          <w:p>
            <w:pPr>
              <w:ind w:left="80"/>
              <w:spacing w:after="0"/>
              <w:rPr>
                <w:sz w:val="20"/>
                <w:szCs w:val="20"/>
                <w:color w:val="auto"/>
              </w:rPr>
            </w:pPr>
            <w:r>
              <w:rPr>
                <w:rFonts w:ascii="Arial" w:cs="Arial" w:eastAsia="Arial" w:hAnsi="Arial"/>
                <w:sz w:val="16"/>
                <w:szCs w:val="16"/>
                <w:i w:val="1"/>
                <w:iCs w:val="1"/>
                <w:color w:val="auto"/>
              </w:rPr>
              <w:t>GasLog Athens</w:t>
            </w:r>
          </w:p>
        </w:tc>
        <w:tc>
          <w:tcPr>
            <w:tcW w:w="900" w:type="dxa"/>
            <w:vAlign w:val="bottom"/>
            <w:gridSpan w:val="2"/>
          </w:tcPr>
          <w:p>
            <w:pPr>
              <w:ind w:left="340"/>
              <w:spacing w:after="0"/>
              <w:rPr>
                <w:sz w:val="20"/>
                <w:szCs w:val="20"/>
                <w:color w:val="auto"/>
              </w:rPr>
            </w:pPr>
            <w:r>
              <w:rPr>
                <w:rFonts w:ascii="Arial" w:cs="Arial" w:eastAsia="Arial" w:hAnsi="Arial"/>
                <w:sz w:val="16"/>
                <w:szCs w:val="16"/>
                <w:color w:val="auto"/>
              </w:rPr>
              <w:t>2006</w:t>
            </w:r>
          </w:p>
        </w:tc>
        <w:tc>
          <w:tcPr>
            <w:tcW w:w="112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145,000</w:t>
            </w:r>
          </w:p>
        </w:tc>
        <w:tc>
          <w:tcPr>
            <w:tcW w:w="120" w:type="dxa"/>
            <w:vAlign w:val="bottom"/>
          </w:tcPr>
          <w:p>
            <w:pPr>
              <w:spacing w:after="0"/>
              <w:rPr>
                <w:sz w:val="21"/>
                <w:szCs w:val="21"/>
                <w:color w:val="auto"/>
              </w:rPr>
            </w:pPr>
          </w:p>
        </w:tc>
        <w:tc>
          <w:tcPr>
            <w:tcW w:w="1680" w:type="dxa"/>
            <w:vAlign w:val="bottom"/>
          </w:tcPr>
          <w:p>
            <w:pPr>
              <w:jc w:val="center"/>
              <w:spacing w:after="0" w:line="243" w:lineRule="exact"/>
              <w:rPr>
                <w:sz w:val="20"/>
                <w:szCs w:val="20"/>
                <w:color w:val="auto"/>
              </w:rPr>
            </w:pPr>
            <w:r>
              <w:rPr>
                <w:rFonts w:ascii="Arial" w:cs="Arial" w:eastAsia="Arial" w:hAnsi="Arial"/>
                <w:sz w:val="16"/>
                <w:szCs w:val="16"/>
                <w:color w:val="auto"/>
                <w:w w:val="86"/>
              </w:rPr>
              <w:t xml:space="preserve">DESFA </w:t>
            </w:r>
            <w:r>
              <w:rPr>
                <w:rFonts w:ascii="Arial" w:cs="Arial" w:eastAsia="Arial" w:hAnsi="Arial"/>
                <w:sz w:val="26"/>
                <w:szCs w:val="26"/>
                <w:color w:val="auto"/>
                <w:w w:val="86"/>
                <w:vertAlign w:val="superscript"/>
              </w:rPr>
              <w:t>(4)</w:t>
            </w:r>
          </w:p>
        </w:tc>
        <w:tc>
          <w:tcPr>
            <w:tcW w:w="120" w:type="dxa"/>
            <w:vAlign w:val="bottom"/>
          </w:tcPr>
          <w:p>
            <w:pPr>
              <w:spacing w:after="0"/>
              <w:rPr>
                <w:sz w:val="21"/>
                <w:szCs w:val="21"/>
                <w:color w:val="auto"/>
              </w:rPr>
            </w:pPr>
          </w:p>
        </w:tc>
        <w:tc>
          <w:tcPr>
            <w:tcW w:w="2240" w:type="dxa"/>
            <w:vAlign w:val="bottom"/>
          </w:tcPr>
          <w:p>
            <w:pPr>
              <w:jc w:val="center"/>
              <w:spacing w:after="0"/>
              <w:rPr>
                <w:sz w:val="20"/>
                <w:szCs w:val="20"/>
                <w:color w:val="auto"/>
              </w:rPr>
            </w:pPr>
            <w:r>
              <w:rPr>
                <w:rFonts w:ascii="Arial" w:cs="Arial" w:eastAsia="Arial" w:hAnsi="Arial"/>
                <w:sz w:val="16"/>
                <w:szCs w:val="16"/>
                <w:color w:val="auto"/>
                <w:w w:val="86"/>
              </w:rPr>
              <w:t>Steam</w:t>
            </w:r>
          </w:p>
        </w:tc>
        <w:tc>
          <w:tcPr>
            <w:tcW w:w="1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8"/>
              </w:rPr>
              <w:t>June 2023</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93"/>
        </w:trPr>
        <w:tc>
          <w:tcPr>
            <w:tcW w:w="260" w:type="dxa"/>
            <w:vAlign w:val="bottom"/>
            <w:vMerge w:val="restart"/>
            <w:shd w:val="clear" w:color="auto" w:fill="CCEEFF"/>
          </w:tcPr>
          <w:p>
            <w:pPr>
              <w:spacing w:after="0"/>
              <w:rPr>
                <w:sz w:val="20"/>
                <w:szCs w:val="20"/>
                <w:color w:val="auto"/>
              </w:rPr>
            </w:pPr>
            <w:r>
              <w:rPr>
                <w:rFonts w:ascii="Arial" w:cs="Arial" w:eastAsia="Arial" w:hAnsi="Arial"/>
                <w:sz w:val="16"/>
                <w:szCs w:val="16"/>
                <w:b w:val="1"/>
                <w:bCs w:val="1"/>
                <w:color w:val="auto"/>
              </w:rPr>
              <w:t>3</w:t>
            </w:r>
          </w:p>
        </w:tc>
        <w:tc>
          <w:tcPr>
            <w:tcW w:w="2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Multinational Oil and</w:t>
            </w:r>
          </w:p>
        </w:tc>
        <w:tc>
          <w:tcPr>
            <w:tcW w:w="120" w:type="dxa"/>
            <w:vAlign w:val="bottom"/>
            <w:shd w:val="clear" w:color="auto" w:fill="CCEEFF"/>
          </w:tcPr>
          <w:p>
            <w:pPr>
              <w:spacing w:after="0"/>
              <w:rPr>
                <w:sz w:val="16"/>
                <w:szCs w:val="16"/>
                <w:color w:val="auto"/>
              </w:rPr>
            </w:pPr>
          </w:p>
        </w:tc>
        <w:tc>
          <w:tcPr>
            <w:tcW w:w="2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120" w:type="dxa"/>
            <w:vAlign w:val="bottom"/>
            <w:gridSpan w:val="2"/>
            <w:vMerge w:val="restart"/>
            <w:shd w:val="clear" w:color="auto" w:fill="CCEEFF"/>
          </w:tcPr>
          <w:p>
            <w:pPr>
              <w:jc w:val="center"/>
              <w:ind w:left="39"/>
              <w:spacing w:after="0"/>
              <w:rPr>
                <w:sz w:val="20"/>
                <w:szCs w:val="20"/>
                <w:color w:val="auto"/>
              </w:rPr>
            </w:pPr>
            <w:r>
              <w:rPr>
                <w:rFonts w:ascii="Arial" w:cs="Arial" w:eastAsia="Arial" w:hAnsi="Arial"/>
                <w:sz w:val="16"/>
                <w:szCs w:val="16"/>
                <w:color w:val="auto"/>
                <w:w w:val="84"/>
              </w:rPr>
              <w:t xml:space="preserve">2025 </w:t>
            </w:r>
            <w:r>
              <w:rPr>
                <w:rFonts w:ascii="Arial" w:cs="Arial" w:eastAsia="Arial" w:hAnsi="Arial"/>
                <w:sz w:val="26"/>
                <w:szCs w:val="26"/>
                <w:color w:val="auto"/>
                <w:w w:val="84"/>
                <w:vertAlign w:val="superscript"/>
              </w:rPr>
              <w:t>(5)</w:t>
            </w:r>
          </w:p>
        </w:tc>
        <w:tc>
          <w:tcPr>
            <w:tcW w:w="0" w:type="dxa"/>
            <w:vAlign w:val="bottom"/>
          </w:tcPr>
          <w:p>
            <w:pPr>
              <w:spacing w:after="0"/>
              <w:rPr>
                <w:sz w:val="1"/>
                <w:szCs w:val="1"/>
                <w:color w:val="auto"/>
              </w:rPr>
            </w:pPr>
          </w:p>
        </w:tc>
      </w:tr>
      <w:tr>
        <w:trPr>
          <w:trHeight w:val="212"/>
        </w:trPr>
        <w:tc>
          <w:tcPr>
            <w:tcW w:w="260" w:type="dxa"/>
            <w:vAlign w:val="bottom"/>
            <w:vMerge w:val="continue"/>
            <w:shd w:val="clear" w:color="auto" w:fill="CCEEFF"/>
          </w:tcPr>
          <w:p>
            <w:pPr>
              <w:spacing w:after="0"/>
              <w:rPr>
                <w:sz w:val="18"/>
                <w:szCs w:val="18"/>
                <w:color w:val="auto"/>
              </w:rPr>
            </w:pPr>
          </w:p>
        </w:tc>
        <w:tc>
          <w:tcPr>
            <w:tcW w:w="2440" w:type="dxa"/>
            <w:vAlign w:val="bottom"/>
            <w:shd w:val="clear" w:color="auto" w:fill="CCEEFF"/>
          </w:tcPr>
          <w:p>
            <w:pPr>
              <w:ind w:left="80"/>
              <w:spacing w:after="0"/>
              <w:rPr>
                <w:sz w:val="20"/>
                <w:szCs w:val="20"/>
                <w:color w:val="auto"/>
              </w:rPr>
            </w:pPr>
            <w:r>
              <w:rPr>
                <w:rFonts w:ascii="Arial" w:cs="Arial" w:eastAsia="Arial" w:hAnsi="Arial"/>
                <w:sz w:val="16"/>
                <w:szCs w:val="16"/>
                <w:i w:val="1"/>
                <w:iCs w:val="1"/>
                <w:color w:val="auto"/>
              </w:rPr>
              <w:t>GasLog Savannah</w:t>
            </w: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2010</w:t>
            </w:r>
          </w:p>
        </w:tc>
        <w:tc>
          <w:tcPr>
            <w:tcW w:w="11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155,000</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Gas Company</w:t>
            </w: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TFDE</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July 2024</w:t>
            </w:r>
          </w:p>
        </w:tc>
        <w:tc>
          <w:tcPr>
            <w:tcW w:w="11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60" w:type="dxa"/>
            <w:vAlign w:val="bottom"/>
            <w:vMerge w:val="restart"/>
          </w:tcPr>
          <w:p>
            <w:pPr>
              <w:spacing w:after="0"/>
              <w:rPr>
                <w:sz w:val="20"/>
                <w:szCs w:val="20"/>
                <w:color w:val="auto"/>
              </w:rPr>
            </w:pPr>
            <w:r>
              <w:rPr>
                <w:rFonts w:ascii="Arial" w:cs="Arial" w:eastAsia="Arial" w:hAnsi="Arial"/>
                <w:sz w:val="16"/>
                <w:szCs w:val="16"/>
                <w:b w:val="1"/>
                <w:bCs w:val="1"/>
                <w:color w:val="auto"/>
              </w:rPr>
              <w:t>4</w:t>
            </w:r>
          </w:p>
        </w:tc>
        <w:tc>
          <w:tcPr>
            <w:tcW w:w="2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89"/>
              </w:rPr>
              <w:t>NFE Transport Partners</w:t>
            </w:r>
          </w:p>
        </w:tc>
        <w:tc>
          <w:tcPr>
            <w:tcW w:w="1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restart"/>
          </w:tcPr>
          <w:p>
            <w:pPr>
              <w:jc w:val="center"/>
              <w:spacing w:after="0"/>
              <w:rPr>
                <w:sz w:val="20"/>
                <w:szCs w:val="20"/>
                <w:color w:val="auto"/>
              </w:rPr>
            </w:pPr>
            <w:r>
              <w:rPr>
                <w:rFonts w:ascii="Arial" w:cs="Arial" w:eastAsia="Arial" w:hAnsi="Arial"/>
                <w:sz w:val="16"/>
                <w:szCs w:val="16"/>
                <w:color w:val="auto"/>
                <w:w w:val="85"/>
              </w:rPr>
              <w:t xml:space="preserve">June 2025 </w:t>
            </w:r>
            <w:r>
              <w:rPr>
                <w:rFonts w:ascii="Arial" w:cs="Arial" w:eastAsia="Arial" w:hAnsi="Arial"/>
                <w:sz w:val="26"/>
                <w:szCs w:val="26"/>
                <w:color w:val="auto"/>
                <w:w w:val="85"/>
                <w:vertAlign w:val="superscript"/>
              </w:rPr>
              <w:t>(6)</w:t>
            </w:r>
          </w:p>
        </w:tc>
        <w:tc>
          <w:tcPr>
            <w:tcW w:w="0" w:type="dxa"/>
            <w:vAlign w:val="bottom"/>
          </w:tcPr>
          <w:p>
            <w:pPr>
              <w:spacing w:after="0"/>
              <w:rPr>
                <w:sz w:val="1"/>
                <w:szCs w:val="1"/>
                <w:color w:val="auto"/>
              </w:rPr>
            </w:pPr>
          </w:p>
        </w:tc>
      </w:tr>
      <w:tr>
        <w:trPr>
          <w:trHeight w:val="212"/>
        </w:trPr>
        <w:tc>
          <w:tcPr>
            <w:tcW w:w="260" w:type="dxa"/>
            <w:vAlign w:val="bottom"/>
            <w:vMerge w:val="continue"/>
          </w:tcPr>
          <w:p>
            <w:pPr>
              <w:spacing w:after="0"/>
              <w:rPr>
                <w:sz w:val="18"/>
                <w:szCs w:val="18"/>
                <w:color w:val="auto"/>
              </w:rPr>
            </w:pPr>
          </w:p>
        </w:tc>
        <w:tc>
          <w:tcPr>
            <w:tcW w:w="2440" w:type="dxa"/>
            <w:vAlign w:val="bottom"/>
          </w:tcPr>
          <w:p>
            <w:pPr>
              <w:ind w:left="80"/>
              <w:spacing w:after="0"/>
              <w:rPr>
                <w:sz w:val="20"/>
                <w:szCs w:val="20"/>
                <w:color w:val="auto"/>
              </w:rPr>
            </w:pPr>
            <w:r>
              <w:rPr>
                <w:rFonts w:ascii="Arial" w:cs="Arial" w:eastAsia="Arial" w:hAnsi="Arial"/>
                <w:sz w:val="16"/>
                <w:szCs w:val="16"/>
                <w:i w:val="1"/>
                <w:iCs w:val="1"/>
                <w:color w:val="auto"/>
              </w:rPr>
              <w:t>GasLog Singapore</w:t>
            </w:r>
          </w:p>
        </w:tc>
        <w:tc>
          <w:tcPr>
            <w:tcW w:w="900" w:type="dxa"/>
            <w:vAlign w:val="bottom"/>
            <w:gridSpan w:val="2"/>
          </w:tcPr>
          <w:p>
            <w:pPr>
              <w:ind w:left="340"/>
              <w:spacing w:after="0"/>
              <w:rPr>
                <w:sz w:val="20"/>
                <w:szCs w:val="20"/>
                <w:color w:val="auto"/>
              </w:rPr>
            </w:pPr>
            <w:r>
              <w:rPr>
                <w:rFonts w:ascii="Arial" w:cs="Arial" w:eastAsia="Arial" w:hAnsi="Arial"/>
                <w:sz w:val="16"/>
                <w:szCs w:val="16"/>
                <w:color w:val="auto"/>
              </w:rPr>
              <w:t>2010</w:t>
            </w:r>
          </w:p>
        </w:tc>
        <w:tc>
          <w:tcPr>
            <w:tcW w:w="112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155,000</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rPr>
              <w:t>LLC</w:t>
            </w:r>
          </w:p>
        </w:tc>
        <w:tc>
          <w:tcPr>
            <w:tcW w:w="1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6"/>
                <w:szCs w:val="16"/>
                <w:color w:val="auto"/>
                <w:w w:val="95"/>
              </w:rPr>
              <w:t>TFDE</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March 2025</w:t>
            </w:r>
          </w:p>
        </w:tc>
        <w:tc>
          <w:tcPr>
            <w:tcW w:w="1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60" w:type="dxa"/>
            <w:vAlign w:val="bottom"/>
            <w:vMerge w:val="restart"/>
            <w:shd w:val="clear" w:color="auto" w:fill="CCEEFF"/>
          </w:tcPr>
          <w:p>
            <w:pPr>
              <w:spacing w:after="0"/>
              <w:rPr>
                <w:sz w:val="20"/>
                <w:szCs w:val="20"/>
                <w:color w:val="auto"/>
              </w:rPr>
            </w:pPr>
            <w:r>
              <w:rPr>
                <w:rFonts w:ascii="Arial" w:cs="Arial" w:eastAsia="Arial" w:hAnsi="Arial"/>
                <w:sz w:val="16"/>
                <w:szCs w:val="16"/>
                <w:b w:val="1"/>
                <w:bCs w:val="1"/>
                <w:color w:val="auto"/>
              </w:rPr>
              <w:t>5</w:t>
            </w:r>
          </w:p>
        </w:tc>
        <w:tc>
          <w:tcPr>
            <w:tcW w:w="2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Dual-fuel medium speed</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120" w:type="dxa"/>
            <w:vAlign w:val="bottom"/>
            <w:gridSpan w:val="2"/>
            <w:vMerge w:val="restart"/>
            <w:shd w:val="clear" w:color="auto" w:fill="CCEEFF"/>
          </w:tcPr>
          <w:p>
            <w:pPr>
              <w:jc w:val="center"/>
              <w:ind w:left="19"/>
              <w:spacing w:after="0"/>
              <w:rPr>
                <w:sz w:val="20"/>
                <w:szCs w:val="20"/>
                <w:color w:val="auto"/>
              </w:rPr>
            </w:pPr>
            <w:r>
              <w:rPr>
                <w:rFonts w:ascii="Arial" w:cs="Arial" w:eastAsia="Arial" w:hAnsi="Arial"/>
                <w:sz w:val="16"/>
                <w:szCs w:val="16"/>
                <w:color w:val="auto"/>
                <w:w w:val="88"/>
              </w:rPr>
              <w:t xml:space="preserve">2030-2033 </w:t>
            </w:r>
            <w:r>
              <w:rPr>
                <w:rFonts w:ascii="Arial" w:cs="Arial" w:eastAsia="Arial" w:hAnsi="Arial"/>
                <w:sz w:val="26"/>
                <w:szCs w:val="26"/>
                <w:color w:val="auto"/>
                <w:w w:val="88"/>
                <w:vertAlign w:val="superscript"/>
              </w:rPr>
              <w:t>(7)</w:t>
            </w:r>
          </w:p>
        </w:tc>
        <w:tc>
          <w:tcPr>
            <w:tcW w:w="0" w:type="dxa"/>
            <w:vAlign w:val="bottom"/>
          </w:tcPr>
          <w:p>
            <w:pPr>
              <w:spacing w:after="0"/>
              <w:rPr>
                <w:sz w:val="1"/>
                <w:szCs w:val="1"/>
                <w:color w:val="auto"/>
              </w:rPr>
            </w:pPr>
          </w:p>
        </w:tc>
      </w:tr>
      <w:tr>
        <w:trPr>
          <w:trHeight w:val="212"/>
        </w:trPr>
        <w:tc>
          <w:tcPr>
            <w:tcW w:w="260" w:type="dxa"/>
            <w:vAlign w:val="bottom"/>
            <w:vMerge w:val="continue"/>
            <w:shd w:val="clear" w:color="auto" w:fill="CCEEFF"/>
          </w:tcPr>
          <w:p>
            <w:pPr>
              <w:spacing w:after="0"/>
              <w:rPr>
                <w:sz w:val="18"/>
                <w:szCs w:val="18"/>
                <w:color w:val="auto"/>
              </w:rPr>
            </w:pPr>
          </w:p>
        </w:tc>
        <w:tc>
          <w:tcPr>
            <w:tcW w:w="2440" w:type="dxa"/>
            <w:vAlign w:val="bottom"/>
            <w:shd w:val="clear" w:color="auto" w:fill="CCEEFF"/>
          </w:tcPr>
          <w:p>
            <w:pPr>
              <w:ind w:left="80"/>
              <w:spacing w:after="0"/>
              <w:rPr>
                <w:sz w:val="20"/>
                <w:szCs w:val="20"/>
                <w:color w:val="auto"/>
              </w:rPr>
            </w:pPr>
            <w:r>
              <w:rPr>
                <w:rFonts w:ascii="Arial" w:cs="Arial" w:eastAsia="Arial" w:hAnsi="Arial"/>
                <w:sz w:val="16"/>
                <w:szCs w:val="16"/>
                <w:i w:val="1"/>
                <w:iCs w:val="1"/>
                <w:color w:val="auto"/>
              </w:rPr>
              <w:t>GasLog Genoa</w:t>
            </w: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2018</w:t>
            </w:r>
          </w:p>
        </w:tc>
        <w:tc>
          <w:tcPr>
            <w:tcW w:w="11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174,000</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Shell</w:t>
            </w: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propulsion (“X-DF”)</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March 2027</w:t>
            </w:r>
          </w:p>
        </w:tc>
        <w:tc>
          <w:tcPr>
            <w:tcW w:w="11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0"/>
                <w:szCs w:val="20"/>
                <w:color w:val="auto"/>
              </w:rPr>
            </w:pPr>
            <w:r>
              <w:rPr>
                <w:rFonts w:ascii="Arial" w:cs="Arial" w:eastAsia="Arial" w:hAnsi="Arial"/>
                <w:sz w:val="16"/>
                <w:szCs w:val="16"/>
                <w:b w:val="1"/>
                <w:bCs w:val="1"/>
                <w:color w:val="auto"/>
              </w:rPr>
              <w:t>6</w:t>
            </w:r>
          </w:p>
        </w:tc>
        <w:tc>
          <w:tcPr>
            <w:tcW w:w="2440" w:type="dxa"/>
            <w:vAlign w:val="bottom"/>
          </w:tcPr>
          <w:p>
            <w:pPr>
              <w:ind w:left="80"/>
              <w:spacing w:after="0"/>
              <w:rPr>
                <w:sz w:val="20"/>
                <w:szCs w:val="20"/>
                <w:color w:val="auto"/>
              </w:rPr>
            </w:pPr>
            <w:r>
              <w:rPr>
                <w:rFonts w:ascii="Arial" w:cs="Arial" w:eastAsia="Arial" w:hAnsi="Arial"/>
                <w:sz w:val="16"/>
                <w:szCs w:val="16"/>
                <w:i w:val="1"/>
                <w:iCs w:val="1"/>
                <w:color w:val="auto"/>
              </w:rPr>
              <w:t>GasLog Windsor</w:t>
            </w:r>
          </w:p>
        </w:tc>
        <w:tc>
          <w:tcPr>
            <w:tcW w:w="900" w:type="dxa"/>
            <w:vAlign w:val="bottom"/>
            <w:gridSpan w:val="2"/>
          </w:tcPr>
          <w:p>
            <w:pPr>
              <w:ind w:left="340"/>
              <w:spacing w:after="0"/>
              <w:rPr>
                <w:sz w:val="20"/>
                <w:szCs w:val="20"/>
                <w:color w:val="auto"/>
              </w:rPr>
            </w:pPr>
            <w:r>
              <w:rPr>
                <w:rFonts w:ascii="Arial" w:cs="Arial" w:eastAsia="Arial" w:hAnsi="Arial"/>
                <w:sz w:val="16"/>
                <w:szCs w:val="16"/>
                <w:color w:val="auto"/>
              </w:rPr>
              <w:t>2020</w:t>
            </w:r>
          </w:p>
        </w:tc>
        <w:tc>
          <w:tcPr>
            <w:tcW w:w="112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180,000</w:t>
            </w:r>
          </w:p>
        </w:tc>
        <w:tc>
          <w:tcPr>
            <w:tcW w:w="120" w:type="dxa"/>
            <w:vAlign w:val="bottom"/>
          </w:tcPr>
          <w:p>
            <w:pPr>
              <w:spacing w:after="0"/>
              <w:rPr>
                <w:sz w:val="21"/>
                <w:szCs w:val="21"/>
                <w:color w:val="auto"/>
              </w:rPr>
            </w:pPr>
          </w:p>
        </w:tc>
        <w:tc>
          <w:tcPr>
            <w:tcW w:w="1680" w:type="dxa"/>
            <w:vAlign w:val="bottom"/>
          </w:tcPr>
          <w:p>
            <w:pPr>
              <w:jc w:val="center"/>
              <w:spacing w:after="0" w:line="243" w:lineRule="exact"/>
              <w:rPr>
                <w:sz w:val="20"/>
                <w:szCs w:val="20"/>
                <w:color w:val="auto"/>
              </w:rPr>
            </w:pPr>
            <w:r>
              <w:rPr>
                <w:rFonts w:ascii="Arial" w:cs="Arial" w:eastAsia="Arial" w:hAnsi="Arial"/>
                <w:sz w:val="16"/>
                <w:szCs w:val="16"/>
                <w:color w:val="auto"/>
                <w:w w:val="89"/>
              </w:rPr>
              <w:t xml:space="preserve">Centrica </w:t>
            </w:r>
            <w:r>
              <w:rPr>
                <w:rFonts w:ascii="Arial" w:cs="Arial" w:eastAsia="Arial" w:hAnsi="Arial"/>
                <w:sz w:val="26"/>
                <w:szCs w:val="26"/>
                <w:color w:val="auto"/>
                <w:w w:val="89"/>
                <w:vertAlign w:val="superscript"/>
              </w:rPr>
              <w:t>(8)</w:t>
            </w:r>
          </w:p>
        </w:tc>
        <w:tc>
          <w:tcPr>
            <w:tcW w:w="120" w:type="dxa"/>
            <w:vAlign w:val="bottom"/>
          </w:tcPr>
          <w:p>
            <w:pPr>
              <w:spacing w:after="0"/>
              <w:rPr>
                <w:sz w:val="21"/>
                <w:szCs w:val="21"/>
                <w:color w:val="auto"/>
              </w:rPr>
            </w:pPr>
          </w:p>
        </w:tc>
        <w:tc>
          <w:tcPr>
            <w:tcW w:w="2240" w:type="dxa"/>
            <w:vAlign w:val="bottom"/>
          </w:tcPr>
          <w:p>
            <w:pPr>
              <w:jc w:val="center"/>
              <w:spacing w:after="0"/>
              <w:rPr>
                <w:sz w:val="20"/>
                <w:szCs w:val="20"/>
                <w:color w:val="auto"/>
              </w:rPr>
            </w:pPr>
            <w:r>
              <w:rPr>
                <w:rFonts w:ascii="Arial" w:cs="Arial" w:eastAsia="Arial" w:hAnsi="Arial"/>
                <w:sz w:val="16"/>
                <w:szCs w:val="16"/>
                <w:color w:val="auto"/>
              </w:rPr>
              <w:t>X-DF</w:t>
            </w:r>
          </w:p>
        </w:tc>
        <w:tc>
          <w:tcPr>
            <w:tcW w:w="1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7"/>
              </w:rPr>
              <w:t>April 2027</w:t>
            </w:r>
          </w:p>
        </w:tc>
        <w:tc>
          <w:tcPr>
            <w:tcW w:w="1120" w:type="dxa"/>
            <w:vAlign w:val="bottom"/>
            <w:gridSpan w:val="2"/>
          </w:tcPr>
          <w:p>
            <w:pPr>
              <w:jc w:val="center"/>
              <w:ind w:left="19"/>
              <w:spacing w:after="0" w:line="243" w:lineRule="exact"/>
              <w:rPr>
                <w:sz w:val="20"/>
                <w:szCs w:val="20"/>
                <w:color w:val="auto"/>
              </w:rPr>
            </w:pPr>
            <w:r>
              <w:rPr>
                <w:rFonts w:ascii="Arial" w:cs="Arial" w:eastAsia="Arial" w:hAnsi="Arial"/>
                <w:sz w:val="16"/>
                <w:szCs w:val="16"/>
                <w:color w:val="auto"/>
                <w:w w:val="88"/>
              </w:rPr>
              <w:t xml:space="preserve">2029-2033 </w:t>
            </w:r>
            <w:r>
              <w:rPr>
                <w:rFonts w:ascii="Arial" w:cs="Arial" w:eastAsia="Arial" w:hAnsi="Arial"/>
                <w:sz w:val="26"/>
                <w:szCs w:val="26"/>
                <w:color w:val="auto"/>
                <w:w w:val="88"/>
                <w:vertAlign w:val="superscript"/>
              </w:rPr>
              <w:t>(8)</w:t>
            </w:r>
          </w:p>
        </w:tc>
        <w:tc>
          <w:tcPr>
            <w:tcW w:w="0" w:type="dxa"/>
            <w:vAlign w:val="bottom"/>
          </w:tcPr>
          <w:p>
            <w:pPr>
              <w:spacing w:after="0"/>
              <w:rPr>
                <w:sz w:val="1"/>
                <w:szCs w:val="1"/>
                <w:color w:val="auto"/>
              </w:rPr>
            </w:pPr>
          </w:p>
        </w:tc>
      </w:tr>
      <w:tr>
        <w:trPr>
          <w:trHeight w:val="243"/>
        </w:trPr>
        <w:tc>
          <w:tcPr>
            <w:tcW w:w="2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7</w:t>
            </w:r>
          </w:p>
        </w:tc>
        <w:tc>
          <w:tcPr>
            <w:tcW w:w="2440" w:type="dxa"/>
            <w:vAlign w:val="bottom"/>
            <w:shd w:val="clear" w:color="auto" w:fill="CCEEFF"/>
          </w:tcPr>
          <w:p>
            <w:pPr>
              <w:ind w:left="80"/>
              <w:spacing w:after="0"/>
              <w:rPr>
                <w:sz w:val="20"/>
                <w:szCs w:val="20"/>
                <w:color w:val="auto"/>
              </w:rPr>
            </w:pPr>
            <w:r>
              <w:rPr>
                <w:rFonts w:ascii="Arial" w:cs="Arial" w:eastAsia="Arial" w:hAnsi="Arial"/>
                <w:sz w:val="16"/>
                <w:szCs w:val="16"/>
                <w:i w:val="1"/>
                <w:iCs w:val="1"/>
                <w:color w:val="auto"/>
              </w:rPr>
              <w:t>GasLog Westminster</w:t>
            </w: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2020</w:t>
            </w:r>
          </w:p>
        </w:tc>
        <w:tc>
          <w:tcPr>
            <w:tcW w:w="11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180,000</w:t>
            </w:r>
          </w:p>
        </w:tc>
        <w:tc>
          <w:tcPr>
            <w:tcW w:w="120" w:type="dxa"/>
            <w:vAlign w:val="bottom"/>
            <w:shd w:val="clear" w:color="auto" w:fill="CCEEFF"/>
          </w:tcPr>
          <w:p>
            <w:pPr>
              <w:spacing w:after="0"/>
              <w:rPr>
                <w:sz w:val="21"/>
                <w:szCs w:val="21"/>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Centrica</w:t>
            </w:r>
          </w:p>
        </w:tc>
        <w:tc>
          <w:tcPr>
            <w:tcW w:w="120" w:type="dxa"/>
            <w:vAlign w:val="bottom"/>
            <w:shd w:val="clear" w:color="auto" w:fill="CCEEFF"/>
          </w:tcPr>
          <w:p>
            <w:pPr>
              <w:spacing w:after="0"/>
              <w:rPr>
                <w:sz w:val="21"/>
                <w:szCs w:val="21"/>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X-DF</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July 2027</w:t>
            </w:r>
          </w:p>
        </w:tc>
        <w:tc>
          <w:tcPr>
            <w:tcW w:w="1120" w:type="dxa"/>
            <w:vAlign w:val="bottom"/>
            <w:gridSpan w:val="2"/>
            <w:shd w:val="clear" w:color="auto" w:fill="CCEEFF"/>
          </w:tcPr>
          <w:p>
            <w:pPr>
              <w:jc w:val="center"/>
              <w:ind w:left="19"/>
              <w:spacing w:after="0" w:line="243" w:lineRule="exact"/>
              <w:rPr>
                <w:sz w:val="20"/>
                <w:szCs w:val="20"/>
                <w:color w:val="auto"/>
              </w:rPr>
            </w:pPr>
            <w:r>
              <w:rPr>
                <w:rFonts w:ascii="Arial" w:cs="Arial" w:eastAsia="Arial" w:hAnsi="Arial"/>
                <w:sz w:val="16"/>
                <w:szCs w:val="16"/>
                <w:color w:val="auto"/>
                <w:w w:val="88"/>
              </w:rPr>
              <w:t xml:space="preserve">2029-2033 </w:t>
            </w:r>
            <w:r>
              <w:rPr>
                <w:rFonts w:ascii="Arial" w:cs="Arial" w:eastAsia="Arial" w:hAnsi="Arial"/>
                <w:sz w:val="26"/>
                <w:szCs w:val="26"/>
                <w:color w:val="auto"/>
                <w:w w:val="88"/>
                <w:vertAlign w:val="superscript"/>
              </w:rPr>
              <w:t>(8)</w:t>
            </w:r>
          </w:p>
        </w:tc>
        <w:tc>
          <w:tcPr>
            <w:tcW w:w="0" w:type="dxa"/>
            <w:vAlign w:val="bottom"/>
          </w:tcPr>
          <w:p>
            <w:pPr>
              <w:spacing w:after="0"/>
              <w:rPr>
                <w:sz w:val="1"/>
                <w:szCs w:val="1"/>
                <w:color w:val="auto"/>
              </w:rPr>
            </w:pPr>
          </w:p>
        </w:tc>
      </w:tr>
      <w:tr>
        <w:trPr>
          <w:trHeight w:val="243"/>
        </w:trPr>
        <w:tc>
          <w:tcPr>
            <w:tcW w:w="260" w:type="dxa"/>
            <w:vAlign w:val="bottom"/>
          </w:tcPr>
          <w:p>
            <w:pPr>
              <w:spacing w:after="0"/>
              <w:rPr>
                <w:sz w:val="20"/>
                <w:szCs w:val="20"/>
                <w:color w:val="auto"/>
              </w:rPr>
            </w:pPr>
            <w:r>
              <w:rPr>
                <w:rFonts w:ascii="Arial" w:cs="Arial" w:eastAsia="Arial" w:hAnsi="Arial"/>
                <w:sz w:val="16"/>
                <w:szCs w:val="16"/>
                <w:b w:val="1"/>
                <w:bCs w:val="1"/>
                <w:color w:val="auto"/>
              </w:rPr>
              <w:t>8</w:t>
            </w:r>
          </w:p>
        </w:tc>
        <w:tc>
          <w:tcPr>
            <w:tcW w:w="2440" w:type="dxa"/>
            <w:vAlign w:val="bottom"/>
          </w:tcPr>
          <w:p>
            <w:pPr>
              <w:ind w:left="80"/>
              <w:spacing w:after="0"/>
              <w:rPr>
                <w:sz w:val="20"/>
                <w:szCs w:val="20"/>
                <w:color w:val="auto"/>
              </w:rPr>
            </w:pPr>
            <w:r>
              <w:rPr>
                <w:rFonts w:ascii="Arial" w:cs="Arial" w:eastAsia="Arial" w:hAnsi="Arial"/>
                <w:sz w:val="16"/>
                <w:szCs w:val="16"/>
                <w:i w:val="1"/>
                <w:iCs w:val="1"/>
                <w:color w:val="auto"/>
              </w:rPr>
              <w:t>GasLog Georgetown</w:t>
            </w:r>
          </w:p>
        </w:tc>
        <w:tc>
          <w:tcPr>
            <w:tcW w:w="900" w:type="dxa"/>
            <w:vAlign w:val="bottom"/>
            <w:gridSpan w:val="2"/>
          </w:tcPr>
          <w:p>
            <w:pPr>
              <w:ind w:left="340"/>
              <w:spacing w:after="0"/>
              <w:rPr>
                <w:sz w:val="20"/>
                <w:szCs w:val="20"/>
                <w:color w:val="auto"/>
              </w:rPr>
            </w:pPr>
            <w:r>
              <w:rPr>
                <w:rFonts w:ascii="Arial" w:cs="Arial" w:eastAsia="Arial" w:hAnsi="Arial"/>
                <w:sz w:val="16"/>
                <w:szCs w:val="16"/>
                <w:color w:val="auto"/>
              </w:rPr>
              <w:t>2020</w:t>
            </w:r>
          </w:p>
        </w:tc>
        <w:tc>
          <w:tcPr>
            <w:tcW w:w="112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174,000</w:t>
            </w:r>
          </w:p>
        </w:tc>
        <w:tc>
          <w:tcPr>
            <w:tcW w:w="120" w:type="dxa"/>
            <w:vAlign w:val="bottom"/>
          </w:tcPr>
          <w:p>
            <w:pPr>
              <w:spacing w:after="0"/>
              <w:rPr>
                <w:sz w:val="21"/>
                <w:szCs w:val="21"/>
                <w:color w:val="auto"/>
              </w:rPr>
            </w:pPr>
          </w:p>
        </w:tc>
        <w:tc>
          <w:tcPr>
            <w:tcW w:w="1680" w:type="dxa"/>
            <w:vAlign w:val="bottom"/>
          </w:tcPr>
          <w:p>
            <w:pPr>
              <w:jc w:val="center"/>
              <w:spacing w:after="0" w:line="243" w:lineRule="exact"/>
              <w:rPr>
                <w:sz w:val="20"/>
                <w:szCs w:val="20"/>
                <w:color w:val="auto"/>
              </w:rPr>
            </w:pPr>
            <w:r>
              <w:rPr>
                <w:rFonts w:ascii="Arial" w:cs="Arial" w:eastAsia="Arial" w:hAnsi="Arial"/>
                <w:sz w:val="16"/>
                <w:szCs w:val="16"/>
                <w:color w:val="auto"/>
                <w:w w:val="88"/>
              </w:rPr>
              <w:t xml:space="preserve">Cheniere </w:t>
            </w:r>
            <w:r>
              <w:rPr>
                <w:rFonts w:ascii="Arial" w:cs="Arial" w:eastAsia="Arial" w:hAnsi="Arial"/>
                <w:sz w:val="26"/>
                <w:szCs w:val="26"/>
                <w:color w:val="auto"/>
                <w:w w:val="88"/>
                <w:vertAlign w:val="superscript"/>
              </w:rPr>
              <w:t>(9)</w:t>
            </w:r>
          </w:p>
        </w:tc>
        <w:tc>
          <w:tcPr>
            <w:tcW w:w="120" w:type="dxa"/>
            <w:vAlign w:val="bottom"/>
          </w:tcPr>
          <w:p>
            <w:pPr>
              <w:spacing w:after="0"/>
              <w:rPr>
                <w:sz w:val="21"/>
                <w:szCs w:val="21"/>
                <w:color w:val="auto"/>
              </w:rPr>
            </w:pPr>
          </w:p>
        </w:tc>
        <w:tc>
          <w:tcPr>
            <w:tcW w:w="2240" w:type="dxa"/>
            <w:vAlign w:val="bottom"/>
          </w:tcPr>
          <w:p>
            <w:pPr>
              <w:jc w:val="center"/>
              <w:spacing w:after="0"/>
              <w:rPr>
                <w:sz w:val="20"/>
                <w:szCs w:val="20"/>
                <w:color w:val="auto"/>
              </w:rPr>
            </w:pPr>
            <w:r>
              <w:rPr>
                <w:rFonts w:ascii="Arial" w:cs="Arial" w:eastAsia="Arial" w:hAnsi="Arial"/>
                <w:sz w:val="16"/>
                <w:szCs w:val="16"/>
                <w:color w:val="auto"/>
              </w:rPr>
              <w:t>X-DF</w:t>
            </w:r>
          </w:p>
        </w:tc>
        <w:tc>
          <w:tcPr>
            <w:tcW w:w="1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1"/>
              </w:rPr>
              <w:t>November 2027</w:t>
            </w:r>
          </w:p>
        </w:tc>
        <w:tc>
          <w:tcPr>
            <w:tcW w:w="1120" w:type="dxa"/>
            <w:vAlign w:val="bottom"/>
            <w:gridSpan w:val="2"/>
          </w:tcPr>
          <w:p>
            <w:pPr>
              <w:jc w:val="center"/>
              <w:ind w:left="19"/>
              <w:spacing w:after="0" w:line="243" w:lineRule="exact"/>
              <w:rPr>
                <w:sz w:val="20"/>
                <w:szCs w:val="20"/>
                <w:color w:val="auto"/>
              </w:rPr>
            </w:pPr>
            <w:r>
              <w:rPr>
                <w:rFonts w:ascii="Arial" w:cs="Arial" w:eastAsia="Arial" w:hAnsi="Arial"/>
                <w:sz w:val="16"/>
                <w:szCs w:val="16"/>
                <w:color w:val="auto"/>
                <w:w w:val="88"/>
              </w:rPr>
              <w:t xml:space="preserve">2030-2034 </w:t>
            </w:r>
            <w:r>
              <w:rPr>
                <w:rFonts w:ascii="Arial" w:cs="Arial" w:eastAsia="Arial" w:hAnsi="Arial"/>
                <w:sz w:val="26"/>
                <w:szCs w:val="26"/>
                <w:color w:val="auto"/>
                <w:w w:val="88"/>
                <w:vertAlign w:val="superscript"/>
              </w:rPr>
              <w:t>(9)</w:t>
            </w:r>
          </w:p>
        </w:tc>
        <w:tc>
          <w:tcPr>
            <w:tcW w:w="0" w:type="dxa"/>
            <w:vAlign w:val="bottom"/>
          </w:tcPr>
          <w:p>
            <w:pPr>
              <w:spacing w:after="0"/>
              <w:rPr>
                <w:sz w:val="1"/>
                <w:szCs w:val="1"/>
                <w:color w:val="auto"/>
              </w:rPr>
            </w:pPr>
          </w:p>
        </w:tc>
      </w:tr>
      <w:tr>
        <w:trPr>
          <w:trHeight w:val="243"/>
        </w:trPr>
        <w:tc>
          <w:tcPr>
            <w:tcW w:w="2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9</w:t>
            </w:r>
          </w:p>
        </w:tc>
        <w:tc>
          <w:tcPr>
            <w:tcW w:w="2440" w:type="dxa"/>
            <w:vAlign w:val="bottom"/>
            <w:shd w:val="clear" w:color="auto" w:fill="CCEEFF"/>
          </w:tcPr>
          <w:p>
            <w:pPr>
              <w:ind w:left="80"/>
              <w:spacing w:after="0"/>
              <w:rPr>
                <w:sz w:val="20"/>
                <w:szCs w:val="20"/>
                <w:color w:val="auto"/>
              </w:rPr>
            </w:pPr>
            <w:r>
              <w:rPr>
                <w:rFonts w:ascii="Arial" w:cs="Arial" w:eastAsia="Arial" w:hAnsi="Arial"/>
                <w:sz w:val="16"/>
                <w:szCs w:val="16"/>
                <w:i w:val="1"/>
                <w:iCs w:val="1"/>
                <w:color w:val="auto"/>
              </w:rPr>
              <w:t>GasLog Galveston</w:t>
            </w: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2021</w:t>
            </w:r>
          </w:p>
        </w:tc>
        <w:tc>
          <w:tcPr>
            <w:tcW w:w="11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174,000</w:t>
            </w:r>
          </w:p>
        </w:tc>
        <w:tc>
          <w:tcPr>
            <w:tcW w:w="120" w:type="dxa"/>
            <w:vAlign w:val="bottom"/>
            <w:shd w:val="clear" w:color="auto" w:fill="CCEEFF"/>
          </w:tcPr>
          <w:p>
            <w:pPr>
              <w:spacing w:after="0"/>
              <w:rPr>
                <w:sz w:val="21"/>
                <w:szCs w:val="21"/>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Cheniere</w:t>
            </w:r>
          </w:p>
        </w:tc>
        <w:tc>
          <w:tcPr>
            <w:tcW w:w="120" w:type="dxa"/>
            <w:vAlign w:val="bottom"/>
            <w:shd w:val="clear" w:color="auto" w:fill="CCEEFF"/>
          </w:tcPr>
          <w:p>
            <w:pPr>
              <w:spacing w:after="0"/>
              <w:rPr>
                <w:sz w:val="21"/>
                <w:szCs w:val="21"/>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X-DF</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January 2028</w:t>
            </w:r>
          </w:p>
        </w:tc>
        <w:tc>
          <w:tcPr>
            <w:tcW w:w="1120" w:type="dxa"/>
            <w:vAlign w:val="bottom"/>
            <w:gridSpan w:val="2"/>
            <w:shd w:val="clear" w:color="auto" w:fill="CCEEFF"/>
          </w:tcPr>
          <w:p>
            <w:pPr>
              <w:jc w:val="center"/>
              <w:ind w:left="19"/>
              <w:spacing w:after="0" w:line="243" w:lineRule="exact"/>
              <w:rPr>
                <w:sz w:val="20"/>
                <w:szCs w:val="20"/>
                <w:color w:val="auto"/>
              </w:rPr>
            </w:pPr>
            <w:r>
              <w:rPr>
                <w:rFonts w:ascii="Arial" w:cs="Arial" w:eastAsia="Arial" w:hAnsi="Arial"/>
                <w:sz w:val="16"/>
                <w:szCs w:val="16"/>
                <w:color w:val="auto"/>
                <w:w w:val="88"/>
              </w:rPr>
              <w:t xml:space="preserve">2031-2035 </w:t>
            </w:r>
            <w:r>
              <w:rPr>
                <w:rFonts w:ascii="Arial" w:cs="Arial" w:eastAsia="Arial" w:hAnsi="Arial"/>
                <w:sz w:val="26"/>
                <w:szCs w:val="26"/>
                <w:color w:val="auto"/>
                <w:w w:val="88"/>
                <w:vertAlign w:val="superscript"/>
              </w:rPr>
              <w:t>(9)</w:t>
            </w:r>
          </w:p>
        </w:tc>
        <w:tc>
          <w:tcPr>
            <w:tcW w:w="0" w:type="dxa"/>
            <w:vAlign w:val="bottom"/>
          </w:tcPr>
          <w:p>
            <w:pPr>
              <w:spacing w:after="0"/>
              <w:rPr>
                <w:sz w:val="1"/>
                <w:szCs w:val="1"/>
                <w:color w:val="auto"/>
              </w:rPr>
            </w:pPr>
          </w:p>
        </w:tc>
      </w:tr>
      <w:tr>
        <w:trPr>
          <w:trHeight w:val="243"/>
        </w:trPr>
        <w:tc>
          <w:tcPr>
            <w:tcW w:w="260" w:type="dxa"/>
            <w:vAlign w:val="bottom"/>
          </w:tcPr>
          <w:p>
            <w:pPr>
              <w:spacing w:after="0"/>
              <w:rPr>
                <w:sz w:val="20"/>
                <w:szCs w:val="20"/>
                <w:color w:val="auto"/>
              </w:rPr>
            </w:pPr>
            <w:r>
              <w:rPr>
                <w:rFonts w:ascii="Arial" w:cs="Arial" w:eastAsia="Arial" w:hAnsi="Arial"/>
                <w:sz w:val="16"/>
                <w:szCs w:val="16"/>
                <w:b w:val="1"/>
                <w:bCs w:val="1"/>
                <w:color w:val="auto"/>
              </w:rPr>
              <w:t>10</w:t>
            </w:r>
          </w:p>
        </w:tc>
        <w:tc>
          <w:tcPr>
            <w:tcW w:w="2440" w:type="dxa"/>
            <w:vAlign w:val="bottom"/>
          </w:tcPr>
          <w:p>
            <w:pPr>
              <w:ind w:left="80"/>
              <w:spacing w:after="0"/>
              <w:rPr>
                <w:sz w:val="20"/>
                <w:szCs w:val="20"/>
                <w:color w:val="auto"/>
              </w:rPr>
            </w:pPr>
            <w:r>
              <w:rPr>
                <w:rFonts w:ascii="Arial" w:cs="Arial" w:eastAsia="Arial" w:hAnsi="Arial"/>
                <w:sz w:val="16"/>
                <w:szCs w:val="16"/>
                <w:i w:val="1"/>
                <w:iCs w:val="1"/>
                <w:color w:val="auto"/>
              </w:rPr>
              <w:t>GasLog Wellington</w:t>
            </w:r>
          </w:p>
        </w:tc>
        <w:tc>
          <w:tcPr>
            <w:tcW w:w="900" w:type="dxa"/>
            <w:vAlign w:val="bottom"/>
            <w:gridSpan w:val="2"/>
          </w:tcPr>
          <w:p>
            <w:pPr>
              <w:ind w:left="340"/>
              <w:spacing w:after="0"/>
              <w:rPr>
                <w:sz w:val="20"/>
                <w:szCs w:val="20"/>
                <w:color w:val="auto"/>
              </w:rPr>
            </w:pPr>
            <w:r>
              <w:rPr>
                <w:rFonts w:ascii="Arial" w:cs="Arial" w:eastAsia="Arial" w:hAnsi="Arial"/>
                <w:sz w:val="16"/>
                <w:szCs w:val="16"/>
                <w:color w:val="auto"/>
              </w:rPr>
              <w:t>2021</w:t>
            </w:r>
          </w:p>
        </w:tc>
        <w:tc>
          <w:tcPr>
            <w:tcW w:w="112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180,000</w:t>
            </w:r>
          </w:p>
        </w:tc>
        <w:tc>
          <w:tcPr>
            <w:tcW w:w="12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2"/>
              </w:rPr>
              <w:t>Cheniere</w:t>
            </w:r>
          </w:p>
        </w:tc>
        <w:tc>
          <w:tcPr>
            <w:tcW w:w="120" w:type="dxa"/>
            <w:vAlign w:val="bottom"/>
          </w:tcPr>
          <w:p>
            <w:pPr>
              <w:spacing w:after="0"/>
              <w:rPr>
                <w:sz w:val="21"/>
                <w:szCs w:val="21"/>
                <w:color w:val="auto"/>
              </w:rPr>
            </w:pPr>
          </w:p>
        </w:tc>
        <w:tc>
          <w:tcPr>
            <w:tcW w:w="2240" w:type="dxa"/>
            <w:vAlign w:val="bottom"/>
          </w:tcPr>
          <w:p>
            <w:pPr>
              <w:jc w:val="center"/>
              <w:spacing w:after="0"/>
              <w:rPr>
                <w:sz w:val="20"/>
                <w:szCs w:val="20"/>
                <w:color w:val="auto"/>
              </w:rPr>
            </w:pPr>
            <w:r>
              <w:rPr>
                <w:rFonts w:ascii="Arial" w:cs="Arial" w:eastAsia="Arial" w:hAnsi="Arial"/>
                <w:sz w:val="16"/>
                <w:szCs w:val="16"/>
                <w:color w:val="auto"/>
              </w:rPr>
              <w:t>X-DF</w:t>
            </w:r>
          </w:p>
        </w:tc>
        <w:tc>
          <w:tcPr>
            <w:tcW w:w="1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8"/>
              </w:rPr>
              <w:t>June 2028</w:t>
            </w:r>
          </w:p>
        </w:tc>
        <w:tc>
          <w:tcPr>
            <w:tcW w:w="1120" w:type="dxa"/>
            <w:vAlign w:val="bottom"/>
            <w:gridSpan w:val="2"/>
          </w:tcPr>
          <w:p>
            <w:pPr>
              <w:jc w:val="center"/>
              <w:ind w:left="19"/>
              <w:spacing w:after="0" w:line="243" w:lineRule="exact"/>
              <w:rPr>
                <w:sz w:val="20"/>
                <w:szCs w:val="20"/>
                <w:color w:val="auto"/>
              </w:rPr>
            </w:pPr>
            <w:r>
              <w:rPr>
                <w:rFonts w:ascii="Arial" w:cs="Arial" w:eastAsia="Arial" w:hAnsi="Arial"/>
                <w:sz w:val="16"/>
                <w:szCs w:val="16"/>
                <w:color w:val="auto"/>
                <w:w w:val="88"/>
              </w:rPr>
              <w:t xml:space="preserve">2031-2035 </w:t>
            </w:r>
            <w:r>
              <w:rPr>
                <w:rFonts w:ascii="Arial" w:cs="Arial" w:eastAsia="Arial" w:hAnsi="Arial"/>
                <w:sz w:val="26"/>
                <w:szCs w:val="26"/>
                <w:color w:val="auto"/>
                <w:w w:val="88"/>
                <w:vertAlign w:val="superscript"/>
              </w:rPr>
              <w:t>(9)</w:t>
            </w:r>
          </w:p>
        </w:tc>
        <w:tc>
          <w:tcPr>
            <w:tcW w:w="0" w:type="dxa"/>
            <w:vAlign w:val="bottom"/>
          </w:tcPr>
          <w:p>
            <w:pPr>
              <w:spacing w:after="0"/>
              <w:rPr>
                <w:sz w:val="1"/>
                <w:szCs w:val="1"/>
                <w:color w:val="auto"/>
              </w:rPr>
            </w:pPr>
          </w:p>
        </w:tc>
      </w:tr>
      <w:tr>
        <w:trPr>
          <w:trHeight w:val="243"/>
        </w:trPr>
        <w:tc>
          <w:tcPr>
            <w:tcW w:w="2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11</w:t>
            </w:r>
          </w:p>
        </w:tc>
        <w:tc>
          <w:tcPr>
            <w:tcW w:w="2440" w:type="dxa"/>
            <w:vAlign w:val="bottom"/>
            <w:shd w:val="clear" w:color="auto" w:fill="CCEEFF"/>
          </w:tcPr>
          <w:p>
            <w:pPr>
              <w:ind w:left="80"/>
              <w:spacing w:after="0"/>
              <w:rPr>
                <w:sz w:val="20"/>
                <w:szCs w:val="20"/>
                <w:color w:val="auto"/>
              </w:rPr>
            </w:pPr>
            <w:r>
              <w:rPr>
                <w:rFonts w:ascii="Arial" w:cs="Arial" w:eastAsia="Arial" w:hAnsi="Arial"/>
                <w:sz w:val="16"/>
                <w:szCs w:val="16"/>
                <w:i w:val="1"/>
                <w:iCs w:val="1"/>
                <w:color w:val="auto"/>
              </w:rPr>
              <w:t>GasLog Winchester</w:t>
            </w: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2021</w:t>
            </w:r>
          </w:p>
        </w:tc>
        <w:tc>
          <w:tcPr>
            <w:tcW w:w="11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180,000</w:t>
            </w:r>
          </w:p>
        </w:tc>
        <w:tc>
          <w:tcPr>
            <w:tcW w:w="120" w:type="dxa"/>
            <w:vAlign w:val="bottom"/>
            <w:shd w:val="clear" w:color="auto" w:fill="CCEEFF"/>
          </w:tcPr>
          <w:p>
            <w:pPr>
              <w:spacing w:after="0"/>
              <w:rPr>
                <w:sz w:val="21"/>
                <w:szCs w:val="21"/>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Cheniere</w:t>
            </w:r>
          </w:p>
        </w:tc>
        <w:tc>
          <w:tcPr>
            <w:tcW w:w="120" w:type="dxa"/>
            <w:vAlign w:val="bottom"/>
            <w:shd w:val="clear" w:color="auto" w:fill="CCEEFF"/>
          </w:tcPr>
          <w:p>
            <w:pPr>
              <w:spacing w:after="0"/>
              <w:rPr>
                <w:sz w:val="21"/>
                <w:szCs w:val="21"/>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X-DF</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August 2028</w:t>
            </w:r>
          </w:p>
        </w:tc>
        <w:tc>
          <w:tcPr>
            <w:tcW w:w="1120" w:type="dxa"/>
            <w:vAlign w:val="bottom"/>
            <w:gridSpan w:val="2"/>
            <w:shd w:val="clear" w:color="auto" w:fill="CCEEFF"/>
          </w:tcPr>
          <w:p>
            <w:pPr>
              <w:jc w:val="center"/>
              <w:ind w:left="19"/>
              <w:spacing w:after="0" w:line="243" w:lineRule="exact"/>
              <w:rPr>
                <w:sz w:val="20"/>
                <w:szCs w:val="20"/>
                <w:color w:val="auto"/>
              </w:rPr>
            </w:pPr>
            <w:r>
              <w:rPr>
                <w:rFonts w:ascii="Arial" w:cs="Arial" w:eastAsia="Arial" w:hAnsi="Arial"/>
                <w:sz w:val="16"/>
                <w:szCs w:val="16"/>
                <w:color w:val="auto"/>
                <w:w w:val="88"/>
              </w:rPr>
              <w:t xml:space="preserve">2031-2035 </w:t>
            </w:r>
            <w:r>
              <w:rPr>
                <w:rFonts w:ascii="Arial" w:cs="Arial" w:eastAsia="Arial" w:hAnsi="Arial"/>
                <w:sz w:val="26"/>
                <w:szCs w:val="26"/>
                <w:color w:val="auto"/>
                <w:w w:val="88"/>
                <w:vertAlign w:val="superscript"/>
              </w:rPr>
              <w:t>(9)</w:t>
            </w:r>
          </w:p>
        </w:tc>
        <w:tc>
          <w:tcPr>
            <w:tcW w:w="0" w:type="dxa"/>
            <w:vAlign w:val="bottom"/>
          </w:tcPr>
          <w:p>
            <w:pPr>
              <w:spacing w:after="0"/>
              <w:rPr>
                <w:sz w:val="1"/>
                <w:szCs w:val="1"/>
                <w:color w:val="auto"/>
              </w:rPr>
            </w:pPr>
          </w:p>
        </w:tc>
      </w:tr>
      <w:tr>
        <w:trPr>
          <w:trHeight w:val="243"/>
        </w:trPr>
        <w:tc>
          <w:tcPr>
            <w:tcW w:w="260" w:type="dxa"/>
            <w:vAlign w:val="bottom"/>
          </w:tcPr>
          <w:p>
            <w:pPr>
              <w:spacing w:after="0"/>
              <w:rPr>
                <w:sz w:val="20"/>
                <w:szCs w:val="20"/>
                <w:color w:val="auto"/>
              </w:rPr>
            </w:pPr>
            <w:r>
              <w:rPr>
                <w:rFonts w:ascii="Arial" w:cs="Arial" w:eastAsia="Arial" w:hAnsi="Arial"/>
                <w:sz w:val="16"/>
                <w:szCs w:val="16"/>
                <w:b w:val="1"/>
                <w:bCs w:val="1"/>
                <w:color w:val="auto"/>
              </w:rPr>
              <w:t>12</w:t>
            </w:r>
          </w:p>
        </w:tc>
        <w:tc>
          <w:tcPr>
            <w:tcW w:w="2440" w:type="dxa"/>
            <w:vAlign w:val="bottom"/>
          </w:tcPr>
          <w:p>
            <w:pPr>
              <w:ind w:left="80"/>
              <w:spacing w:after="0"/>
              <w:rPr>
                <w:sz w:val="20"/>
                <w:szCs w:val="20"/>
                <w:color w:val="auto"/>
              </w:rPr>
            </w:pPr>
            <w:r>
              <w:rPr>
                <w:rFonts w:ascii="Arial" w:cs="Arial" w:eastAsia="Arial" w:hAnsi="Arial"/>
                <w:sz w:val="16"/>
                <w:szCs w:val="16"/>
                <w:i w:val="1"/>
                <w:iCs w:val="1"/>
                <w:color w:val="auto"/>
              </w:rPr>
              <w:t>GasLog Gladstone</w:t>
            </w:r>
          </w:p>
        </w:tc>
        <w:tc>
          <w:tcPr>
            <w:tcW w:w="900" w:type="dxa"/>
            <w:vAlign w:val="bottom"/>
            <w:gridSpan w:val="2"/>
          </w:tcPr>
          <w:p>
            <w:pPr>
              <w:ind w:left="340"/>
              <w:spacing w:after="0"/>
              <w:rPr>
                <w:sz w:val="20"/>
                <w:szCs w:val="20"/>
                <w:color w:val="auto"/>
              </w:rPr>
            </w:pPr>
            <w:r>
              <w:rPr>
                <w:rFonts w:ascii="Arial" w:cs="Arial" w:eastAsia="Arial" w:hAnsi="Arial"/>
                <w:sz w:val="16"/>
                <w:szCs w:val="16"/>
                <w:color w:val="auto"/>
              </w:rPr>
              <w:t>2019</w:t>
            </w:r>
          </w:p>
        </w:tc>
        <w:tc>
          <w:tcPr>
            <w:tcW w:w="112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174,000</w:t>
            </w:r>
          </w:p>
        </w:tc>
        <w:tc>
          <w:tcPr>
            <w:tcW w:w="12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89"/>
              </w:rPr>
              <w:t>Shell</w:t>
            </w:r>
          </w:p>
        </w:tc>
        <w:tc>
          <w:tcPr>
            <w:tcW w:w="120" w:type="dxa"/>
            <w:vAlign w:val="bottom"/>
          </w:tcPr>
          <w:p>
            <w:pPr>
              <w:spacing w:after="0"/>
              <w:rPr>
                <w:sz w:val="21"/>
                <w:szCs w:val="21"/>
                <w:color w:val="auto"/>
              </w:rPr>
            </w:pPr>
          </w:p>
        </w:tc>
        <w:tc>
          <w:tcPr>
            <w:tcW w:w="2240" w:type="dxa"/>
            <w:vAlign w:val="bottom"/>
          </w:tcPr>
          <w:p>
            <w:pPr>
              <w:jc w:val="center"/>
              <w:spacing w:after="0"/>
              <w:rPr>
                <w:sz w:val="20"/>
                <w:szCs w:val="20"/>
                <w:color w:val="auto"/>
              </w:rPr>
            </w:pPr>
            <w:r>
              <w:rPr>
                <w:rFonts w:ascii="Arial" w:cs="Arial" w:eastAsia="Arial" w:hAnsi="Arial"/>
                <w:sz w:val="16"/>
                <w:szCs w:val="16"/>
                <w:color w:val="auto"/>
              </w:rPr>
              <w:t>X-DF</w:t>
            </w:r>
          </w:p>
        </w:tc>
        <w:tc>
          <w:tcPr>
            <w:tcW w:w="1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8"/>
              </w:rPr>
              <w:t>January 2029</w:t>
            </w:r>
          </w:p>
        </w:tc>
        <w:tc>
          <w:tcPr>
            <w:tcW w:w="1120" w:type="dxa"/>
            <w:vAlign w:val="bottom"/>
            <w:gridSpan w:val="2"/>
          </w:tcPr>
          <w:p>
            <w:pPr>
              <w:jc w:val="center"/>
              <w:ind w:left="19"/>
              <w:spacing w:after="0" w:line="243" w:lineRule="exact"/>
              <w:rPr>
                <w:sz w:val="20"/>
                <w:szCs w:val="20"/>
                <w:color w:val="auto"/>
              </w:rPr>
            </w:pPr>
            <w:r>
              <w:rPr>
                <w:rFonts w:ascii="Arial" w:cs="Arial" w:eastAsia="Arial" w:hAnsi="Arial"/>
                <w:sz w:val="16"/>
                <w:szCs w:val="16"/>
                <w:color w:val="auto"/>
                <w:w w:val="88"/>
              </w:rPr>
              <w:t xml:space="preserve">2032-2035 </w:t>
            </w:r>
            <w:r>
              <w:rPr>
                <w:rFonts w:ascii="Arial" w:cs="Arial" w:eastAsia="Arial" w:hAnsi="Arial"/>
                <w:sz w:val="26"/>
                <w:szCs w:val="26"/>
                <w:color w:val="auto"/>
                <w:w w:val="88"/>
                <w:vertAlign w:val="superscript"/>
              </w:rPr>
              <w:t>(7)</w:t>
            </w:r>
          </w:p>
        </w:tc>
        <w:tc>
          <w:tcPr>
            <w:tcW w:w="0" w:type="dxa"/>
            <w:vAlign w:val="bottom"/>
          </w:tcPr>
          <w:p>
            <w:pPr>
              <w:spacing w:after="0"/>
              <w:rPr>
                <w:sz w:val="1"/>
                <w:szCs w:val="1"/>
                <w:color w:val="auto"/>
              </w:rPr>
            </w:pPr>
          </w:p>
        </w:tc>
      </w:tr>
      <w:tr>
        <w:trPr>
          <w:trHeight w:val="243"/>
        </w:trPr>
        <w:tc>
          <w:tcPr>
            <w:tcW w:w="2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13</w:t>
            </w:r>
          </w:p>
        </w:tc>
        <w:tc>
          <w:tcPr>
            <w:tcW w:w="2440" w:type="dxa"/>
            <w:vAlign w:val="bottom"/>
            <w:shd w:val="clear" w:color="auto" w:fill="CCEEFF"/>
          </w:tcPr>
          <w:p>
            <w:pPr>
              <w:ind w:left="80"/>
              <w:spacing w:after="0"/>
              <w:rPr>
                <w:sz w:val="20"/>
                <w:szCs w:val="20"/>
                <w:color w:val="auto"/>
              </w:rPr>
            </w:pPr>
            <w:r>
              <w:rPr>
                <w:rFonts w:ascii="Arial" w:cs="Arial" w:eastAsia="Arial" w:hAnsi="Arial"/>
                <w:sz w:val="16"/>
                <w:szCs w:val="16"/>
                <w:i w:val="1"/>
                <w:iCs w:val="1"/>
                <w:color w:val="auto"/>
              </w:rPr>
              <w:t>GasLog Warsaw</w:t>
            </w: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2019</w:t>
            </w:r>
          </w:p>
        </w:tc>
        <w:tc>
          <w:tcPr>
            <w:tcW w:w="11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180,000</w:t>
            </w:r>
          </w:p>
        </w:tc>
        <w:tc>
          <w:tcPr>
            <w:tcW w:w="120" w:type="dxa"/>
            <w:vAlign w:val="bottom"/>
            <w:shd w:val="clear" w:color="auto" w:fill="CCEEFF"/>
          </w:tcPr>
          <w:p>
            <w:pPr>
              <w:spacing w:after="0"/>
              <w:rPr>
                <w:sz w:val="21"/>
                <w:szCs w:val="21"/>
                <w:color w:val="auto"/>
              </w:rPr>
            </w:pPr>
          </w:p>
        </w:tc>
        <w:tc>
          <w:tcPr>
            <w:tcW w:w="1680" w:type="dxa"/>
            <w:vAlign w:val="bottom"/>
            <w:shd w:val="clear" w:color="auto" w:fill="CCEEFF"/>
          </w:tcPr>
          <w:p>
            <w:pPr>
              <w:jc w:val="center"/>
              <w:spacing w:after="0" w:line="243" w:lineRule="exact"/>
              <w:rPr>
                <w:sz w:val="20"/>
                <w:szCs w:val="20"/>
                <w:color w:val="auto"/>
              </w:rPr>
            </w:pPr>
            <w:r>
              <w:rPr>
                <w:rFonts w:ascii="Arial" w:cs="Arial" w:eastAsia="Arial" w:hAnsi="Arial"/>
                <w:sz w:val="16"/>
                <w:szCs w:val="16"/>
                <w:color w:val="auto"/>
                <w:w w:val="80"/>
              </w:rPr>
              <w:t xml:space="preserve">Endesa </w:t>
            </w:r>
            <w:r>
              <w:rPr>
                <w:rFonts w:ascii="Arial" w:cs="Arial" w:eastAsia="Arial" w:hAnsi="Arial"/>
                <w:sz w:val="26"/>
                <w:szCs w:val="26"/>
                <w:color w:val="auto"/>
                <w:w w:val="80"/>
                <w:vertAlign w:val="superscript"/>
              </w:rPr>
              <w:t>(10)</w:t>
            </w:r>
          </w:p>
        </w:tc>
        <w:tc>
          <w:tcPr>
            <w:tcW w:w="120" w:type="dxa"/>
            <w:vAlign w:val="bottom"/>
            <w:shd w:val="clear" w:color="auto" w:fill="CCEEFF"/>
          </w:tcPr>
          <w:p>
            <w:pPr>
              <w:spacing w:after="0"/>
              <w:rPr>
                <w:sz w:val="21"/>
                <w:szCs w:val="21"/>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X-DF</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May 2029</w:t>
            </w:r>
          </w:p>
        </w:tc>
        <w:tc>
          <w:tcPr>
            <w:tcW w:w="1120" w:type="dxa"/>
            <w:vAlign w:val="bottom"/>
            <w:gridSpan w:val="2"/>
            <w:shd w:val="clear" w:color="auto" w:fill="CCEEFF"/>
          </w:tcPr>
          <w:p>
            <w:pPr>
              <w:jc w:val="center"/>
              <w:ind w:left="39"/>
              <w:spacing w:after="0" w:line="243" w:lineRule="exact"/>
              <w:rPr>
                <w:sz w:val="20"/>
                <w:szCs w:val="20"/>
                <w:color w:val="auto"/>
              </w:rPr>
            </w:pPr>
            <w:r>
              <w:rPr>
                <w:rFonts w:ascii="Arial" w:cs="Arial" w:eastAsia="Arial" w:hAnsi="Arial"/>
                <w:sz w:val="16"/>
                <w:szCs w:val="16"/>
                <w:color w:val="auto"/>
                <w:w w:val="85"/>
              </w:rPr>
              <w:t xml:space="preserve">2035-2041 </w:t>
            </w:r>
            <w:r>
              <w:rPr>
                <w:rFonts w:ascii="Arial" w:cs="Arial" w:eastAsia="Arial" w:hAnsi="Arial"/>
                <w:sz w:val="26"/>
                <w:szCs w:val="26"/>
                <w:color w:val="auto"/>
                <w:w w:val="85"/>
                <w:vertAlign w:val="superscript"/>
              </w:rPr>
              <w:t>(10)</w:t>
            </w:r>
          </w:p>
        </w:tc>
        <w:tc>
          <w:tcPr>
            <w:tcW w:w="0" w:type="dxa"/>
            <w:vAlign w:val="bottom"/>
          </w:tcPr>
          <w:p>
            <w:pPr>
              <w:spacing w:after="0"/>
              <w:rPr>
                <w:sz w:val="1"/>
                <w:szCs w:val="1"/>
                <w:color w:val="auto"/>
              </w:rPr>
            </w:pPr>
          </w:p>
        </w:tc>
      </w:tr>
      <w:tr>
        <w:trPr>
          <w:trHeight w:val="353"/>
        </w:trPr>
        <w:tc>
          <w:tcPr>
            <w:tcW w:w="260" w:type="dxa"/>
            <w:vAlign w:val="bottom"/>
          </w:tcPr>
          <w:p>
            <w:pPr>
              <w:spacing w:after="0"/>
              <w:rPr>
                <w:sz w:val="20"/>
                <w:szCs w:val="20"/>
                <w:color w:val="auto"/>
              </w:rPr>
            </w:pPr>
            <w:r>
              <w:rPr>
                <w:rFonts w:ascii="Arial" w:cs="Arial" w:eastAsia="Arial" w:hAnsi="Arial"/>
                <w:sz w:val="16"/>
                <w:szCs w:val="16"/>
                <w:b w:val="1"/>
                <w:bCs w:val="1"/>
                <w:color w:val="auto"/>
              </w:rPr>
              <w:t>14</w:t>
            </w:r>
          </w:p>
        </w:tc>
        <w:tc>
          <w:tcPr>
            <w:tcW w:w="2440" w:type="dxa"/>
            <w:vAlign w:val="bottom"/>
          </w:tcPr>
          <w:p>
            <w:pPr>
              <w:ind w:left="80"/>
              <w:spacing w:after="0"/>
              <w:rPr>
                <w:sz w:val="20"/>
                <w:szCs w:val="20"/>
                <w:color w:val="auto"/>
              </w:rPr>
            </w:pPr>
            <w:r>
              <w:rPr>
                <w:rFonts w:ascii="Arial" w:cs="Arial" w:eastAsia="Arial" w:hAnsi="Arial"/>
                <w:sz w:val="16"/>
                <w:szCs w:val="16"/>
                <w:i w:val="1"/>
                <w:iCs w:val="1"/>
                <w:color w:val="auto"/>
              </w:rPr>
              <w:t>GasLog Wales</w:t>
            </w:r>
          </w:p>
        </w:tc>
        <w:tc>
          <w:tcPr>
            <w:tcW w:w="900" w:type="dxa"/>
            <w:vAlign w:val="bottom"/>
            <w:gridSpan w:val="2"/>
          </w:tcPr>
          <w:p>
            <w:pPr>
              <w:ind w:left="340"/>
              <w:spacing w:after="0"/>
              <w:rPr>
                <w:sz w:val="20"/>
                <w:szCs w:val="20"/>
                <w:color w:val="auto"/>
              </w:rPr>
            </w:pPr>
            <w:r>
              <w:rPr>
                <w:rFonts w:ascii="Arial" w:cs="Arial" w:eastAsia="Arial" w:hAnsi="Arial"/>
                <w:sz w:val="16"/>
                <w:szCs w:val="16"/>
                <w:color w:val="auto"/>
              </w:rPr>
              <w:t>2020</w:t>
            </w:r>
          </w:p>
        </w:tc>
        <w:tc>
          <w:tcPr>
            <w:tcW w:w="112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180,000</w:t>
            </w: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78"/>
              </w:rPr>
              <w:t xml:space="preserve">Jera </w:t>
            </w:r>
            <w:r>
              <w:rPr>
                <w:rFonts w:ascii="Arial" w:cs="Arial" w:eastAsia="Arial" w:hAnsi="Arial"/>
                <w:sz w:val="26"/>
                <w:szCs w:val="26"/>
                <w:color w:val="auto"/>
                <w:w w:val="78"/>
                <w:vertAlign w:val="superscript"/>
              </w:rPr>
              <w:t>(11)</w:t>
            </w:r>
          </w:p>
        </w:tc>
        <w:tc>
          <w:tcPr>
            <w:tcW w:w="1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6"/>
                <w:szCs w:val="16"/>
                <w:color w:val="auto"/>
              </w:rPr>
              <w:t>X-DF</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March 2032</w:t>
            </w:r>
          </w:p>
        </w:tc>
        <w:tc>
          <w:tcPr>
            <w:tcW w:w="1120" w:type="dxa"/>
            <w:vAlign w:val="bottom"/>
            <w:gridSpan w:val="2"/>
          </w:tcPr>
          <w:p>
            <w:pPr>
              <w:jc w:val="center"/>
              <w:ind w:left="39"/>
              <w:spacing w:after="0"/>
              <w:rPr>
                <w:sz w:val="20"/>
                <w:szCs w:val="20"/>
                <w:color w:val="auto"/>
              </w:rPr>
            </w:pPr>
            <w:r>
              <w:rPr>
                <w:rFonts w:ascii="Arial" w:cs="Arial" w:eastAsia="Arial" w:hAnsi="Arial"/>
                <w:sz w:val="16"/>
                <w:szCs w:val="16"/>
                <w:color w:val="auto"/>
                <w:w w:val="85"/>
              </w:rPr>
              <w:t xml:space="preserve">2035-2038 </w:t>
            </w:r>
            <w:r>
              <w:rPr>
                <w:rFonts w:ascii="Arial" w:cs="Arial" w:eastAsia="Arial" w:hAnsi="Arial"/>
                <w:sz w:val="26"/>
                <w:szCs w:val="26"/>
                <w:color w:val="auto"/>
                <w:w w:val="85"/>
                <w:vertAlign w:val="superscript"/>
              </w:rPr>
              <w:t>(11)</w:t>
            </w: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As of May 11, 2023, the Partnership’s owned fleet consisted of the following vessels: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0"/>
              </w:rPr>
              <w:t>Cargo</w:t>
            </w:r>
          </w:p>
        </w:tc>
        <w:tc>
          <w:tcPr>
            <w:tcW w:w="10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96"/>
              </w:rPr>
              <w:t>Charterer (for</w:t>
            </w:r>
          </w:p>
        </w:tc>
        <w:tc>
          <w:tcPr>
            <w:tcW w:w="1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Optional</w:t>
            </w:r>
          </w:p>
        </w:tc>
        <w:tc>
          <w:tcPr>
            <w:tcW w:w="0" w:type="dxa"/>
            <w:vAlign w:val="bottom"/>
          </w:tcPr>
          <w:p>
            <w:pPr>
              <w:spacing w:after="0"/>
              <w:rPr>
                <w:sz w:val="1"/>
                <w:szCs w:val="1"/>
                <w:color w:val="auto"/>
              </w:rPr>
            </w:pPr>
          </w:p>
        </w:tc>
      </w:tr>
      <w:tr>
        <w:trPr>
          <w:trHeight w:val="163"/>
        </w:trPr>
        <w:tc>
          <w:tcPr>
            <w:tcW w:w="2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ind w:left="180"/>
              <w:spacing w:after="0" w:line="163" w:lineRule="exact"/>
              <w:rPr>
                <w:sz w:val="20"/>
                <w:szCs w:val="20"/>
                <w:color w:val="auto"/>
              </w:rPr>
            </w:pPr>
            <w:r>
              <w:rPr>
                <w:rFonts w:ascii="Arial" w:cs="Arial" w:eastAsia="Arial" w:hAnsi="Arial"/>
                <w:sz w:val="16"/>
                <w:szCs w:val="16"/>
                <w:b w:val="1"/>
                <w:bCs w:val="1"/>
                <w:color w:val="auto"/>
              </w:rPr>
              <w:t>Year</w:t>
            </w:r>
          </w:p>
        </w:tc>
        <w:tc>
          <w:tcPr>
            <w:tcW w:w="100" w:type="dxa"/>
            <w:vAlign w:val="bottom"/>
          </w:tcPr>
          <w:p>
            <w:pPr>
              <w:spacing w:after="0"/>
              <w:rPr>
                <w:sz w:val="14"/>
                <w:szCs w:val="14"/>
                <w:color w:val="auto"/>
              </w:rPr>
            </w:pPr>
          </w:p>
        </w:tc>
        <w:tc>
          <w:tcPr>
            <w:tcW w:w="980" w:type="dxa"/>
            <w:vAlign w:val="bottom"/>
          </w:tcPr>
          <w:p>
            <w:pPr>
              <w:jc w:val="center"/>
              <w:spacing w:after="0" w:line="163" w:lineRule="exact"/>
              <w:rPr>
                <w:sz w:val="20"/>
                <w:szCs w:val="20"/>
                <w:color w:val="auto"/>
              </w:rPr>
            </w:pPr>
            <w:r>
              <w:rPr>
                <w:rFonts w:ascii="Arial" w:cs="Arial" w:eastAsia="Arial" w:hAnsi="Arial"/>
                <w:sz w:val="16"/>
                <w:szCs w:val="16"/>
                <w:b w:val="1"/>
                <w:bCs w:val="1"/>
                <w:color w:val="auto"/>
                <w:w w:val="92"/>
              </w:rPr>
              <w:t>Capacity</w:t>
            </w:r>
          </w:p>
        </w:tc>
        <w:tc>
          <w:tcPr>
            <w:tcW w:w="100" w:type="dxa"/>
            <w:vAlign w:val="bottom"/>
          </w:tcPr>
          <w:p>
            <w:pPr>
              <w:spacing w:after="0"/>
              <w:rPr>
                <w:sz w:val="14"/>
                <w:szCs w:val="14"/>
                <w:color w:val="auto"/>
              </w:rPr>
            </w:pPr>
          </w:p>
        </w:tc>
        <w:tc>
          <w:tcPr>
            <w:tcW w:w="1640" w:type="dxa"/>
            <w:vAlign w:val="bottom"/>
          </w:tcPr>
          <w:p>
            <w:pPr>
              <w:jc w:val="center"/>
              <w:spacing w:after="0" w:line="163" w:lineRule="exact"/>
              <w:rPr>
                <w:sz w:val="20"/>
                <w:szCs w:val="20"/>
                <w:color w:val="auto"/>
              </w:rPr>
            </w:pPr>
            <w:r>
              <w:rPr>
                <w:rFonts w:ascii="Arial" w:cs="Arial" w:eastAsia="Arial" w:hAnsi="Arial"/>
                <w:sz w:val="16"/>
                <w:szCs w:val="16"/>
                <w:b w:val="1"/>
                <w:bCs w:val="1"/>
                <w:color w:val="auto"/>
                <w:w w:val="88"/>
              </w:rPr>
              <w:t>contracts of more</w:t>
            </w:r>
          </w:p>
        </w:tc>
        <w:tc>
          <w:tcPr>
            <w:tcW w:w="1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40" w:type="dxa"/>
            <w:vAlign w:val="bottom"/>
          </w:tcPr>
          <w:p>
            <w:pPr>
              <w:spacing w:after="0"/>
              <w:rPr>
                <w:sz w:val="22"/>
                <w:szCs w:val="22"/>
                <w:color w:val="auto"/>
              </w:rPr>
            </w:pPr>
          </w:p>
        </w:tc>
        <w:tc>
          <w:tcPr>
            <w:tcW w:w="2280" w:type="dxa"/>
            <w:vAlign w:val="bottom"/>
          </w:tcPr>
          <w:p>
            <w:pPr>
              <w:ind w:left="580"/>
              <w:spacing w:after="0"/>
              <w:rPr>
                <w:sz w:val="20"/>
                <w:szCs w:val="20"/>
                <w:color w:val="auto"/>
              </w:rPr>
            </w:pPr>
            <w:r>
              <w:rPr>
                <w:rFonts w:ascii="Arial" w:cs="Arial" w:eastAsia="Arial" w:hAnsi="Arial"/>
                <w:sz w:val="16"/>
                <w:szCs w:val="16"/>
                <w:b w:val="1"/>
                <w:bCs w:val="1"/>
                <w:color w:val="auto"/>
              </w:rPr>
              <w:t>Vessel Name</w:t>
            </w:r>
          </w:p>
        </w:tc>
        <w:tc>
          <w:tcPr>
            <w:tcW w:w="280" w:type="dxa"/>
            <w:vAlign w:val="bottom"/>
          </w:tcPr>
          <w:p>
            <w:pPr>
              <w:spacing w:after="0"/>
              <w:rPr>
                <w:sz w:val="22"/>
                <w:szCs w:val="22"/>
                <w:color w:val="auto"/>
              </w:rPr>
            </w:pPr>
          </w:p>
        </w:tc>
        <w:tc>
          <w:tcPr>
            <w:tcW w:w="740" w:type="dxa"/>
            <w:vAlign w:val="bottom"/>
          </w:tcPr>
          <w:p>
            <w:pPr>
              <w:ind w:left="200"/>
              <w:spacing w:after="0"/>
              <w:rPr>
                <w:sz w:val="20"/>
                <w:szCs w:val="20"/>
                <w:color w:val="auto"/>
              </w:rPr>
            </w:pPr>
            <w:r>
              <w:rPr>
                <w:rFonts w:ascii="Arial" w:cs="Arial" w:eastAsia="Arial" w:hAnsi="Arial"/>
                <w:sz w:val="16"/>
                <w:szCs w:val="16"/>
                <w:b w:val="1"/>
                <w:bCs w:val="1"/>
                <w:color w:val="auto"/>
              </w:rPr>
              <w:t>Built</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6"/>
              </w:rPr>
              <w:t>(cbm)</w:t>
            </w:r>
          </w:p>
        </w:tc>
        <w:tc>
          <w:tcPr>
            <w:tcW w:w="100" w:type="dxa"/>
            <w:vAlign w:val="bottom"/>
          </w:tcPr>
          <w:p>
            <w:pPr>
              <w:spacing w:after="0"/>
              <w:rPr>
                <w:sz w:val="22"/>
                <w:szCs w:val="22"/>
                <w:color w:val="auto"/>
              </w:rPr>
            </w:pP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90"/>
              </w:rPr>
              <w:t>than six months)</w:t>
            </w:r>
          </w:p>
        </w:tc>
        <w:tc>
          <w:tcPr>
            <w:tcW w:w="100" w:type="dxa"/>
            <w:vAlign w:val="bottom"/>
          </w:tcPr>
          <w:p>
            <w:pPr>
              <w:spacing w:after="0"/>
              <w:rPr>
                <w:sz w:val="22"/>
                <w:szCs w:val="22"/>
                <w:color w:val="auto"/>
              </w:rPr>
            </w:pPr>
          </w:p>
        </w:tc>
        <w:tc>
          <w:tcPr>
            <w:tcW w:w="2100" w:type="dxa"/>
            <w:vAlign w:val="bottom"/>
          </w:tcPr>
          <w:p>
            <w:pPr>
              <w:jc w:val="center"/>
              <w:spacing w:after="0"/>
              <w:rPr>
                <w:sz w:val="20"/>
                <w:szCs w:val="20"/>
                <w:color w:val="auto"/>
              </w:rPr>
            </w:pPr>
            <w:r>
              <w:rPr>
                <w:rFonts w:ascii="Arial" w:cs="Arial" w:eastAsia="Arial" w:hAnsi="Arial"/>
                <w:sz w:val="16"/>
                <w:szCs w:val="16"/>
                <w:b w:val="1"/>
                <w:bCs w:val="1"/>
                <w:color w:val="auto"/>
                <w:w w:val="90"/>
              </w:rPr>
              <w:t>Propulsion</w:t>
            </w:r>
          </w:p>
        </w:tc>
        <w:tc>
          <w:tcPr>
            <w:tcW w:w="1700" w:type="dxa"/>
            <w:vAlign w:val="bottom"/>
            <w:gridSpan w:val="3"/>
          </w:tcPr>
          <w:p>
            <w:pPr>
              <w:jc w:val="center"/>
              <w:spacing w:after="0" w:line="256" w:lineRule="exact"/>
              <w:rPr>
                <w:sz w:val="20"/>
                <w:szCs w:val="20"/>
                <w:color w:val="auto"/>
              </w:rPr>
            </w:pPr>
            <w:r>
              <w:rPr>
                <w:rFonts w:ascii="Arial" w:cs="Arial" w:eastAsia="Arial" w:hAnsi="Arial"/>
                <w:sz w:val="16"/>
                <w:szCs w:val="16"/>
                <w:b w:val="1"/>
                <w:bCs w:val="1"/>
                <w:color w:val="auto"/>
                <w:w w:val="93"/>
              </w:rPr>
              <w:t>Charter Expiration</w:t>
            </w:r>
            <w:r>
              <w:rPr>
                <w:rFonts w:ascii="Arial" w:cs="Arial" w:eastAsia="Arial" w:hAnsi="Arial"/>
                <w:sz w:val="26"/>
                <w:szCs w:val="26"/>
                <w:b w:val="1"/>
                <w:bCs w:val="1"/>
                <w:color w:val="auto"/>
                <w:w w:val="93"/>
                <w:vertAlign w:val="superscript"/>
              </w:rPr>
              <w:t>(1)</w:t>
            </w:r>
          </w:p>
        </w:tc>
        <w:tc>
          <w:tcPr>
            <w:tcW w:w="980" w:type="dxa"/>
            <w:vAlign w:val="bottom"/>
          </w:tcPr>
          <w:p>
            <w:pPr>
              <w:ind w:left="180"/>
              <w:spacing w:after="0" w:line="256" w:lineRule="exact"/>
              <w:rPr>
                <w:sz w:val="20"/>
                <w:szCs w:val="20"/>
                <w:color w:val="auto"/>
              </w:rPr>
            </w:pPr>
            <w:r>
              <w:rPr>
                <w:rFonts w:ascii="Arial" w:cs="Arial" w:eastAsia="Arial" w:hAnsi="Arial"/>
                <w:sz w:val="16"/>
                <w:szCs w:val="16"/>
                <w:b w:val="1"/>
                <w:bCs w:val="1"/>
                <w:color w:val="auto"/>
              </w:rPr>
              <w:t>Period</w:t>
            </w:r>
            <w:r>
              <w:rPr>
                <w:rFonts w:ascii="Arial" w:cs="Arial" w:eastAsia="Arial" w:hAnsi="Arial"/>
                <w:sz w:val="26"/>
                <w:szCs w:val="26"/>
                <w:b w:val="1"/>
                <w:bCs w:val="1"/>
                <w:color w:val="auto"/>
                <w:vertAlign w:val="superscript"/>
              </w:rPr>
              <w:t>(2)</w:t>
            </w:r>
          </w:p>
        </w:tc>
        <w:tc>
          <w:tcPr>
            <w:tcW w:w="0" w:type="dxa"/>
            <w:vAlign w:val="bottom"/>
          </w:tcPr>
          <w:p>
            <w:pPr>
              <w:spacing w:after="0"/>
              <w:rPr>
                <w:sz w:val="1"/>
                <w:szCs w:val="1"/>
                <w:color w:val="auto"/>
              </w:rPr>
            </w:pPr>
          </w:p>
        </w:tc>
      </w:tr>
      <w:tr>
        <w:trPr>
          <w:trHeight w:val="210"/>
        </w:trPr>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1</w:t>
            </w:r>
          </w:p>
        </w:tc>
        <w:tc>
          <w:tcPr>
            <w:tcW w:w="22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6"/>
                <w:szCs w:val="16"/>
                <w:i w:val="1"/>
                <w:iCs w:val="1"/>
                <w:color w:val="auto"/>
              </w:rPr>
              <w:t>Methane Rita Andrea</w:t>
            </w:r>
          </w:p>
        </w:tc>
        <w:tc>
          <w:tcPr>
            <w:tcW w:w="2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2006</w:t>
            </w:r>
          </w:p>
        </w:tc>
        <w:tc>
          <w:tcPr>
            <w:tcW w:w="10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145,000</w:t>
            </w:r>
          </w:p>
        </w:tc>
        <w:tc>
          <w:tcPr>
            <w:tcW w:w="100" w:type="dxa"/>
            <w:vAlign w:val="bottom"/>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4"/>
              </w:rPr>
              <w:t>Energy Major</w:t>
            </w:r>
          </w:p>
        </w:tc>
        <w:tc>
          <w:tcPr>
            <w:tcW w:w="100" w:type="dxa"/>
            <w:vAlign w:val="bottom"/>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6"/>
              </w:rPr>
              <w:t>Steam</w:t>
            </w:r>
          </w:p>
        </w:tc>
        <w:tc>
          <w:tcPr>
            <w:tcW w:w="100" w:type="dxa"/>
            <w:vAlign w:val="bottom"/>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October 2023</w:t>
            </w:r>
          </w:p>
        </w:tc>
        <w:tc>
          <w:tcPr>
            <w:tcW w:w="10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0"/>
                <w:szCs w:val="20"/>
                <w:color w:val="auto"/>
              </w:rPr>
            </w:pPr>
            <w:r>
              <w:rPr>
                <w:rFonts w:ascii="Arial" w:cs="Arial" w:eastAsia="Arial" w:hAnsi="Arial"/>
                <w:sz w:val="16"/>
                <w:szCs w:val="16"/>
                <w:b w:val="1"/>
                <w:bCs w:val="1"/>
                <w:color w:val="auto"/>
              </w:rPr>
              <w:t>2</w:t>
            </w:r>
          </w:p>
        </w:tc>
        <w:tc>
          <w:tcPr>
            <w:tcW w:w="2280" w:type="dxa"/>
            <w:vAlign w:val="bottom"/>
          </w:tcPr>
          <w:p>
            <w:pPr>
              <w:ind w:left="80"/>
              <w:spacing w:after="0"/>
              <w:rPr>
                <w:sz w:val="20"/>
                <w:szCs w:val="20"/>
                <w:color w:val="auto"/>
              </w:rPr>
            </w:pPr>
            <w:r>
              <w:rPr>
                <w:rFonts w:ascii="Arial" w:cs="Arial" w:eastAsia="Arial" w:hAnsi="Arial"/>
                <w:sz w:val="16"/>
                <w:szCs w:val="16"/>
                <w:i w:val="1"/>
                <w:iCs w:val="1"/>
                <w:color w:val="auto"/>
              </w:rPr>
              <w:t>Methane Alison Victoria</w:t>
            </w:r>
          </w:p>
        </w:tc>
        <w:tc>
          <w:tcPr>
            <w:tcW w:w="1020" w:type="dxa"/>
            <w:vAlign w:val="bottom"/>
            <w:gridSpan w:val="2"/>
          </w:tcPr>
          <w:p>
            <w:pPr>
              <w:ind w:left="480"/>
              <w:spacing w:after="0"/>
              <w:rPr>
                <w:sz w:val="20"/>
                <w:szCs w:val="20"/>
                <w:color w:val="auto"/>
              </w:rPr>
            </w:pPr>
            <w:r>
              <w:rPr>
                <w:rFonts w:ascii="Arial" w:cs="Arial" w:eastAsia="Arial" w:hAnsi="Arial"/>
                <w:sz w:val="16"/>
                <w:szCs w:val="16"/>
                <w:color w:val="auto"/>
              </w:rPr>
              <w:t>2007</w:t>
            </w:r>
          </w:p>
        </w:tc>
        <w:tc>
          <w:tcPr>
            <w:tcW w:w="108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145,000</w:t>
            </w:r>
          </w:p>
        </w:tc>
        <w:tc>
          <w:tcPr>
            <w:tcW w:w="100" w:type="dxa"/>
            <w:vAlign w:val="bottom"/>
          </w:tcPr>
          <w:p>
            <w:pPr>
              <w:spacing w:after="0"/>
              <w:rPr>
                <w:sz w:val="21"/>
                <w:szCs w:val="21"/>
                <w:color w:val="auto"/>
              </w:rPr>
            </w:pPr>
          </w:p>
        </w:tc>
        <w:tc>
          <w:tcPr>
            <w:tcW w:w="1640" w:type="dxa"/>
            <w:vAlign w:val="bottom"/>
          </w:tcPr>
          <w:p>
            <w:pPr>
              <w:jc w:val="center"/>
              <w:spacing w:after="0" w:line="243" w:lineRule="exact"/>
              <w:rPr>
                <w:sz w:val="20"/>
                <w:szCs w:val="20"/>
                <w:color w:val="auto"/>
              </w:rPr>
            </w:pPr>
            <w:r>
              <w:rPr>
                <w:rFonts w:ascii="Arial" w:cs="Arial" w:eastAsia="Arial" w:hAnsi="Arial"/>
                <w:sz w:val="16"/>
                <w:szCs w:val="16"/>
                <w:color w:val="auto"/>
                <w:w w:val="91"/>
              </w:rPr>
              <w:t xml:space="preserve">CNTIC VPower </w:t>
            </w:r>
            <w:r>
              <w:rPr>
                <w:rFonts w:ascii="Arial" w:cs="Arial" w:eastAsia="Arial" w:hAnsi="Arial"/>
                <w:sz w:val="26"/>
                <w:szCs w:val="26"/>
                <w:color w:val="auto"/>
                <w:w w:val="91"/>
                <w:vertAlign w:val="superscript"/>
              </w:rPr>
              <w:t>(12)</w:t>
            </w:r>
          </w:p>
        </w:tc>
        <w:tc>
          <w:tcPr>
            <w:tcW w:w="100" w:type="dxa"/>
            <w:vAlign w:val="bottom"/>
          </w:tcPr>
          <w:p>
            <w:pPr>
              <w:spacing w:after="0"/>
              <w:rPr>
                <w:sz w:val="21"/>
                <w:szCs w:val="21"/>
                <w:color w:val="auto"/>
              </w:rPr>
            </w:pPr>
          </w:p>
        </w:tc>
        <w:tc>
          <w:tcPr>
            <w:tcW w:w="2100" w:type="dxa"/>
            <w:vAlign w:val="bottom"/>
          </w:tcPr>
          <w:p>
            <w:pPr>
              <w:jc w:val="center"/>
              <w:spacing w:after="0"/>
              <w:rPr>
                <w:sz w:val="20"/>
                <w:szCs w:val="20"/>
                <w:color w:val="auto"/>
              </w:rPr>
            </w:pPr>
            <w:r>
              <w:rPr>
                <w:rFonts w:ascii="Arial" w:cs="Arial" w:eastAsia="Arial" w:hAnsi="Arial"/>
                <w:sz w:val="16"/>
                <w:szCs w:val="16"/>
                <w:color w:val="auto"/>
                <w:w w:val="86"/>
              </w:rPr>
              <w:t>Steam</w:t>
            </w:r>
          </w:p>
        </w:tc>
        <w:tc>
          <w:tcPr>
            <w:tcW w:w="100" w:type="dxa"/>
            <w:vAlign w:val="bottom"/>
          </w:tcPr>
          <w:p>
            <w:pPr>
              <w:spacing w:after="0"/>
              <w:rPr>
                <w:sz w:val="21"/>
                <w:szCs w:val="21"/>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October 2023</w:t>
            </w:r>
          </w:p>
        </w:tc>
        <w:tc>
          <w:tcPr>
            <w:tcW w:w="980" w:type="dxa"/>
            <w:vAlign w:val="bottom"/>
          </w:tcPr>
          <w:p>
            <w:pPr>
              <w:jc w:val="center"/>
              <w:spacing w:after="0" w:line="243" w:lineRule="exact"/>
              <w:rPr>
                <w:sz w:val="20"/>
                <w:szCs w:val="20"/>
                <w:color w:val="auto"/>
              </w:rPr>
            </w:pPr>
            <w:r>
              <w:rPr>
                <w:rFonts w:ascii="Arial" w:cs="Arial" w:eastAsia="Arial" w:hAnsi="Arial"/>
                <w:sz w:val="16"/>
                <w:szCs w:val="16"/>
                <w:color w:val="auto"/>
                <w:w w:val="85"/>
              </w:rPr>
              <w:t xml:space="preserve">2024-2025 </w:t>
            </w:r>
            <w:r>
              <w:rPr>
                <w:rFonts w:ascii="Arial" w:cs="Arial" w:eastAsia="Arial" w:hAnsi="Arial"/>
                <w:sz w:val="26"/>
                <w:szCs w:val="26"/>
                <w:color w:val="auto"/>
                <w:w w:val="85"/>
                <w:vertAlign w:val="superscript"/>
              </w:rPr>
              <w:t>(12)</w:t>
            </w:r>
          </w:p>
        </w:tc>
        <w:tc>
          <w:tcPr>
            <w:tcW w:w="0" w:type="dxa"/>
            <w:vAlign w:val="bottom"/>
          </w:tcPr>
          <w:p>
            <w:pPr>
              <w:spacing w:after="0"/>
              <w:rPr>
                <w:sz w:val="1"/>
                <w:szCs w:val="1"/>
                <w:color w:val="auto"/>
              </w:rPr>
            </w:pPr>
          </w:p>
        </w:tc>
      </w:tr>
      <w:tr>
        <w:trPr>
          <w:trHeight w:val="216"/>
        </w:trPr>
        <w:tc>
          <w:tcPr>
            <w:tcW w:w="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3</w:t>
            </w:r>
          </w:p>
        </w:tc>
        <w:tc>
          <w:tcPr>
            <w:tcW w:w="2280" w:type="dxa"/>
            <w:vAlign w:val="bottom"/>
            <w:shd w:val="clear" w:color="auto" w:fill="CCEEFF"/>
          </w:tcPr>
          <w:p>
            <w:pPr>
              <w:ind w:left="80"/>
              <w:spacing w:after="0"/>
              <w:rPr>
                <w:sz w:val="20"/>
                <w:szCs w:val="20"/>
                <w:color w:val="auto"/>
              </w:rPr>
            </w:pPr>
            <w:r>
              <w:rPr>
                <w:rFonts w:ascii="Arial" w:cs="Arial" w:eastAsia="Arial" w:hAnsi="Arial"/>
                <w:sz w:val="16"/>
                <w:szCs w:val="16"/>
                <w:i w:val="1"/>
                <w:iCs w:val="1"/>
                <w:color w:val="auto"/>
              </w:rPr>
              <w:t>Solaris</w:t>
            </w:r>
          </w:p>
        </w:tc>
        <w:tc>
          <w:tcPr>
            <w:tcW w:w="10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2014</w:t>
            </w:r>
          </w:p>
        </w:tc>
        <w:tc>
          <w:tcPr>
            <w:tcW w:w="108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3"/>
              </w:rPr>
              <w:t>155,000</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Energy Major</w:t>
            </w:r>
          </w:p>
        </w:tc>
        <w:tc>
          <w:tcPr>
            <w:tcW w:w="100" w:type="dxa"/>
            <w:vAlign w:val="bottom"/>
            <w:shd w:val="clear" w:color="auto" w:fill="CCEEFF"/>
          </w:tcPr>
          <w:p>
            <w:pPr>
              <w:spacing w:after="0"/>
              <w:rPr>
                <w:sz w:val="18"/>
                <w:szCs w:val="18"/>
                <w:color w:val="auto"/>
              </w:rPr>
            </w:pPr>
          </w:p>
        </w:tc>
        <w:tc>
          <w:tcPr>
            <w:tcW w:w="2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TFDE</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October 2023</w:t>
            </w: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0"/>
                <w:szCs w:val="20"/>
                <w:color w:val="auto"/>
              </w:rPr>
            </w:pPr>
            <w:r>
              <w:rPr>
                <w:rFonts w:ascii="Arial" w:cs="Arial" w:eastAsia="Arial" w:hAnsi="Arial"/>
                <w:sz w:val="16"/>
                <w:szCs w:val="16"/>
                <w:b w:val="1"/>
                <w:bCs w:val="1"/>
                <w:color w:val="auto"/>
              </w:rPr>
              <w:t>4</w:t>
            </w:r>
          </w:p>
        </w:tc>
        <w:tc>
          <w:tcPr>
            <w:tcW w:w="2280" w:type="dxa"/>
            <w:vAlign w:val="bottom"/>
          </w:tcPr>
          <w:p>
            <w:pPr>
              <w:ind w:left="80"/>
              <w:spacing w:after="0"/>
              <w:rPr>
                <w:sz w:val="20"/>
                <w:szCs w:val="20"/>
                <w:color w:val="auto"/>
              </w:rPr>
            </w:pPr>
            <w:r>
              <w:rPr>
                <w:rFonts w:ascii="Arial" w:cs="Arial" w:eastAsia="Arial" w:hAnsi="Arial"/>
                <w:sz w:val="16"/>
                <w:szCs w:val="16"/>
                <w:i w:val="1"/>
                <w:iCs w:val="1"/>
                <w:color w:val="auto"/>
              </w:rPr>
              <w:t>GasLog Santiago</w:t>
            </w:r>
          </w:p>
        </w:tc>
        <w:tc>
          <w:tcPr>
            <w:tcW w:w="1020" w:type="dxa"/>
            <w:vAlign w:val="bottom"/>
            <w:gridSpan w:val="2"/>
          </w:tcPr>
          <w:p>
            <w:pPr>
              <w:ind w:left="480"/>
              <w:spacing w:after="0"/>
              <w:rPr>
                <w:sz w:val="20"/>
                <w:szCs w:val="20"/>
                <w:color w:val="auto"/>
              </w:rPr>
            </w:pPr>
            <w:r>
              <w:rPr>
                <w:rFonts w:ascii="Arial" w:cs="Arial" w:eastAsia="Arial" w:hAnsi="Arial"/>
                <w:sz w:val="16"/>
                <w:szCs w:val="16"/>
                <w:color w:val="auto"/>
              </w:rPr>
              <w:t>2013</w:t>
            </w:r>
          </w:p>
        </w:tc>
        <w:tc>
          <w:tcPr>
            <w:tcW w:w="108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155,000</w:t>
            </w:r>
          </w:p>
        </w:tc>
        <w:tc>
          <w:tcPr>
            <w:tcW w:w="100" w:type="dxa"/>
            <w:vAlign w:val="bottom"/>
          </w:tcPr>
          <w:p>
            <w:pPr>
              <w:spacing w:after="0"/>
              <w:rPr>
                <w:sz w:val="21"/>
                <w:szCs w:val="21"/>
                <w:color w:val="auto"/>
              </w:rPr>
            </w:pPr>
          </w:p>
        </w:tc>
        <w:tc>
          <w:tcPr>
            <w:tcW w:w="1640" w:type="dxa"/>
            <w:vAlign w:val="bottom"/>
          </w:tcPr>
          <w:p>
            <w:pPr>
              <w:jc w:val="center"/>
              <w:spacing w:after="0" w:line="243" w:lineRule="exact"/>
              <w:rPr>
                <w:sz w:val="20"/>
                <w:szCs w:val="20"/>
                <w:color w:val="auto"/>
              </w:rPr>
            </w:pPr>
            <w:r>
              <w:rPr>
                <w:rFonts w:ascii="Arial" w:cs="Arial" w:eastAsia="Arial" w:hAnsi="Arial"/>
                <w:sz w:val="16"/>
                <w:szCs w:val="16"/>
                <w:color w:val="auto"/>
                <w:w w:val="88"/>
              </w:rPr>
              <w:t xml:space="preserve">Trafigura </w:t>
            </w:r>
            <w:r>
              <w:rPr>
                <w:rFonts w:ascii="Arial" w:cs="Arial" w:eastAsia="Arial" w:hAnsi="Arial"/>
                <w:sz w:val="26"/>
                <w:szCs w:val="26"/>
                <w:color w:val="auto"/>
                <w:w w:val="88"/>
                <w:vertAlign w:val="superscript"/>
              </w:rPr>
              <w:t>(13)</w:t>
            </w:r>
          </w:p>
        </w:tc>
        <w:tc>
          <w:tcPr>
            <w:tcW w:w="100" w:type="dxa"/>
            <w:vAlign w:val="bottom"/>
          </w:tcPr>
          <w:p>
            <w:pPr>
              <w:spacing w:after="0"/>
              <w:rPr>
                <w:sz w:val="21"/>
                <w:szCs w:val="21"/>
                <w:color w:val="auto"/>
              </w:rPr>
            </w:pPr>
          </w:p>
        </w:tc>
        <w:tc>
          <w:tcPr>
            <w:tcW w:w="2100" w:type="dxa"/>
            <w:vAlign w:val="bottom"/>
          </w:tcPr>
          <w:p>
            <w:pPr>
              <w:jc w:val="center"/>
              <w:spacing w:after="0"/>
              <w:rPr>
                <w:sz w:val="20"/>
                <w:szCs w:val="20"/>
                <w:color w:val="auto"/>
              </w:rPr>
            </w:pPr>
            <w:r>
              <w:rPr>
                <w:rFonts w:ascii="Arial" w:cs="Arial" w:eastAsia="Arial" w:hAnsi="Arial"/>
                <w:sz w:val="16"/>
                <w:szCs w:val="16"/>
                <w:color w:val="auto"/>
                <w:w w:val="95"/>
              </w:rPr>
              <w:t>TFDE</w:t>
            </w:r>
          </w:p>
        </w:tc>
        <w:tc>
          <w:tcPr>
            <w:tcW w:w="100" w:type="dxa"/>
            <w:vAlign w:val="bottom"/>
          </w:tcPr>
          <w:p>
            <w:pPr>
              <w:spacing w:after="0"/>
              <w:rPr>
                <w:sz w:val="21"/>
                <w:szCs w:val="21"/>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December 2023</w:t>
            </w:r>
          </w:p>
        </w:tc>
        <w:tc>
          <w:tcPr>
            <w:tcW w:w="980" w:type="dxa"/>
            <w:vAlign w:val="bottom"/>
          </w:tcPr>
          <w:p>
            <w:pPr>
              <w:jc w:val="right"/>
              <w:ind w:right="159"/>
              <w:spacing w:after="0" w:line="243" w:lineRule="exact"/>
              <w:rPr>
                <w:sz w:val="20"/>
                <w:szCs w:val="20"/>
                <w:color w:val="auto"/>
              </w:rPr>
            </w:pPr>
            <w:r>
              <w:rPr>
                <w:rFonts w:ascii="Arial" w:cs="Arial" w:eastAsia="Arial" w:hAnsi="Arial"/>
                <w:sz w:val="16"/>
                <w:szCs w:val="16"/>
                <w:color w:val="auto"/>
              </w:rPr>
              <w:t xml:space="preserve">2028 </w:t>
            </w:r>
            <w:r>
              <w:rPr>
                <w:rFonts w:ascii="Arial" w:cs="Arial" w:eastAsia="Arial" w:hAnsi="Arial"/>
                <w:sz w:val="26"/>
                <w:szCs w:val="26"/>
                <w:color w:val="auto"/>
                <w:vertAlign w:val="superscript"/>
              </w:rPr>
              <w:t>(13)</w:t>
            </w:r>
          </w:p>
        </w:tc>
        <w:tc>
          <w:tcPr>
            <w:tcW w:w="0" w:type="dxa"/>
            <w:vAlign w:val="bottom"/>
          </w:tcPr>
          <w:p>
            <w:pPr>
              <w:spacing w:after="0"/>
              <w:rPr>
                <w:sz w:val="1"/>
                <w:szCs w:val="1"/>
                <w:color w:val="auto"/>
              </w:rPr>
            </w:pPr>
          </w:p>
        </w:tc>
      </w:tr>
      <w:tr>
        <w:trPr>
          <w:trHeight w:val="192"/>
        </w:trPr>
        <w:tc>
          <w:tcPr>
            <w:tcW w:w="24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Energy Trading</w:t>
            </w:r>
          </w:p>
        </w:tc>
        <w:tc>
          <w:tcPr>
            <w:tcW w:w="100" w:type="dxa"/>
            <w:vAlign w:val="bottom"/>
            <w:shd w:val="clear" w:color="auto" w:fill="CCEEFF"/>
          </w:tcPr>
          <w:p>
            <w:pPr>
              <w:spacing w:after="0"/>
              <w:rPr>
                <w:sz w:val="16"/>
                <w:szCs w:val="16"/>
                <w:color w:val="auto"/>
              </w:rPr>
            </w:pPr>
          </w:p>
        </w:tc>
        <w:tc>
          <w:tcPr>
            <w:tcW w:w="2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5</w:t>
            </w:r>
          </w:p>
        </w:tc>
        <w:tc>
          <w:tcPr>
            <w:tcW w:w="2280" w:type="dxa"/>
            <w:vAlign w:val="bottom"/>
            <w:shd w:val="clear" w:color="auto" w:fill="CCEEFF"/>
          </w:tcPr>
          <w:p>
            <w:pPr>
              <w:ind w:left="80"/>
              <w:spacing w:after="0"/>
              <w:rPr>
                <w:sz w:val="20"/>
                <w:szCs w:val="20"/>
                <w:color w:val="auto"/>
              </w:rPr>
            </w:pPr>
            <w:r>
              <w:rPr>
                <w:rFonts w:ascii="Arial" w:cs="Arial" w:eastAsia="Arial" w:hAnsi="Arial"/>
                <w:sz w:val="16"/>
                <w:szCs w:val="16"/>
                <w:i w:val="1"/>
                <w:iCs w:val="1"/>
                <w:color w:val="auto"/>
              </w:rPr>
              <w:t>GasLog Seattle</w:t>
            </w:r>
          </w:p>
        </w:tc>
        <w:tc>
          <w:tcPr>
            <w:tcW w:w="10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2013</w:t>
            </w:r>
          </w:p>
        </w:tc>
        <w:tc>
          <w:tcPr>
            <w:tcW w:w="108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3"/>
              </w:rPr>
              <w:t>155,000</w:t>
            </w:r>
          </w:p>
        </w:tc>
        <w:tc>
          <w:tcPr>
            <w:tcW w:w="100" w:type="dxa"/>
            <w:vAlign w:val="bottom"/>
            <w:shd w:val="clear" w:color="auto" w:fill="CCEEFF"/>
          </w:tcPr>
          <w:p>
            <w:pPr>
              <w:spacing w:after="0"/>
              <w:rPr>
                <w:sz w:val="22"/>
                <w:szCs w:val="22"/>
                <w:color w:val="auto"/>
              </w:rPr>
            </w:pPr>
          </w:p>
        </w:tc>
        <w:tc>
          <w:tcPr>
            <w:tcW w:w="1640" w:type="dxa"/>
            <w:vAlign w:val="bottom"/>
            <w:shd w:val="clear" w:color="auto" w:fill="CCEEFF"/>
          </w:tcPr>
          <w:p>
            <w:pPr>
              <w:jc w:val="center"/>
              <w:spacing w:after="0" w:line="253" w:lineRule="exact"/>
              <w:rPr>
                <w:sz w:val="20"/>
                <w:szCs w:val="20"/>
                <w:color w:val="auto"/>
              </w:rPr>
            </w:pPr>
            <w:r>
              <w:rPr>
                <w:rFonts w:ascii="Arial" w:cs="Arial" w:eastAsia="Arial" w:hAnsi="Arial"/>
                <w:sz w:val="16"/>
                <w:szCs w:val="16"/>
                <w:color w:val="auto"/>
                <w:w w:val="86"/>
              </w:rPr>
              <w:t xml:space="preserve">Company </w:t>
            </w:r>
            <w:r>
              <w:rPr>
                <w:rFonts w:ascii="Arial" w:cs="Arial" w:eastAsia="Arial" w:hAnsi="Arial"/>
                <w:sz w:val="26"/>
                <w:szCs w:val="26"/>
                <w:color w:val="auto"/>
                <w:w w:val="86"/>
                <w:vertAlign w:val="superscript"/>
              </w:rPr>
              <w:t>(14)</w:t>
            </w:r>
          </w:p>
        </w:tc>
        <w:tc>
          <w:tcPr>
            <w:tcW w:w="100" w:type="dxa"/>
            <w:vAlign w:val="bottom"/>
            <w:shd w:val="clear" w:color="auto" w:fill="CCEEFF"/>
          </w:tcPr>
          <w:p>
            <w:pPr>
              <w:spacing w:after="0"/>
              <w:rPr>
                <w:sz w:val="22"/>
                <w:szCs w:val="22"/>
                <w:color w:val="auto"/>
              </w:rPr>
            </w:pPr>
          </w:p>
        </w:tc>
        <w:tc>
          <w:tcPr>
            <w:tcW w:w="2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TFDE</w:t>
            </w:r>
          </w:p>
        </w:tc>
        <w:tc>
          <w:tcPr>
            <w:tcW w:w="10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March 2024</w:t>
            </w: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0"/>
                <w:szCs w:val="20"/>
                <w:color w:val="auto"/>
              </w:rPr>
            </w:pPr>
            <w:r>
              <w:rPr>
                <w:rFonts w:ascii="Arial" w:cs="Arial" w:eastAsia="Arial" w:hAnsi="Arial"/>
                <w:sz w:val="16"/>
                <w:szCs w:val="16"/>
                <w:b w:val="1"/>
                <w:bCs w:val="1"/>
                <w:color w:val="auto"/>
              </w:rPr>
              <w:t>6</w:t>
            </w:r>
          </w:p>
        </w:tc>
        <w:tc>
          <w:tcPr>
            <w:tcW w:w="2280" w:type="dxa"/>
            <w:vAlign w:val="bottom"/>
          </w:tcPr>
          <w:p>
            <w:pPr>
              <w:ind w:left="80"/>
              <w:spacing w:after="0"/>
              <w:rPr>
                <w:sz w:val="20"/>
                <w:szCs w:val="20"/>
                <w:color w:val="auto"/>
              </w:rPr>
            </w:pPr>
            <w:r>
              <w:rPr>
                <w:rFonts w:ascii="Arial" w:cs="Arial" w:eastAsia="Arial" w:hAnsi="Arial"/>
                <w:sz w:val="16"/>
                <w:szCs w:val="16"/>
                <w:i w:val="1"/>
                <w:iCs w:val="1"/>
                <w:color w:val="auto"/>
              </w:rPr>
              <w:t>Methane Jane Elizabeth</w:t>
            </w:r>
          </w:p>
        </w:tc>
        <w:tc>
          <w:tcPr>
            <w:tcW w:w="1020" w:type="dxa"/>
            <w:vAlign w:val="bottom"/>
            <w:gridSpan w:val="2"/>
          </w:tcPr>
          <w:p>
            <w:pPr>
              <w:ind w:left="480"/>
              <w:spacing w:after="0"/>
              <w:rPr>
                <w:sz w:val="20"/>
                <w:szCs w:val="20"/>
                <w:color w:val="auto"/>
              </w:rPr>
            </w:pPr>
            <w:r>
              <w:rPr>
                <w:rFonts w:ascii="Arial" w:cs="Arial" w:eastAsia="Arial" w:hAnsi="Arial"/>
                <w:sz w:val="16"/>
                <w:szCs w:val="16"/>
                <w:color w:val="auto"/>
              </w:rPr>
              <w:t>2006</w:t>
            </w:r>
          </w:p>
        </w:tc>
        <w:tc>
          <w:tcPr>
            <w:tcW w:w="108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145,000</w:t>
            </w:r>
          </w:p>
        </w:tc>
        <w:tc>
          <w:tcPr>
            <w:tcW w:w="100" w:type="dxa"/>
            <w:vAlign w:val="bottom"/>
          </w:tcPr>
          <w:p>
            <w:pPr>
              <w:spacing w:after="0"/>
              <w:rPr>
                <w:sz w:val="21"/>
                <w:szCs w:val="21"/>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89"/>
              </w:rPr>
              <w:t>Cheniere</w:t>
            </w:r>
          </w:p>
        </w:tc>
        <w:tc>
          <w:tcPr>
            <w:tcW w:w="100" w:type="dxa"/>
            <w:vAlign w:val="bottom"/>
          </w:tcPr>
          <w:p>
            <w:pPr>
              <w:spacing w:after="0"/>
              <w:rPr>
                <w:sz w:val="21"/>
                <w:szCs w:val="21"/>
                <w:color w:val="auto"/>
              </w:rPr>
            </w:pPr>
          </w:p>
        </w:tc>
        <w:tc>
          <w:tcPr>
            <w:tcW w:w="2100" w:type="dxa"/>
            <w:vAlign w:val="bottom"/>
          </w:tcPr>
          <w:p>
            <w:pPr>
              <w:jc w:val="center"/>
              <w:spacing w:after="0"/>
              <w:rPr>
                <w:sz w:val="20"/>
                <w:szCs w:val="20"/>
                <w:color w:val="auto"/>
              </w:rPr>
            </w:pPr>
            <w:r>
              <w:rPr>
                <w:rFonts w:ascii="Arial" w:cs="Arial" w:eastAsia="Arial" w:hAnsi="Arial"/>
                <w:sz w:val="16"/>
                <w:szCs w:val="16"/>
                <w:color w:val="auto"/>
                <w:w w:val="86"/>
              </w:rPr>
              <w:t>Steam</w:t>
            </w:r>
          </w:p>
        </w:tc>
        <w:tc>
          <w:tcPr>
            <w:tcW w:w="100" w:type="dxa"/>
            <w:vAlign w:val="bottom"/>
          </w:tcPr>
          <w:p>
            <w:pPr>
              <w:spacing w:after="0"/>
              <w:rPr>
                <w:sz w:val="21"/>
                <w:szCs w:val="21"/>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March 2024</w:t>
            </w:r>
          </w:p>
        </w:tc>
        <w:tc>
          <w:tcPr>
            <w:tcW w:w="980" w:type="dxa"/>
            <w:vAlign w:val="bottom"/>
          </w:tcPr>
          <w:p>
            <w:pPr>
              <w:jc w:val="center"/>
              <w:spacing w:after="0" w:line="243" w:lineRule="exact"/>
              <w:rPr>
                <w:sz w:val="20"/>
                <w:szCs w:val="20"/>
                <w:color w:val="auto"/>
              </w:rPr>
            </w:pPr>
            <w:r>
              <w:rPr>
                <w:rFonts w:ascii="Arial" w:cs="Arial" w:eastAsia="Arial" w:hAnsi="Arial"/>
                <w:sz w:val="16"/>
                <w:szCs w:val="16"/>
                <w:color w:val="auto"/>
                <w:w w:val="84"/>
              </w:rPr>
              <w:t xml:space="preserve">2025 </w:t>
            </w:r>
            <w:r>
              <w:rPr>
                <w:rFonts w:ascii="Arial" w:cs="Arial" w:eastAsia="Arial" w:hAnsi="Arial"/>
                <w:sz w:val="26"/>
                <w:szCs w:val="26"/>
                <w:color w:val="auto"/>
                <w:w w:val="84"/>
                <w:vertAlign w:val="superscript"/>
              </w:rPr>
              <w:t>(9)</w:t>
            </w:r>
          </w:p>
        </w:tc>
        <w:tc>
          <w:tcPr>
            <w:tcW w:w="0" w:type="dxa"/>
            <w:vAlign w:val="bottom"/>
          </w:tcPr>
          <w:p>
            <w:pPr>
              <w:spacing w:after="0"/>
              <w:rPr>
                <w:sz w:val="1"/>
                <w:szCs w:val="1"/>
                <w:color w:val="auto"/>
              </w:rPr>
            </w:pPr>
          </w:p>
        </w:tc>
      </w:tr>
      <w:tr>
        <w:trPr>
          <w:trHeight w:val="243"/>
        </w:trPr>
        <w:tc>
          <w:tcPr>
            <w:tcW w:w="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7</w:t>
            </w:r>
          </w:p>
        </w:tc>
        <w:tc>
          <w:tcPr>
            <w:tcW w:w="2280" w:type="dxa"/>
            <w:vAlign w:val="bottom"/>
            <w:shd w:val="clear" w:color="auto" w:fill="CCEEFF"/>
          </w:tcPr>
          <w:p>
            <w:pPr>
              <w:ind w:left="80"/>
              <w:spacing w:after="0"/>
              <w:rPr>
                <w:sz w:val="20"/>
                <w:szCs w:val="20"/>
                <w:color w:val="auto"/>
              </w:rPr>
            </w:pPr>
            <w:r>
              <w:rPr>
                <w:rFonts w:ascii="Arial" w:cs="Arial" w:eastAsia="Arial" w:hAnsi="Arial"/>
                <w:sz w:val="16"/>
                <w:szCs w:val="16"/>
                <w:i w:val="1"/>
                <w:iCs w:val="1"/>
                <w:color w:val="auto"/>
              </w:rPr>
              <w:t>GasLog Greece</w:t>
            </w:r>
          </w:p>
        </w:tc>
        <w:tc>
          <w:tcPr>
            <w:tcW w:w="10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2016</w:t>
            </w:r>
          </w:p>
        </w:tc>
        <w:tc>
          <w:tcPr>
            <w:tcW w:w="108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3"/>
              </w:rPr>
              <w:t>174,000</w:t>
            </w: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Shell</w:t>
            </w:r>
          </w:p>
        </w:tc>
        <w:tc>
          <w:tcPr>
            <w:tcW w:w="100" w:type="dxa"/>
            <w:vAlign w:val="bottom"/>
            <w:shd w:val="clear" w:color="auto" w:fill="CCEEFF"/>
          </w:tcPr>
          <w:p>
            <w:pPr>
              <w:spacing w:after="0"/>
              <w:rPr>
                <w:sz w:val="21"/>
                <w:szCs w:val="21"/>
                <w:color w:val="auto"/>
              </w:rPr>
            </w:pPr>
          </w:p>
        </w:tc>
        <w:tc>
          <w:tcPr>
            <w:tcW w:w="2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TFDE</w:t>
            </w:r>
          </w:p>
        </w:tc>
        <w:tc>
          <w:tcPr>
            <w:tcW w:w="10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March 2026</w:t>
            </w:r>
          </w:p>
        </w:tc>
        <w:tc>
          <w:tcPr>
            <w:tcW w:w="980" w:type="dxa"/>
            <w:vAlign w:val="bottom"/>
            <w:shd w:val="clear" w:color="auto" w:fill="CCEEFF"/>
          </w:tcPr>
          <w:p>
            <w:pPr>
              <w:jc w:val="center"/>
              <w:spacing w:after="0" w:line="243" w:lineRule="exact"/>
              <w:rPr>
                <w:sz w:val="20"/>
                <w:szCs w:val="20"/>
                <w:color w:val="auto"/>
              </w:rPr>
            </w:pPr>
            <w:r>
              <w:rPr>
                <w:rFonts w:ascii="Arial" w:cs="Arial" w:eastAsia="Arial" w:hAnsi="Arial"/>
                <w:sz w:val="16"/>
                <w:szCs w:val="16"/>
                <w:color w:val="auto"/>
                <w:w w:val="84"/>
              </w:rPr>
              <w:t xml:space="preserve">2031 </w:t>
            </w:r>
            <w:r>
              <w:rPr>
                <w:rFonts w:ascii="Arial" w:cs="Arial" w:eastAsia="Arial" w:hAnsi="Arial"/>
                <w:sz w:val="26"/>
                <w:szCs w:val="26"/>
                <w:color w:val="auto"/>
                <w:w w:val="84"/>
                <w:vertAlign w:val="superscript"/>
              </w:rPr>
              <w:t>(7)</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0"/>
                <w:szCs w:val="20"/>
                <w:color w:val="auto"/>
              </w:rPr>
            </w:pPr>
            <w:r>
              <w:rPr>
                <w:rFonts w:ascii="Arial" w:cs="Arial" w:eastAsia="Arial" w:hAnsi="Arial"/>
                <w:sz w:val="16"/>
                <w:szCs w:val="16"/>
                <w:b w:val="1"/>
                <w:bCs w:val="1"/>
                <w:color w:val="auto"/>
              </w:rPr>
              <w:t>8</w:t>
            </w:r>
          </w:p>
        </w:tc>
        <w:tc>
          <w:tcPr>
            <w:tcW w:w="2280" w:type="dxa"/>
            <w:vAlign w:val="bottom"/>
          </w:tcPr>
          <w:p>
            <w:pPr>
              <w:ind w:left="80"/>
              <w:spacing w:after="0"/>
              <w:rPr>
                <w:sz w:val="20"/>
                <w:szCs w:val="20"/>
                <w:color w:val="auto"/>
              </w:rPr>
            </w:pPr>
            <w:r>
              <w:rPr>
                <w:rFonts w:ascii="Arial" w:cs="Arial" w:eastAsia="Arial" w:hAnsi="Arial"/>
                <w:sz w:val="16"/>
                <w:szCs w:val="16"/>
                <w:i w:val="1"/>
                <w:iCs w:val="1"/>
                <w:color w:val="auto"/>
              </w:rPr>
              <w:t>GasLog Glasgow</w:t>
            </w:r>
          </w:p>
        </w:tc>
        <w:tc>
          <w:tcPr>
            <w:tcW w:w="1020" w:type="dxa"/>
            <w:vAlign w:val="bottom"/>
            <w:gridSpan w:val="2"/>
          </w:tcPr>
          <w:p>
            <w:pPr>
              <w:ind w:left="480"/>
              <w:spacing w:after="0"/>
              <w:rPr>
                <w:sz w:val="20"/>
                <w:szCs w:val="20"/>
                <w:color w:val="auto"/>
              </w:rPr>
            </w:pPr>
            <w:r>
              <w:rPr>
                <w:rFonts w:ascii="Arial" w:cs="Arial" w:eastAsia="Arial" w:hAnsi="Arial"/>
                <w:sz w:val="16"/>
                <w:szCs w:val="16"/>
                <w:color w:val="auto"/>
              </w:rPr>
              <w:t>2016</w:t>
            </w:r>
          </w:p>
        </w:tc>
        <w:tc>
          <w:tcPr>
            <w:tcW w:w="108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174,000</w:t>
            </w:r>
          </w:p>
        </w:tc>
        <w:tc>
          <w:tcPr>
            <w:tcW w:w="100" w:type="dxa"/>
            <w:vAlign w:val="bottom"/>
          </w:tcPr>
          <w:p>
            <w:pPr>
              <w:spacing w:after="0"/>
              <w:rPr>
                <w:sz w:val="21"/>
                <w:szCs w:val="21"/>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89"/>
              </w:rPr>
              <w:t>Shell</w:t>
            </w:r>
          </w:p>
        </w:tc>
        <w:tc>
          <w:tcPr>
            <w:tcW w:w="100" w:type="dxa"/>
            <w:vAlign w:val="bottom"/>
          </w:tcPr>
          <w:p>
            <w:pPr>
              <w:spacing w:after="0"/>
              <w:rPr>
                <w:sz w:val="21"/>
                <w:szCs w:val="21"/>
                <w:color w:val="auto"/>
              </w:rPr>
            </w:pPr>
          </w:p>
        </w:tc>
        <w:tc>
          <w:tcPr>
            <w:tcW w:w="2100" w:type="dxa"/>
            <w:vAlign w:val="bottom"/>
          </w:tcPr>
          <w:p>
            <w:pPr>
              <w:jc w:val="center"/>
              <w:spacing w:after="0"/>
              <w:rPr>
                <w:sz w:val="20"/>
                <w:szCs w:val="20"/>
                <w:color w:val="auto"/>
              </w:rPr>
            </w:pPr>
            <w:r>
              <w:rPr>
                <w:rFonts w:ascii="Arial" w:cs="Arial" w:eastAsia="Arial" w:hAnsi="Arial"/>
                <w:sz w:val="16"/>
                <w:szCs w:val="16"/>
                <w:color w:val="auto"/>
                <w:w w:val="95"/>
              </w:rPr>
              <w:t>TFDE</w:t>
            </w:r>
          </w:p>
        </w:tc>
        <w:tc>
          <w:tcPr>
            <w:tcW w:w="100" w:type="dxa"/>
            <w:vAlign w:val="bottom"/>
          </w:tcPr>
          <w:p>
            <w:pPr>
              <w:spacing w:after="0"/>
              <w:rPr>
                <w:sz w:val="21"/>
                <w:szCs w:val="21"/>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June 2026</w:t>
            </w:r>
          </w:p>
        </w:tc>
        <w:tc>
          <w:tcPr>
            <w:tcW w:w="980" w:type="dxa"/>
            <w:vAlign w:val="bottom"/>
          </w:tcPr>
          <w:p>
            <w:pPr>
              <w:jc w:val="center"/>
              <w:spacing w:after="0" w:line="243" w:lineRule="exact"/>
              <w:rPr>
                <w:sz w:val="20"/>
                <w:szCs w:val="20"/>
                <w:color w:val="auto"/>
              </w:rPr>
            </w:pPr>
            <w:r>
              <w:rPr>
                <w:rFonts w:ascii="Arial" w:cs="Arial" w:eastAsia="Arial" w:hAnsi="Arial"/>
                <w:sz w:val="16"/>
                <w:szCs w:val="16"/>
                <w:color w:val="auto"/>
                <w:w w:val="84"/>
              </w:rPr>
              <w:t xml:space="preserve">2031 </w:t>
            </w:r>
            <w:r>
              <w:rPr>
                <w:rFonts w:ascii="Arial" w:cs="Arial" w:eastAsia="Arial" w:hAnsi="Arial"/>
                <w:sz w:val="26"/>
                <w:szCs w:val="26"/>
                <w:color w:val="auto"/>
                <w:w w:val="84"/>
                <w:vertAlign w:val="superscript"/>
              </w:rPr>
              <w:t>(7)</w:t>
            </w:r>
          </w:p>
        </w:tc>
        <w:tc>
          <w:tcPr>
            <w:tcW w:w="0" w:type="dxa"/>
            <w:vAlign w:val="bottom"/>
          </w:tcPr>
          <w:p>
            <w:pPr>
              <w:spacing w:after="0"/>
              <w:rPr>
                <w:sz w:val="1"/>
                <w:szCs w:val="1"/>
                <w:color w:val="auto"/>
              </w:rPr>
            </w:pPr>
          </w:p>
        </w:tc>
      </w:tr>
      <w:tr>
        <w:trPr>
          <w:trHeight w:val="243"/>
        </w:trPr>
        <w:tc>
          <w:tcPr>
            <w:tcW w:w="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9</w:t>
            </w:r>
          </w:p>
        </w:tc>
        <w:tc>
          <w:tcPr>
            <w:tcW w:w="2280" w:type="dxa"/>
            <w:vAlign w:val="bottom"/>
            <w:shd w:val="clear" w:color="auto" w:fill="CCEEFF"/>
          </w:tcPr>
          <w:p>
            <w:pPr>
              <w:ind w:left="80"/>
              <w:spacing w:after="0"/>
              <w:rPr>
                <w:sz w:val="20"/>
                <w:szCs w:val="20"/>
                <w:color w:val="auto"/>
              </w:rPr>
            </w:pPr>
            <w:r>
              <w:rPr>
                <w:rFonts w:ascii="Arial" w:cs="Arial" w:eastAsia="Arial" w:hAnsi="Arial"/>
                <w:sz w:val="16"/>
                <w:szCs w:val="16"/>
                <w:i w:val="1"/>
                <w:iCs w:val="1"/>
                <w:color w:val="auto"/>
              </w:rPr>
              <w:t>GasLog Geneva</w:t>
            </w:r>
          </w:p>
        </w:tc>
        <w:tc>
          <w:tcPr>
            <w:tcW w:w="10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2016</w:t>
            </w:r>
          </w:p>
        </w:tc>
        <w:tc>
          <w:tcPr>
            <w:tcW w:w="108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3"/>
              </w:rPr>
              <w:t>174,000</w:t>
            </w: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Shell</w:t>
            </w:r>
          </w:p>
        </w:tc>
        <w:tc>
          <w:tcPr>
            <w:tcW w:w="100" w:type="dxa"/>
            <w:vAlign w:val="bottom"/>
            <w:shd w:val="clear" w:color="auto" w:fill="CCEEFF"/>
          </w:tcPr>
          <w:p>
            <w:pPr>
              <w:spacing w:after="0"/>
              <w:rPr>
                <w:sz w:val="21"/>
                <w:szCs w:val="21"/>
                <w:color w:val="auto"/>
              </w:rPr>
            </w:pPr>
          </w:p>
        </w:tc>
        <w:tc>
          <w:tcPr>
            <w:tcW w:w="2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TFDE</w:t>
            </w:r>
          </w:p>
        </w:tc>
        <w:tc>
          <w:tcPr>
            <w:tcW w:w="10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September 2028</w:t>
            </w:r>
          </w:p>
        </w:tc>
        <w:tc>
          <w:tcPr>
            <w:tcW w:w="980" w:type="dxa"/>
            <w:vAlign w:val="bottom"/>
            <w:shd w:val="clear" w:color="auto" w:fill="CCEEFF"/>
          </w:tcPr>
          <w:p>
            <w:pPr>
              <w:jc w:val="center"/>
              <w:spacing w:after="0" w:line="243" w:lineRule="exact"/>
              <w:rPr>
                <w:sz w:val="20"/>
                <w:szCs w:val="20"/>
                <w:color w:val="auto"/>
              </w:rPr>
            </w:pPr>
            <w:r>
              <w:rPr>
                <w:rFonts w:ascii="Arial" w:cs="Arial" w:eastAsia="Arial" w:hAnsi="Arial"/>
                <w:sz w:val="16"/>
                <w:szCs w:val="16"/>
                <w:color w:val="auto"/>
                <w:w w:val="84"/>
              </w:rPr>
              <w:t xml:space="preserve">2031 </w:t>
            </w:r>
            <w:r>
              <w:rPr>
                <w:rFonts w:ascii="Arial" w:cs="Arial" w:eastAsia="Arial" w:hAnsi="Arial"/>
                <w:sz w:val="26"/>
                <w:szCs w:val="26"/>
                <w:color w:val="auto"/>
                <w:w w:val="84"/>
                <w:vertAlign w:val="superscript"/>
              </w:rPr>
              <w:t>(7)</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0"/>
                <w:szCs w:val="20"/>
                <w:color w:val="auto"/>
              </w:rPr>
            </w:pPr>
            <w:r>
              <w:rPr>
                <w:rFonts w:ascii="Arial" w:cs="Arial" w:eastAsia="Arial" w:hAnsi="Arial"/>
                <w:sz w:val="16"/>
                <w:szCs w:val="16"/>
                <w:b w:val="1"/>
                <w:bCs w:val="1"/>
                <w:color w:val="auto"/>
              </w:rPr>
              <w:t>10</w:t>
            </w:r>
          </w:p>
        </w:tc>
        <w:tc>
          <w:tcPr>
            <w:tcW w:w="2280" w:type="dxa"/>
            <w:vAlign w:val="bottom"/>
          </w:tcPr>
          <w:p>
            <w:pPr>
              <w:ind w:left="80"/>
              <w:spacing w:after="0"/>
              <w:rPr>
                <w:sz w:val="20"/>
                <w:szCs w:val="20"/>
                <w:color w:val="auto"/>
              </w:rPr>
            </w:pPr>
            <w:r>
              <w:rPr>
                <w:rFonts w:ascii="Arial" w:cs="Arial" w:eastAsia="Arial" w:hAnsi="Arial"/>
                <w:sz w:val="16"/>
                <w:szCs w:val="16"/>
                <w:i w:val="1"/>
                <w:iCs w:val="1"/>
                <w:color w:val="auto"/>
              </w:rPr>
              <w:t>GasLog Gibraltar</w:t>
            </w:r>
          </w:p>
        </w:tc>
        <w:tc>
          <w:tcPr>
            <w:tcW w:w="1020" w:type="dxa"/>
            <w:vAlign w:val="bottom"/>
            <w:gridSpan w:val="2"/>
          </w:tcPr>
          <w:p>
            <w:pPr>
              <w:ind w:left="480"/>
              <w:spacing w:after="0"/>
              <w:rPr>
                <w:sz w:val="20"/>
                <w:szCs w:val="20"/>
                <w:color w:val="auto"/>
              </w:rPr>
            </w:pPr>
            <w:r>
              <w:rPr>
                <w:rFonts w:ascii="Arial" w:cs="Arial" w:eastAsia="Arial" w:hAnsi="Arial"/>
                <w:sz w:val="16"/>
                <w:szCs w:val="16"/>
                <w:color w:val="auto"/>
              </w:rPr>
              <w:t>2016</w:t>
            </w:r>
          </w:p>
        </w:tc>
        <w:tc>
          <w:tcPr>
            <w:tcW w:w="108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174,000</w:t>
            </w:r>
          </w:p>
        </w:tc>
        <w:tc>
          <w:tcPr>
            <w:tcW w:w="100" w:type="dxa"/>
            <w:vAlign w:val="bottom"/>
          </w:tcPr>
          <w:p>
            <w:pPr>
              <w:spacing w:after="0"/>
              <w:rPr>
                <w:sz w:val="21"/>
                <w:szCs w:val="21"/>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89"/>
              </w:rPr>
              <w:t>Shell</w:t>
            </w:r>
          </w:p>
        </w:tc>
        <w:tc>
          <w:tcPr>
            <w:tcW w:w="100" w:type="dxa"/>
            <w:vAlign w:val="bottom"/>
          </w:tcPr>
          <w:p>
            <w:pPr>
              <w:spacing w:after="0"/>
              <w:rPr>
                <w:sz w:val="21"/>
                <w:szCs w:val="21"/>
                <w:color w:val="auto"/>
              </w:rPr>
            </w:pPr>
          </w:p>
        </w:tc>
        <w:tc>
          <w:tcPr>
            <w:tcW w:w="2100" w:type="dxa"/>
            <w:vAlign w:val="bottom"/>
          </w:tcPr>
          <w:p>
            <w:pPr>
              <w:jc w:val="center"/>
              <w:spacing w:after="0"/>
              <w:rPr>
                <w:sz w:val="20"/>
                <w:szCs w:val="20"/>
                <w:color w:val="auto"/>
              </w:rPr>
            </w:pPr>
            <w:r>
              <w:rPr>
                <w:rFonts w:ascii="Arial" w:cs="Arial" w:eastAsia="Arial" w:hAnsi="Arial"/>
                <w:sz w:val="16"/>
                <w:szCs w:val="16"/>
                <w:color w:val="auto"/>
                <w:w w:val="95"/>
              </w:rPr>
              <w:t>TFDE</w:t>
            </w:r>
          </w:p>
        </w:tc>
        <w:tc>
          <w:tcPr>
            <w:tcW w:w="100" w:type="dxa"/>
            <w:vAlign w:val="bottom"/>
          </w:tcPr>
          <w:p>
            <w:pPr>
              <w:spacing w:after="0"/>
              <w:rPr>
                <w:sz w:val="21"/>
                <w:szCs w:val="21"/>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October 2028</w:t>
            </w:r>
          </w:p>
        </w:tc>
        <w:tc>
          <w:tcPr>
            <w:tcW w:w="980" w:type="dxa"/>
            <w:vAlign w:val="bottom"/>
          </w:tcPr>
          <w:p>
            <w:pPr>
              <w:jc w:val="center"/>
              <w:spacing w:after="0" w:line="243" w:lineRule="exact"/>
              <w:rPr>
                <w:sz w:val="20"/>
                <w:szCs w:val="20"/>
                <w:color w:val="auto"/>
              </w:rPr>
            </w:pPr>
            <w:r>
              <w:rPr>
                <w:rFonts w:ascii="Arial" w:cs="Arial" w:eastAsia="Arial" w:hAnsi="Arial"/>
                <w:sz w:val="16"/>
                <w:szCs w:val="16"/>
                <w:color w:val="auto"/>
                <w:w w:val="84"/>
              </w:rPr>
              <w:t xml:space="preserve">2031 </w:t>
            </w:r>
            <w:r>
              <w:rPr>
                <w:rFonts w:ascii="Arial" w:cs="Arial" w:eastAsia="Arial" w:hAnsi="Arial"/>
                <w:sz w:val="26"/>
                <w:szCs w:val="26"/>
                <w:color w:val="auto"/>
                <w:w w:val="84"/>
                <w:vertAlign w:val="superscript"/>
              </w:rPr>
              <w:t>(7)</w:t>
            </w:r>
          </w:p>
        </w:tc>
        <w:tc>
          <w:tcPr>
            <w:tcW w:w="0" w:type="dxa"/>
            <w:vAlign w:val="bottom"/>
          </w:tcPr>
          <w:p>
            <w:pPr>
              <w:spacing w:after="0"/>
              <w:rPr>
                <w:sz w:val="1"/>
                <w:szCs w:val="1"/>
                <w:color w:val="auto"/>
              </w:rPr>
            </w:pPr>
          </w:p>
        </w:tc>
      </w:tr>
      <w:tr>
        <w:trPr>
          <w:trHeight w:val="216"/>
        </w:trPr>
        <w:tc>
          <w:tcPr>
            <w:tcW w:w="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11</w:t>
            </w:r>
          </w:p>
        </w:tc>
        <w:tc>
          <w:tcPr>
            <w:tcW w:w="2280" w:type="dxa"/>
            <w:vAlign w:val="bottom"/>
            <w:shd w:val="clear" w:color="auto" w:fill="CCEEFF"/>
          </w:tcPr>
          <w:p>
            <w:pPr>
              <w:ind w:left="80"/>
              <w:spacing w:after="0"/>
              <w:rPr>
                <w:sz w:val="20"/>
                <w:szCs w:val="20"/>
                <w:color w:val="auto"/>
              </w:rPr>
            </w:pPr>
            <w:r>
              <w:rPr>
                <w:rFonts w:ascii="Arial" w:cs="Arial" w:eastAsia="Arial" w:hAnsi="Arial"/>
                <w:sz w:val="16"/>
                <w:szCs w:val="16"/>
                <w:i w:val="1"/>
                <w:iCs w:val="1"/>
                <w:color w:val="auto"/>
              </w:rPr>
              <w:t>Methane Becki Anne</w:t>
            </w:r>
          </w:p>
        </w:tc>
        <w:tc>
          <w:tcPr>
            <w:tcW w:w="10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2010</w:t>
            </w:r>
          </w:p>
        </w:tc>
        <w:tc>
          <w:tcPr>
            <w:tcW w:w="108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3"/>
              </w:rPr>
              <w:t>170,000</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Shell</w:t>
            </w:r>
          </w:p>
        </w:tc>
        <w:tc>
          <w:tcPr>
            <w:tcW w:w="100" w:type="dxa"/>
            <w:vAlign w:val="bottom"/>
            <w:shd w:val="clear" w:color="auto" w:fill="CCEEFF"/>
          </w:tcPr>
          <w:p>
            <w:pPr>
              <w:spacing w:after="0"/>
              <w:rPr>
                <w:sz w:val="18"/>
                <w:szCs w:val="18"/>
                <w:color w:val="auto"/>
              </w:rPr>
            </w:pPr>
          </w:p>
        </w:tc>
        <w:tc>
          <w:tcPr>
            <w:tcW w:w="2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TFDE</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March 2029</w:t>
            </w: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Bareboat Vessels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As of May 11, 2023, our bareboat fleet consisted of the following vessels: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5"/>
              </w:rPr>
              <w:t>Cargo</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6"/>
              </w:rPr>
              <w:t>Charterer (for</w:t>
            </w:r>
          </w:p>
        </w:tc>
        <w:tc>
          <w:tcPr>
            <w:tcW w:w="1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Charter</w:t>
            </w:r>
          </w:p>
        </w:tc>
        <w:tc>
          <w:tcPr>
            <w:tcW w:w="100" w:type="dxa"/>
            <w:vAlign w:val="bottom"/>
          </w:tcPr>
          <w:p>
            <w:pPr>
              <w:spacing w:after="0"/>
              <w:rPr>
                <w:sz w:val="17"/>
                <w:szCs w:val="17"/>
                <w:color w:val="auto"/>
              </w:rPr>
            </w:pPr>
          </w:p>
        </w:tc>
        <w:tc>
          <w:tcPr>
            <w:tcW w:w="1020" w:type="dxa"/>
            <w:vAlign w:val="bottom"/>
            <w:vMerge w:val="restart"/>
          </w:tcPr>
          <w:p>
            <w:pPr>
              <w:ind w:left="200"/>
              <w:spacing w:after="0"/>
              <w:rPr>
                <w:sz w:val="20"/>
                <w:szCs w:val="20"/>
                <w:color w:val="auto"/>
              </w:rPr>
            </w:pPr>
            <w:r>
              <w:rPr>
                <w:rFonts w:ascii="Arial" w:cs="Arial" w:eastAsia="Arial" w:hAnsi="Arial"/>
                <w:sz w:val="16"/>
                <w:szCs w:val="16"/>
                <w:b w:val="1"/>
                <w:bCs w:val="1"/>
                <w:color w:val="auto"/>
              </w:rPr>
              <w:t>Optional</w:t>
            </w:r>
          </w:p>
        </w:tc>
        <w:tc>
          <w:tcPr>
            <w:tcW w:w="0" w:type="dxa"/>
            <w:vAlign w:val="bottom"/>
          </w:tcPr>
          <w:p>
            <w:pPr>
              <w:spacing w:after="0"/>
              <w:rPr>
                <w:sz w:val="1"/>
                <w:szCs w:val="1"/>
                <w:color w:val="auto"/>
              </w:rPr>
            </w:pPr>
          </w:p>
        </w:tc>
      </w:tr>
      <w:tr>
        <w:trPr>
          <w:trHeight w:val="163"/>
        </w:trPr>
        <w:tc>
          <w:tcPr>
            <w:tcW w:w="2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ind w:left="220"/>
              <w:spacing w:after="0" w:line="163" w:lineRule="exact"/>
              <w:rPr>
                <w:sz w:val="20"/>
                <w:szCs w:val="20"/>
                <w:color w:val="auto"/>
              </w:rPr>
            </w:pPr>
            <w:r>
              <w:rPr>
                <w:rFonts w:ascii="Arial" w:cs="Arial" w:eastAsia="Arial" w:hAnsi="Arial"/>
                <w:sz w:val="16"/>
                <w:szCs w:val="16"/>
                <w:b w:val="1"/>
                <w:bCs w:val="1"/>
                <w:color w:val="auto"/>
              </w:rPr>
              <w:t>Year</w:t>
            </w:r>
          </w:p>
        </w:tc>
        <w:tc>
          <w:tcPr>
            <w:tcW w:w="120" w:type="dxa"/>
            <w:vAlign w:val="bottom"/>
          </w:tcPr>
          <w:p>
            <w:pPr>
              <w:spacing w:after="0"/>
              <w:rPr>
                <w:sz w:val="14"/>
                <w:szCs w:val="14"/>
                <w:color w:val="auto"/>
              </w:rPr>
            </w:pPr>
          </w:p>
        </w:tc>
        <w:tc>
          <w:tcPr>
            <w:tcW w:w="1000" w:type="dxa"/>
            <w:vAlign w:val="bottom"/>
          </w:tcPr>
          <w:p>
            <w:pPr>
              <w:jc w:val="center"/>
              <w:spacing w:after="0" w:line="163" w:lineRule="exact"/>
              <w:rPr>
                <w:sz w:val="20"/>
                <w:szCs w:val="20"/>
                <w:color w:val="auto"/>
              </w:rPr>
            </w:pPr>
            <w:r>
              <w:rPr>
                <w:rFonts w:ascii="Arial" w:cs="Arial" w:eastAsia="Arial" w:hAnsi="Arial"/>
                <w:sz w:val="16"/>
                <w:szCs w:val="16"/>
                <w:b w:val="1"/>
                <w:bCs w:val="1"/>
                <w:color w:val="auto"/>
                <w:w w:val="95"/>
              </w:rPr>
              <w:t>Capacity</w:t>
            </w:r>
          </w:p>
        </w:tc>
        <w:tc>
          <w:tcPr>
            <w:tcW w:w="120" w:type="dxa"/>
            <w:vAlign w:val="bottom"/>
          </w:tcPr>
          <w:p>
            <w:pPr>
              <w:spacing w:after="0"/>
              <w:rPr>
                <w:sz w:val="14"/>
                <w:szCs w:val="14"/>
                <w:color w:val="auto"/>
              </w:rPr>
            </w:pPr>
          </w:p>
        </w:tc>
        <w:tc>
          <w:tcPr>
            <w:tcW w:w="1680" w:type="dxa"/>
            <w:vAlign w:val="bottom"/>
          </w:tcPr>
          <w:p>
            <w:pPr>
              <w:jc w:val="center"/>
              <w:spacing w:after="0" w:line="163" w:lineRule="exact"/>
              <w:rPr>
                <w:sz w:val="20"/>
                <w:szCs w:val="20"/>
                <w:color w:val="auto"/>
              </w:rPr>
            </w:pPr>
            <w:r>
              <w:rPr>
                <w:rFonts w:ascii="Arial" w:cs="Arial" w:eastAsia="Arial" w:hAnsi="Arial"/>
                <w:sz w:val="16"/>
                <w:szCs w:val="16"/>
                <w:b w:val="1"/>
                <w:bCs w:val="1"/>
                <w:color w:val="auto"/>
                <w:w w:val="88"/>
              </w:rPr>
              <w:t>contracts of more</w:t>
            </w:r>
          </w:p>
        </w:tc>
        <w:tc>
          <w:tcPr>
            <w:tcW w:w="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2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tcPr>
          <w:p>
            <w:pPr>
              <w:ind w:left="700"/>
              <w:spacing w:after="0"/>
              <w:rPr>
                <w:sz w:val="20"/>
                <w:szCs w:val="20"/>
                <w:color w:val="auto"/>
              </w:rPr>
            </w:pPr>
            <w:r>
              <w:rPr>
                <w:rFonts w:ascii="Arial" w:cs="Arial" w:eastAsia="Arial" w:hAnsi="Arial"/>
                <w:sz w:val="16"/>
                <w:szCs w:val="16"/>
                <w:b w:val="1"/>
                <w:bCs w:val="1"/>
                <w:color w:val="auto"/>
              </w:rPr>
              <w:t>Vessel Name</w:t>
            </w:r>
          </w:p>
        </w:tc>
        <w:tc>
          <w:tcPr>
            <w:tcW w:w="120" w:type="dxa"/>
            <w:vAlign w:val="bottom"/>
          </w:tcPr>
          <w:p>
            <w:pPr>
              <w:spacing w:after="0"/>
              <w:rPr>
                <w:sz w:val="22"/>
                <w:szCs w:val="22"/>
                <w:color w:val="auto"/>
              </w:rPr>
            </w:pPr>
          </w:p>
        </w:tc>
        <w:tc>
          <w:tcPr>
            <w:tcW w:w="78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Built</w:t>
            </w:r>
          </w:p>
        </w:tc>
        <w:tc>
          <w:tcPr>
            <w:tcW w:w="120" w:type="dxa"/>
            <w:vAlign w:val="bottom"/>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(cbm)</w:t>
            </w:r>
          </w:p>
        </w:tc>
        <w:tc>
          <w:tcPr>
            <w:tcW w:w="120" w:type="dxa"/>
            <w:vAlign w:val="bottom"/>
          </w:tcPr>
          <w:p>
            <w:pPr>
              <w:spacing w:after="0"/>
              <w:rPr>
                <w:sz w:val="22"/>
                <w:szCs w:val="22"/>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than six months)</w:t>
            </w:r>
          </w:p>
        </w:tc>
        <w:tc>
          <w:tcPr>
            <w:tcW w:w="120" w:type="dxa"/>
            <w:vAlign w:val="bottom"/>
          </w:tcPr>
          <w:p>
            <w:pPr>
              <w:spacing w:after="0"/>
              <w:rPr>
                <w:sz w:val="22"/>
                <w:szCs w:val="22"/>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Propulsion</w:t>
            </w: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center"/>
              <w:spacing w:after="0" w:line="256" w:lineRule="exact"/>
              <w:rPr>
                <w:sz w:val="20"/>
                <w:szCs w:val="20"/>
                <w:color w:val="auto"/>
              </w:rPr>
            </w:pPr>
            <w:r>
              <w:rPr>
                <w:rFonts w:ascii="Arial" w:cs="Arial" w:eastAsia="Arial" w:hAnsi="Arial"/>
                <w:sz w:val="16"/>
                <w:szCs w:val="16"/>
                <w:b w:val="1"/>
                <w:bCs w:val="1"/>
                <w:color w:val="auto"/>
                <w:w w:val="90"/>
              </w:rPr>
              <w:t>Expiration</w:t>
            </w:r>
            <w:r>
              <w:rPr>
                <w:rFonts w:ascii="Arial" w:cs="Arial" w:eastAsia="Arial" w:hAnsi="Arial"/>
                <w:sz w:val="26"/>
                <w:szCs w:val="26"/>
                <w:b w:val="1"/>
                <w:bCs w:val="1"/>
                <w:color w:val="auto"/>
                <w:w w:val="90"/>
                <w:vertAlign w:val="superscript"/>
              </w:rPr>
              <w:t>(1)</w:t>
            </w:r>
          </w:p>
        </w:tc>
        <w:tc>
          <w:tcPr>
            <w:tcW w:w="100" w:type="dxa"/>
            <w:vAlign w:val="bottom"/>
          </w:tcPr>
          <w:p>
            <w:pPr>
              <w:spacing w:after="0"/>
              <w:rPr>
                <w:sz w:val="22"/>
                <w:szCs w:val="22"/>
                <w:color w:val="auto"/>
              </w:rPr>
            </w:pPr>
          </w:p>
        </w:tc>
        <w:tc>
          <w:tcPr>
            <w:tcW w:w="1020" w:type="dxa"/>
            <w:vAlign w:val="bottom"/>
            <w:tcBorders>
              <w:bottom w:val="single" w:sz="8" w:color="auto"/>
            </w:tcBorders>
          </w:tcPr>
          <w:p>
            <w:pPr>
              <w:ind w:left="200"/>
              <w:spacing w:after="0" w:line="256" w:lineRule="exact"/>
              <w:rPr>
                <w:sz w:val="20"/>
                <w:szCs w:val="20"/>
                <w:color w:val="auto"/>
              </w:rPr>
            </w:pPr>
            <w:r>
              <w:rPr>
                <w:rFonts w:ascii="Arial" w:cs="Arial" w:eastAsia="Arial" w:hAnsi="Arial"/>
                <w:sz w:val="16"/>
                <w:szCs w:val="16"/>
                <w:b w:val="1"/>
                <w:bCs w:val="1"/>
                <w:color w:val="auto"/>
              </w:rPr>
              <w:t>Period</w:t>
            </w:r>
            <w:r>
              <w:rPr>
                <w:rFonts w:ascii="Arial" w:cs="Arial" w:eastAsia="Arial" w:hAnsi="Arial"/>
                <w:sz w:val="26"/>
                <w:szCs w:val="26"/>
                <w:b w:val="1"/>
                <w:bCs w:val="1"/>
                <w:color w:val="auto"/>
                <w:vertAlign w:val="superscript"/>
              </w:rPr>
              <w:t>(2)</w:t>
            </w:r>
          </w:p>
        </w:tc>
        <w:tc>
          <w:tcPr>
            <w:tcW w:w="0" w:type="dxa"/>
            <w:vAlign w:val="bottom"/>
          </w:tcPr>
          <w:p>
            <w:pPr>
              <w:spacing w:after="0"/>
              <w:rPr>
                <w:sz w:val="1"/>
                <w:szCs w:val="1"/>
                <w:color w:val="auto"/>
              </w:rPr>
            </w:pPr>
          </w:p>
        </w:tc>
      </w:tr>
      <w:tr>
        <w:trPr>
          <w:trHeight w:val="236"/>
        </w:trPr>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b w:val="1"/>
                <w:bCs w:val="1"/>
                <w:color w:val="auto"/>
                <w:w w:val="71"/>
              </w:rPr>
              <w:t>1</w:t>
            </w:r>
          </w:p>
        </w:tc>
        <w:tc>
          <w:tcPr>
            <w:tcW w:w="2480" w:type="dxa"/>
            <w:vAlign w:val="bottom"/>
            <w:shd w:val="clear" w:color="auto" w:fill="CCEEFF"/>
          </w:tcPr>
          <w:p>
            <w:pPr>
              <w:ind w:left="120"/>
              <w:spacing w:after="0"/>
              <w:rPr>
                <w:sz w:val="20"/>
                <w:szCs w:val="20"/>
                <w:color w:val="auto"/>
              </w:rPr>
            </w:pPr>
            <w:r>
              <w:rPr>
                <w:rFonts w:ascii="Arial" w:cs="Arial" w:eastAsia="Arial" w:hAnsi="Arial"/>
                <w:sz w:val="16"/>
                <w:szCs w:val="16"/>
                <w:i w:val="1"/>
                <w:iCs w:val="1"/>
                <w:color w:val="auto"/>
              </w:rPr>
              <w:t>GasLog Skagen</w:t>
            </w: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2013</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155,000</w:t>
            </w: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jc w:val="center"/>
              <w:spacing w:after="0" w:line="236" w:lineRule="exact"/>
              <w:rPr>
                <w:sz w:val="20"/>
                <w:szCs w:val="20"/>
                <w:color w:val="auto"/>
              </w:rPr>
            </w:pPr>
            <w:r>
              <w:rPr>
                <w:rFonts w:ascii="Arial" w:cs="Arial" w:eastAsia="Arial" w:hAnsi="Arial"/>
                <w:sz w:val="16"/>
                <w:szCs w:val="16"/>
                <w:color w:val="auto"/>
                <w:w w:val="89"/>
              </w:rPr>
              <w:t xml:space="preserve">Tokyo LNG </w:t>
            </w:r>
            <w:r>
              <w:rPr>
                <w:rFonts w:ascii="Arial" w:cs="Arial" w:eastAsia="Arial" w:hAnsi="Arial"/>
                <w:sz w:val="26"/>
                <w:szCs w:val="26"/>
                <w:color w:val="auto"/>
                <w:w w:val="89"/>
                <w:vertAlign w:val="superscript"/>
              </w:rPr>
              <w:t>(15)</w:t>
            </w:r>
          </w:p>
        </w:tc>
        <w:tc>
          <w:tcPr>
            <w:tcW w:w="120" w:type="dxa"/>
            <w:vAlign w:val="bottom"/>
            <w:shd w:val="clear" w:color="auto" w:fill="CCEEFF"/>
          </w:tcPr>
          <w:p>
            <w:pPr>
              <w:spacing w:after="0"/>
              <w:rPr>
                <w:sz w:val="20"/>
                <w:szCs w:val="20"/>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TFDE</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September 2024</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3"/>
        </w:trPr>
        <w:tc>
          <w:tcPr>
            <w:tcW w:w="220" w:type="dxa"/>
            <w:vAlign w:val="bottom"/>
          </w:tcPr>
          <w:p>
            <w:pPr>
              <w:jc w:val="right"/>
              <w:ind w:right="64"/>
              <w:spacing w:after="0"/>
              <w:rPr>
                <w:sz w:val="20"/>
                <w:szCs w:val="20"/>
                <w:color w:val="auto"/>
              </w:rPr>
            </w:pPr>
            <w:r>
              <w:rPr>
                <w:rFonts w:ascii="Arial" w:cs="Arial" w:eastAsia="Arial" w:hAnsi="Arial"/>
                <w:sz w:val="15"/>
                <w:szCs w:val="15"/>
                <w:b w:val="1"/>
                <w:bCs w:val="1"/>
                <w:color w:val="auto"/>
                <w:w w:val="71"/>
              </w:rPr>
              <w:t>2</w:t>
            </w:r>
          </w:p>
        </w:tc>
        <w:tc>
          <w:tcPr>
            <w:tcW w:w="2480" w:type="dxa"/>
            <w:vAlign w:val="bottom"/>
          </w:tcPr>
          <w:p>
            <w:pPr>
              <w:ind w:left="120"/>
              <w:spacing w:after="0" w:line="243" w:lineRule="exact"/>
              <w:rPr>
                <w:sz w:val="20"/>
                <w:szCs w:val="20"/>
                <w:color w:val="auto"/>
              </w:rPr>
            </w:pPr>
            <w:r>
              <w:rPr>
                <w:rFonts w:ascii="Arial" w:cs="Arial" w:eastAsia="Arial" w:hAnsi="Arial"/>
                <w:sz w:val="16"/>
                <w:szCs w:val="16"/>
                <w:i w:val="1"/>
                <w:iCs w:val="1"/>
                <w:color w:val="auto"/>
              </w:rPr>
              <w:t xml:space="preserve">GasLog Saratoga </w:t>
            </w:r>
            <w:r>
              <w:rPr>
                <w:rFonts w:ascii="Arial" w:cs="Arial" w:eastAsia="Arial" w:hAnsi="Arial"/>
                <w:sz w:val="26"/>
                <w:szCs w:val="26"/>
                <w:i w:val="1"/>
                <w:iCs w:val="1"/>
                <w:color w:val="auto"/>
                <w:vertAlign w:val="superscript"/>
              </w:rPr>
              <w:t>(16)</w:t>
            </w:r>
          </w:p>
        </w:tc>
        <w:tc>
          <w:tcPr>
            <w:tcW w:w="900" w:type="dxa"/>
            <w:vAlign w:val="bottom"/>
            <w:gridSpan w:val="2"/>
          </w:tcPr>
          <w:p>
            <w:pPr>
              <w:ind w:left="340"/>
              <w:spacing w:after="0"/>
              <w:rPr>
                <w:sz w:val="20"/>
                <w:szCs w:val="20"/>
                <w:color w:val="auto"/>
              </w:rPr>
            </w:pPr>
            <w:r>
              <w:rPr>
                <w:rFonts w:ascii="Arial" w:cs="Arial" w:eastAsia="Arial" w:hAnsi="Arial"/>
                <w:sz w:val="16"/>
                <w:szCs w:val="16"/>
                <w:color w:val="auto"/>
              </w:rPr>
              <w:t>2014</w:t>
            </w:r>
          </w:p>
        </w:tc>
        <w:tc>
          <w:tcPr>
            <w:tcW w:w="112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155,000</w:t>
            </w:r>
          </w:p>
        </w:tc>
        <w:tc>
          <w:tcPr>
            <w:tcW w:w="120" w:type="dxa"/>
            <w:vAlign w:val="bottom"/>
          </w:tcPr>
          <w:p>
            <w:pPr>
              <w:spacing w:after="0"/>
              <w:rPr>
                <w:sz w:val="21"/>
                <w:szCs w:val="21"/>
                <w:color w:val="auto"/>
              </w:rPr>
            </w:pPr>
          </w:p>
        </w:tc>
        <w:tc>
          <w:tcPr>
            <w:tcW w:w="1680" w:type="dxa"/>
            <w:vAlign w:val="bottom"/>
          </w:tcPr>
          <w:p>
            <w:pPr>
              <w:jc w:val="center"/>
              <w:spacing w:after="0" w:line="243" w:lineRule="exact"/>
              <w:rPr>
                <w:sz w:val="20"/>
                <w:szCs w:val="20"/>
                <w:color w:val="auto"/>
              </w:rPr>
            </w:pPr>
            <w:r>
              <w:rPr>
                <w:rFonts w:ascii="Arial" w:cs="Arial" w:eastAsia="Arial" w:hAnsi="Arial"/>
                <w:sz w:val="16"/>
                <w:szCs w:val="16"/>
                <w:color w:val="auto"/>
                <w:w w:val="88"/>
              </w:rPr>
              <w:t xml:space="preserve">Mitsui </w:t>
            </w:r>
            <w:r>
              <w:rPr>
                <w:rFonts w:ascii="Arial" w:cs="Arial" w:eastAsia="Arial" w:hAnsi="Arial"/>
                <w:sz w:val="26"/>
                <w:szCs w:val="26"/>
                <w:color w:val="auto"/>
                <w:w w:val="88"/>
                <w:vertAlign w:val="superscript"/>
              </w:rPr>
              <w:t>(17)</w:t>
            </w:r>
          </w:p>
        </w:tc>
        <w:tc>
          <w:tcPr>
            <w:tcW w:w="120" w:type="dxa"/>
            <w:vAlign w:val="bottom"/>
          </w:tcPr>
          <w:p>
            <w:pPr>
              <w:spacing w:after="0"/>
              <w:rPr>
                <w:sz w:val="21"/>
                <w:szCs w:val="21"/>
                <w:color w:val="auto"/>
              </w:rPr>
            </w:pPr>
          </w:p>
        </w:tc>
        <w:tc>
          <w:tcPr>
            <w:tcW w:w="2240" w:type="dxa"/>
            <w:vAlign w:val="bottom"/>
          </w:tcPr>
          <w:p>
            <w:pPr>
              <w:jc w:val="center"/>
              <w:spacing w:after="0"/>
              <w:rPr>
                <w:sz w:val="20"/>
                <w:szCs w:val="20"/>
                <w:color w:val="auto"/>
              </w:rPr>
            </w:pPr>
            <w:r>
              <w:rPr>
                <w:rFonts w:ascii="Arial" w:cs="Arial" w:eastAsia="Arial" w:hAnsi="Arial"/>
                <w:sz w:val="16"/>
                <w:szCs w:val="16"/>
                <w:color w:val="auto"/>
                <w:w w:val="95"/>
              </w:rPr>
              <w:t>TFDE</w:t>
            </w:r>
          </w:p>
        </w:tc>
        <w:tc>
          <w:tcPr>
            <w:tcW w:w="1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September 2024</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3"/>
        </w:trPr>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b w:val="1"/>
                <w:bCs w:val="1"/>
                <w:color w:val="auto"/>
                <w:w w:val="71"/>
              </w:rPr>
              <w:t>3</w:t>
            </w:r>
          </w:p>
        </w:tc>
        <w:tc>
          <w:tcPr>
            <w:tcW w:w="2480" w:type="dxa"/>
            <w:vAlign w:val="bottom"/>
            <w:shd w:val="clear" w:color="auto" w:fill="CCEEFF"/>
          </w:tcPr>
          <w:p>
            <w:pPr>
              <w:ind w:left="120"/>
              <w:spacing w:after="0"/>
              <w:rPr>
                <w:sz w:val="20"/>
                <w:szCs w:val="20"/>
                <w:color w:val="auto"/>
              </w:rPr>
            </w:pPr>
            <w:r>
              <w:rPr>
                <w:rFonts w:ascii="Arial" w:cs="Arial" w:eastAsia="Arial" w:hAnsi="Arial"/>
                <w:sz w:val="16"/>
                <w:szCs w:val="16"/>
                <w:i w:val="1"/>
                <w:iCs w:val="1"/>
                <w:color w:val="auto"/>
              </w:rPr>
              <w:t>GasLog Hong Kong</w:t>
            </w: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2018</w:t>
            </w:r>
          </w:p>
        </w:tc>
        <w:tc>
          <w:tcPr>
            <w:tcW w:w="11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174,000</w:t>
            </w:r>
          </w:p>
        </w:tc>
        <w:tc>
          <w:tcPr>
            <w:tcW w:w="120" w:type="dxa"/>
            <w:vAlign w:val="bottom"/>
            <w:shd w:val="clear" w:color="auto" w:fill="CCEEFF"/>
          </w:tcPr>
          <w:p>
            <w:pPr>
              <w:spacing w:after="0"/>
              <w:rPr>
                <w:sz w:val="21"/>
                <w:szCs w:val="21"/>
                <w:color w:val="auto"/>
              </w:rPr>
            </w:pPr>
          </w:p>
        </w:tc>
        <w:tc>
          <w:tcPr>
            <w:tcW w:w="1680" w:type="dxa"/>
            <w:vAlign w:val="bottom"/>
            <w:shd w:val="clear" w:color="auto" w:fill="CCEEFF"/>
          </w:tcPr>
          <w:p>
            <w:pPr>
              <w:jc w:val="center"/>
              <w:spacing w:after="0" w:line="243" w:lineRule="exact"/>
              <w:rPr>
                <w:sz w:val="20"/>
                <w:szCs w:val="20"/>
                <w:color w:val="auto"/>
              </w:rPr>
            </w:pPr>
            <w:r>
              <w:rPr>
                <w:rFonts w:ascii="Arial" w:cs="Arial" w:eastAsia="Arial" w:hAnsi="Arial"/>
                <w:sz w:val="16"/>
                <w:szCs w:val="16"/>
                <w:color w:val="auto"/>
                <w:w w:val="86"/>
              </w:rPr>
              <w:t xml:space="preserve">TotalEnergies </w:t>
            </w:r>
            <w:r>
              <w:rPr>
                <w:rFonts w:ascii="Arial" w:cs="Arial" w:eastAsia="Arial" w:hAnsi="Arial"/>
                <w:sz w:val="26"/>
                <w:szCs w:val="26"/>
                <w:color w:val="auto"/>
                <w:w w:val="86"/>
                <w:vertAlign w:val="superscript"/>
              </w:rPr>
              <w:t>(18)</w:t>
            </w:r>
          </w:p>
        </w:tc>
        <w:tc>
          <w:tcPr>
            <w:tcW w:w="120" w:type="dxa"/>
            <w:vAlign w:val="bottom"/>
            <w:shd w:val="clear" w:color="auto" w:fill="CCEEFF"/>
          </w:tcPr>
          <w:p>
            <w:pPr>
              <w:spacing w:after="0"/>
              <w:rPr>
                <w:sz w:val="21"/>
                <w:szCs w:val="21"/>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X-DF</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December 2025</w:t>
            </w:r>
          </w:p>
        </w:tc>
        <w:tc>
          <w:tcPr>
            <w:tcW w:w="1120" w:type="dxa"/>
            <w:vAlign w:val="bottom"/>
            <w:gridSpan w:val="2"/>
            <w:shd w:val="clear" w:color="auto" w:fill="CCEEFF"/>
          </w:tcPr>
          <w:p>
            <w:pPr>
              <w:jc w:val="center"/>
              <w:ind w:left="19"/>
              <w:spacing w:after="0" w:line="243" w:lineRule="exact"/>
              <w:rPr>
                <w:sz w:val="20"/>
                <w:szCs w:val="20"/>
                <w:color w:val="auto"/>
              </w:rPr>
            </w:pPr>
            <w:r>
              <w:rPr>
                <w:rFonts w:ascii="Arial" w:cs="Arial" w:eastAsia="Arial" w:hAnsi="Arial"/>
                <w:sz w:val="16"/>
                <w:szCs w:val="16"/>
                <w:color w:val="auto"/>
                <w:w w:val="81"/>
              </w:rPr>
              <w:t xml:space="preserve">2028 </w:t>
            </w:r>
            <w:r>
              <w:rPr>
                <w:rFonts w:ascii="Arial" w:cs="Arial" w:eastAsia="Arial" w:hAnsi="Arial"/>
                <w:sz w:val="26"/>
                <w:szCs w:val="26"/>
                <w:color w:val="auto"/>
                <w:w w:val="81"/>
                <w:vertAlign w:val="superscript"/>
              </w:rPr>
              <w:t>(18)</w:t>
            </w:r>
          </w:p>
        </w:tc>
        <w:tc>
          <w:tcPr>
            <w:tcW w:w="0" w:type="dxa"/>
            <w:vAlign w:val="bottom"/>
          </w:tcPr>
          <w:p>
            <w:pPr>
              <w:spacing w:after="0"/>
              <w:rPr>
                <w:sz w:val="1"/>
                <w:szCs w:val="1"/>
                <w:color w:val="auto"/>
              </w:rPr>
            </w:pPr>
          </w:p>
        </w:tc>
      </w:tr>
      <w:tr>
        <w:trPr>
          <w:trHeight w:val="243"/>
        </w:trPr>
        <w:tc>
          <w:tcPr>
            <w:tcW w:w="220" w:type="dxa"/>
            <w:vAlign w:val="bottom"/>
          </w:tcPr>
          <w:p>
            <w:pPr>
              <w:jc w:val="right"/>
              <w:ind w:right="64"/>
              <w:spacing w:after="0"/>
              <w:rPr>
                <w:sz w:val="20"/>
                <w:szCs w:val="20"/>
                <w:color w:val="auto"/>
              </w:rPr>
            </w:pPr>
            <w:r>
              <w:rPr>
                <w:rFonts w:ascii="Arial" w:cs="Arial" w:eastAsia="Arial" w:hAnsi="Arial"/>
                <w:sz w:val="15"/>
                <w:szCs w:val="15"/>
                <w:b w:val="1"/>
                <w:bCs w:val="1"/>
                <w:color w:val="auto"/>
                <w:w w:val="71"/>
              </w:rPr>
              <w:t>4</w:t>
            </w:r>
          </w:p>
        </w:tc>
        <w:tc>
          <w:tcPr>
            <w:tcW w:w="2480" w:type="dxa"/>
            <w:vAlign w:val="bottom"/>
          </w:tcPr>
          <w:p>
            <w:pPr>
              <w:ind w:left="120"/>
              <w:spacing w:after="0"/>
              <w:rPr>
                <w:sz w:val="20"/>
                <w:szCs w:val="20"/>
                <w:color w:val="auto"/>
              </w:rPr>
            </w:pPr>
            <w:r>
              <w:rPr>
                <w:rFonts w:ascii="Arial" w:cs="Arial" w:eastAsia="Arial" w:hAnsi="Arial"/>
                <w:sz w:val="16"/>
                <w:szCs w:val="16"/>
                <w:i w:val="1"/>
                <w:iCs w:val="1"/>
                <w:color w:val="auto"/>
              </w:rPr>
              <w:t>GasLog Salem</w:t>
            </w:r>
          </w:p>
        </w:tc>
        <w:tc>
          <w:tcPr>
            <w:tcW w:w="900" w:type="dxa"/>
            <w:vAlign w:val="bottom"/>
            <w:gridSpan w:val="2"/>
          </w:tcPr>
          <w:p>
            <w:pPr>
              <w:ind w:left="340"/>
              <w:spacing w:after="0"/>
              <w:rPr>
                <w:sz w:val="20"/>
                <w:szCs w:val="20"/>
                <w:color w:val="auto"/>
              </w:rPr>
            </w:pPr>
            <w:r>
              <w:rPr>
                <w:rFonts w:ascii="Arial" w:cs="Arial" w:eastAsia="Arial" w:hAnsi="Arial"/>
                <w:sz w:val="16"/>
                <w:szCs w:val="16"/>
                <w:color w:val="auto"/>
              </w:rPr>
              <w:t>2015</w:t>
            </w:r>
          </w:p>
        </w:tc>
        <w:tc>
          <w:tcPr>
            <w:tcW w:w="112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155,000</w:t>
            </w:r>
          </w:p>
        </w:tc>
        <w:tc>
          <w:tcPr>
            <w:tcW w:w="120" w:type="dxa"/>
            <w:vAlign w:val="bottom"/>
          </w:tcPr>
          <w:p>
            <w:pPr>
              <w:spacing w:after="0"/>
              <w:rPr>
                <w:sz w:val="21"/>
                <w:szCs w:val="21"/>
                <w:color w:val="auto"/>
              </w:rPr>
            </w:pPr>
          </w:p>
        </w:tc>
        <w:tc>
          <w:tcPr>
            <w:tcW w:w="1680" w:type="dxa"/>
            <w:vAlign w:val="bottom"/>
          </w:tcPr>
          <w:p>
            <w:pPr>
              <w:jc w:val="center"/>
              <w:spacing w:after="0" w:line="243" w:lineRule="exact"/>
              <w:rPr>
                <w:sz w:val="20"/>
                <w:szCs w:val="20"/>
                <w:color w:val="auto"/>
              </w:rPr>
            </w:pPr>
            <w:r>
              <w:rPr>
                <w:rFonts w:ascii="Arial" w:cs="Arial" w:eastAsia="Arial" w:hAnsi="Arial"/>
                <w:sz w:val="16"/>
                <w:szCs w:val="16"/>
                <w:color w:val="auto"/>
                <w:w w:val="86"/>
              </w:rPr>
              <w:t xml:space="preserve">Gunvor </w:t>
            </w:r>
            <w:r>
              <w:rPr>
                <w:rFonts w:ascii="Arial" w:cs="Arial" w:eastAsia="Arial" w:hAnsi="Arial"/>
                <w:sz w:val="26"/>
                <w:szCs w:val="26"/>
                <w:color w:val="auto"/>
                <w:w w:val="86"/>
                <w:vertAlign w:val="superscript"/>
              </w:rPr>
              <w:t>(19)</w:t>
            </w:r>
          </w:p>
        </w:tc>
        <w:tc>
          <w:tcPr>
            <w:tcW w:w="120" w:type="dxa"/>
            <w:vAlign w:val="bottom"/>
          </w:tcPr>
          <w:p>
            <w:pPr>
              <w:spacing w:after="0"/>
              <w:rPr>
                <w:sz w:val="21"/>
                <w:szCs w:val="21"/>
                <w:color w:val="auto"/>
              </w:rPr>
            </w:pPr>
          </w:p>
        </w:tc>
        <w:tc>
          <w:tcPr>
            <w:tcW w:w="2240" w:type="dxa"/>
            <w:vAlign w:val="bottom"/>
          </w:tcPr>
          <w:p>
            <w:pPr>
              <w:jc w:val="center"/>
              <w:spacing w:after="0"/>
              <w:rPr>
                <w:sz w:val="20"/>
                <w:szCs w:val="20"/>
                <w:color w:val="auto"/>
              </w:rPr>
            </w:pPr>
            <w:r>
              <w:rPr>
                <w:rFonts w:ascii="Arial" w:cs="Arial" w:eastAsia="Arial" w:hAnsi="Arial"/>
                <w:sz w:val="16"/>
                <w:szCs w:val="16"/>
                <w:color w:val="auto"/>
                <w:w w:val="95"/>
              </w:rPr>
              <w:t>TFDE</w:t>
            </w:r>
          </w:p>
        </w:tc>
        <w:tc>
          <w:tcPr>
            <w:tcW w:w="1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March 2026</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3"/>
        </w:trPr>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b w:val="1"/>
                <w:bCs w:val="1"/>
                <w:color w:val="auto"/>
                <w:w w:val="71"/>
              </w:rPr>
              <w:t>5</w:t>
            </w:r>
          </w:p>
        </w:tc>
        <w:tc>
          <w:tcPr>
            <w:tcW w:w="2480" w:type="dxa"/>
            <w:vAlign w:val="bottom"/>
            <w:shd w:val="clear" w:color="auto" w:fill="CCEEFF"/>
          </w:tcPr>
          <w:p>
            <w:pPr>
              <w:ind w:left="120"/>
              <w:spacing w:after="0"/>
              <w:rPr>
                <w:sz w:val="20"/>
                <w:szCs w:val="20"/>
                <w:color w:val="auto"/>
              </w:rPr>
            </w:pPr>
            <w:r>
              <w:rPr>
                <w:rFonts w:ascii="Arial" w:cs="Arial" w:eastAsia="Arial" w:hAnsi="Arial"/>
                <w:sz w:val="16"/>
                <w:szCs w:val="16"/>
                <w:i w:val="1"/>
                <w:iCs w:val="1"/>
                <w:color w:val="auto"/>
              </w:rPr>
              <w:t>Methane Julia Louise</w:t>
            </w: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2010</w:t>
            </w:r>
          </w:p>
        </w:tc>
        <w:tc>
          <w:tcPr>
            <w:tcW w:w="11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170,000</w:t>
            </w:r>
          </w:p>
        </w:tc>
        <w:tc>
          <w:tcPr>
            <w:tcW w:w="120" w:type="dxa"/>
            <w:vAlign w:val="bottom"/>
            <w:shd w:val="clear" w:color="auto" w:fill="CCEEFF"/>
          </w:tcPr>
          <w:p>
            <w:pPr>
              <w:spacing w:after="0"/>
              <w:rPr>
                <w:sz w:val="21"/>
                <w:szCs w:val="21"/>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Shell</w:t>
            </w:r>
          </w:p>
        </w:tc>
        <w:tc>
          <w:tcPr>
            <w:tcW w:w="120" w:type="dxa"/>
            <w:vAlign w:val="bottom"/>
            <w:shd w:val="clear" w:color="auto" w:fill="CCEEFF"/>
          </w:tcPr>
          <w:p>
            <w:pPr>
              <w:spacing w:after="0"/>
              <w:rPr>
                <w:sz w:val="21"/>
                <w:szCs w:val="21"/>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TFDE</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March 2026</w:t>
            </w:r>
          </w:p>
        </w:tc>
        <w:tc>
          <w:tcPr>
            <w:tcW w:w="1120" w:type="dxa"/>
            <w:vAlign w:val="bottom"/>
            <w:gridSpan w:val="2"/>
            <w:shd w:val="clear" w:color="auto" w:fill="CCEEFF"/>
          </w:tcPr>
          <w:p>
            <w:pPr>
              <w:jc w:val="center"/>
              <w:ind w:left="19"/>
              <w:spacing w:after="0" w:line="243" w:lineRule="exact"/>
              <w:rPr>
                <w:sz w:val="20"/>
                <w:szCs w:val="20"/>
                <w:color w:val="auto"/>
              </w:rPr>
            </w:pPr>
            <w:r>
              <w:rPr>
                <w:rFonts w:ascii="Arial" w:cs="Arial" w:eastAsia="Arial" w:hAnsi="Arial"/>
                <w:sz w:val="16"/>
                <w:szCs w:val="16"/>
                <w:color w:val="auto"/>
                <w:w w:val="88"/>
              </w:rPr>
              <w:t xml:space="preserve">2029-2031 </w:t>
            </w:r>
            <w:r>
              <w:rPr>
                <w:rFonts w:ascii="Arial" w:cs="Arial" w:eastAsia="Arial" w:hAnsi="Arial"/>
                <w:sz w:val="26"/>
                <w:szCs w:val="26"/>
                <w:color w:val="auto"/>
                <w:w w:val="88"/>
                <w:vertAlign w:val="superscript"/>
              </w:rPr>
              <w:t>(7)</w:t>
            </w:r>
          </w:p>
        </w:tc>
        <w:tc>
          <w:tcPr>
            <w:tcW w:w="0" w:type="dxa"/>
            <w:vAlign w:val="bottom"/>
          </w:tcPr>
          <w:p>
            <w:pPr>
              <w:spacing w:after="0"/>
              <w:rPr>
                <w:sz w:val="1"/>
                <w:szCs w:val="1"/>
                <w:color w:val="auto"/>
              </w:rPr>
            </w:pPr>
          </w:p>
        </w:tc>
      </w:tr>
      <w:tr>
        <w:trPr>
          <w:trHeight w:val="353"/>
        </w:trPr>
        <w:tc>
          <w:tcPr>
            <w:tcW w:w="220" w:type="dxa"/>
            <w:vAlign w:val="bottom"/>
          </w:tcPr>
          <w:p>
            <w:pPr>
              <w:jc w:val="right"/>
              <w:ind w:right="64"/>
              <w:spacing w:after="0"/>
              <w:rPr>
                <w:sz w:val="20"/>
                <w:szCs w:val="20"/>
                <w:color w:val="auto"/>
              </w:rPr>
            </w:pPr>
            <w:r>
              <w:rPr>
                <w:rFonts w:ascii="Arial" w:cs="Arial" w:eastAsia="Arial" w:hAnsi="Arial"/>
                <w:sz w:val="15"/>
                <w:szCs w:val="15"/>
                <w:b w:val="1"/>
                <w:bCs w:val="1"/>
                <w:color w:val="auto"/>
                <w:w w:val="71"/>
              </w:rPr>
              <w:t>6</w:t>
            </w:r>
          </w:p>
        </w:tc>
        <w:tc>
          <w:tcPr>
            <w:tcW w:w="2480" w:type="dxa"/>
            <w:vAlign w:val="bottom"/>
          </w:tcPr>
          <w:p>
            <w:pPr>
              <w:ind w:left="120"/>
              <w:spacing w:after="0"/>
              <w:rPr>
                <w:sz w:val="20"/>
                <w:szCs w:val="20"/>
                <w:color w:val="auto"/>
              </w:rPr>
            </w:pPr>
            <w:r>
              <w:rPr>
                <w:rFonts w:ascii="Arial" w:cs="Arial" w:eastAsia="Arial" w:hAnsi="Arial"/>
                <w:sz w:val="16"/>
                <w:szCs w:val="16"/>
                <w:i w:val="1"/>
                <w:iCs w:val="1"/>
                <w:color w:val="auto"/>
              </w:rPr>
              <w:t>GasLog Houston</w:t>
            </w:r>
          </w:p>
        </w:tc>
        <w:tc>
          <w:tcPr>
            <w:tcW w:w="900" w:type="dxa"/>
            <w:vAlign w:val="bottom"/>
            <w:gridSpan w:val="2"/>
          </w:tcPr>
          <w:p>
            <w:pPr>
              <w:ind w:left="340"/>
              <w:spacing w:after="0"/>
              <w:rPr>
                <w:sz w:val="20"/>
                <w:szCs w:val="20"/>
                <w:color w:val="auto"/>
              </w:rPr>
            </w:pPr>
            <w:r>
              <w:rPr>
                <w:rFonts w:ascii="Arial" w:cs="Arial" w:eastAsia="Arial" w:hAnsi="Arial"/>
                <w:sz w:val="16"/>
                <w:szCs w:val="16"/>
                <w:color w:val="auto"/>
              </w:rPr>
              <w:t>2018</w:t>
            </w:r>
          </w:p>
        </w:tc>
        <w:tc>
          <w:tcPr>
            <w:tcW w:w="112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174,000</w:t>
            </w: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89"/>
              </w:rPr>
              <w:t>Shell</w:t>
            </w:r>
          </w:p>
        </w:tc>
        <w:tc>
          <w:tcPr>
            <w:tcW w:w="1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6"/>
                <w:szCs w:val="16"/>
                <w:color w:val="auto"/>
              </w:rPr>
              <w:t>X-DF</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3"/>
              </w:rPr>
              <w:t>May 2028</w:t>
            </w:r>
          </w:p>
        </w:tc>
        <w:tc>
          <w:tcPr>
            <w:tcW w:w="1120" w:type="dxa"/>
            <w:vAlign w:val="bottom"/>
            <w:gridSpan w:val="2"/>
          </w:tcPr>
          <w:p>
            <w:pPr>
              <w:jc w:val="center"/>
              <w:ind w:left="19"/>
              <w:spacing w:after="0"/>
              <w:rPr>
                <w:sz w:val="20"/>
                <w:szCs w:val="20"/>
                <w:color w:val="auto"/>
              </w:rPr>
            </w:pPr>
            <w:r>
              <w:rPr>
                <w:rFonts w:ascii="Arial" w:cs="Arial" w:eastAsia="Arial" w:hAnsi="Arial"/>
                <w:sz w:val="16"/>
                <w:szCs w:val="16"/>
                <w:color w:val="auto"/>
                <w:w w:val="88"/>
              </w:rPr>
              <w:t xml:space="preserve">2031-2034 </w:t>
            </w:r>
            <w:r>
              <w:rPr>
                <w:rFonts w:ascii="Arial" w:cs="Arial" w:eastAsia="Arial" w:hAnsi="Arial"/>
                <w:sz w:val="26"/>
                <w:szCs w:val="26"/>
                <w:color w:val="auto"/>
                <w:w w:val="88"/>
                <w:vertAlign w:val="superscript"/>
              </w:rPr>
              <w:t>(7)</w:t>
            </w:r>
          </w:p>
        </w:tc>
        <w:tc>
          <w:tcPr>
            <w:tcW w:w="0" w:type="dxa"/>
            <w:vAlign w:val="bottom"/>
          </w:tcPr>
          <w:p>
            <w:pPr>
              <w:spacing w:after="0"/>
              <w:rPr>
                <w:sz w:val="1"/>
                <w:szCs w:val="1"/>
                <w:color w:val="auto"/>
              </w:rPr>
            </w:pPr>
          </w:p>
        </w:tc>
      </w:tr>
    </w:tbl>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9" w:right="339" w:bottom="1091"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t>As of May 11, 2023, the Partnership’s bareboat fleet consisted of the following vessels: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6"/>
              </w:rPr>
              <w:t>Charterer (for</w:t>
            </w:r>
          </w:p>
        </w:tc>
        <w:tc>
          <w:tcPr>
            <w:tcW w:w="1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5"/>
              </w:rPr>
              <w:t>Cargo</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87"/>
              </w:rPr>
              <w:t>contracts of</w:t>
            </w:r>
          </w:p>
        </w:tc>
        <w:tc>
          <w:tcPr>
            <w:tcW w:w="1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Charter</w:t>
            </w:r>
          </w:p>
        </w:tc>
        <w:tc>
          <w:tcPr>
            <w:tcW w:w="100" w:type="dxa"/>
            <w:vAlign w:val="bottom"/>
          </w:tcPr>
          <w:p>
            <w:pPr>
              <w:spacing w:after="0"/>
              <w:rPr>
                <w:sz w:val="17"/>
                <w:szCs w:val="17"/>
                <w:color w:val="auto"/>
              </w:rPr>
            </w:pPr>
          </w:p>
        </w:tc>
        <w:tc>
          <w:tcPr>
            <w:tcW w:w="1020" w:type="dxa"/>
            <w:vAlign w:val="bottom"/>
            <w:vMerge w:val="restart"/>
          </w:tcPr>
          <w:p>
            <w:pPr>
              <w:ind w:left="200"/>
              <w:spacing w:after="0"/>
              <w:rPr>
                <w:sz w:val="20"/>
                <w:szCs w:val="20"/>
                <w:color w:val="auto"/>
              </w:rPr>
            </w:pPr>
            <w:r>
              <w:rPr>
                <w:rFonts w:ascii="Arial" w:cs="Arial" w:eastAsia="Arial" w:hAnsi="Arial"/>
                <w:sz w:val="16"/>
                <w:szCs w:val="16"/>
                <w:b w:val="1"/>
                <w:bCs w:val="1"/>
                <w:color w:val="auto"/>
              </w:rPr>
              <w:t>Optional</w:t>
            </w: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ind w:left="220"/>
              <w:spacing w:after="0" w:line="163" w:lineRule="exact"/>
              <w:rPr>
                <w:sz w:val="20"/>
                <w:szCs w:val="20"/>
                <w:color w:val="auto"/>
              </w:rPr>
            </w:pPr>
            <w:r>
              <w:rPr>
                <w:rFonts w:ascii="Arial" w:cs="Arial" w:eastAsia="Arial" w:hAnsi="Arial"/>
                <w:sz w:val="16"/>
                <w:szCs w:val="16"/>
                <w:b w:val="1"/>
                <w:bCs w:val="1"/>
                <w:color w:val="auto"/>
              </w:rPr>
              <w:t>Year</w:t>
            </w:r>
          </w:p>
        </w:tc>
        <w:tc>
          <w:tcPr>
            <w:tcW w:w="120" w:type="dxa"/>
            <w:vAlign w:val="bottom"/>
          </w:tcPr>
          <w:p>
            <w:pPr>
              <w:spacing w:after="0"/>
              <w:rPr>
                <w:sz w:val="14"/>
                <w:szCs w:val="14"/>
                <w:color w:val="auto"/>
              </w:rPr>
            </w:pPr>
          </w:p>
        </w:tc>
        <w:tc>
          <w:tcPr>
            <w:tcW w:w="1000" w:type="dxa"/>
            <w:vAlign w:val="bottom"/>
          </w:tcPr>
          <w:p>
            <w:pPr>
              <w:jc w:val="center"/>
              <w:spacing w:after="0" w:line="163" w:lineRule="exact"/>
              <w:rPr>
                <w:sz w:val="20"/>
                <w:szCs w:val="20"/>
                <w:color w:val="auto"/>
              </w:rPr>
            </w:pPr>
            <w:r>
              <w:rPr>
                <w:rFonts w:ascii="Arial" w:cs="Arial" w:eastAsia="Arial" w:hAnsi="Arial"/>
                <w:sz w:val="16"/>
                <w:szCs w:val="16"/>
                <w:b w:val="1"/>
                <w:bCs w:val="1"/>
                <w:color w:val="auto"/>
                <w:w w:val="95"/>
              </w:rPr>
              <w:t>Capacity</w:t>
            </w:r>
          </w:p>
        </w:tc>
        <w:tc>
          <w:tcPr>
            <w:tcW w:w="120" w:type="dxa"/>
            <w:vAlign w:val="bottom"/>
          </w:tcPr>
          <w:p>
            <w:pPr>
              <w:spacing w:after="0"/>
              <w:rPr>
                <w:sz w:val="14"/>
                <w:szCs w:val="14"/>
                <w:color w:val="auto"/>
              </w:rPr>
            </w:pPr>
          </w:p>
        </w:tc>
        <w:tc>
          <w:tcPr>
            <w:tcW w:w="1680" w:type="dxa"/>
            <w:vAlign w:val="bottom"/>
          </w:tcPr>
          <w:p>
            <w:pPr>
              <w:jc w:val="center"/>
              <w:spacing w:after="0" w:line="163" w:lineRule="exact"/>
              <w:rPr>
                <w:sz w:val="20"/>
                <w:szCs w:val="20"/>
                <w:color w:val="auto"/>
              </w:rPr>
            </w:pPr>
            <w:r>
              <w:rPr>
                <w:rFonts w:ascii="Arial" w:cs="Arial" w:eastAsia="Arial" w:hAnsi="Arial"/>
                <w:sz w:val="16"/>
                <w:szCs w:val="16"/>
                <w:b w:val="1"/>
                <w:bCs w:val="1"/>
                <w:color w:val="auto"/>
                <w:w w:val="92"/>
              </w:rPr>
              <w:t>more than six</w:t>
            </w:r>
          </w:p>
        </w:tc>
        <w:tc>
          <w:tcPr>
            <w:tcW w:w="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8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tcPr>
          <w:p>
            <w:pPr>
              <w:ind w:left="640"/>
              <w:spacing w:after="0"/>
              <w:rPr>
                <w:sz w:val="20"/>
                <w:szCs w:val="20"/>
                <w:color w:val="auto"/>
              </w:rPr>
            </w:pPr>
            <w:r>
              <w:rPr>
                <w:rFonts w:ascii="Arial" w:cs="Arial" w:eastAsia="Arial" w:hAnsi="Arial"/>
                <w:sz w:val="16"/>
                <w:szCs w:val="16"/>
                <w:b w:val="1"/>
                <w:bCs w:val="1"/>
                <w:color w:val="auto"/>
              </w:rPr>
              <w:t>Vessel Name</w:t>
            </w:r>
          </w:p>
        </w:tc>
        <w:tc>
          <w:tcPr>
            <w:tcW w:w="120" w:type="dxa"/>
            <w:vAlign w:val="bottom"/>
          </w:tcPr>
          <w:p>
            <w:pPr>
              <w:spacing w:after="0"/>
              <w:rPr>
                <w:sz w:val="22"/>
                <w:szCs w:val="22"/>
                <w:color w:val="auto"/>
              </w:rPr>
            </w:pPr>
          </w:p>
        </w:tc>
        <w:tc>
          <w:tcPr>
            <w:tcW w:w="78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Built</w:t>
            </w:r>
          </w:p>
        </w:tc>
        <w:tc>
          <w:tcPr>
            <w:tcW w:w="120" w:type="dxa"/>
            <w:vAlign w:val="bottom"/>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(cbm)</w:t>
            </w:r>
          </w:p>
        </w:tc>
        <w:tc>
          <w:tcPr>
            <w:tcW w:w="120" w:type="dxa"/>
            <w:vAlign w:val="bottom"/>
          </w:tcPr>
          <w:p>
            <w:pPr>
              <w:spacing w:after="0"/>
              <w:rPr>
                <w:sz w:val="22"/>
                <w:szCs w:val="22"/>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months)</w:t>
            </w:r>
          </w:p>
        </w:tc>
        <w:tc>
          <w:tcPr>
            <w:tcW w:w="120" w:type="dxa"/>
            <w:vAlign w:val="bottom"/>
          </w:tcPr>
          <w:p>
            <w:pPr>
              <w:spacing w:after="0"/>
              <w:rPr>
                <w:sz w:val="22"/>
                <w:szCs w:val="22"/>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Propulsion</w:t>
            </w: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center"/>
              <w:spacing w:after="0" w:line="256" w:lineRule="exact"/>
              <w:rPr>
                <w:sz w:val="20"/>
                <w:szCs w:val="20"/>
                <w:color w:val="auto"/>
              </w:rPr>
            </w:pPr>
            <w:r>
              <w:rPr>
                <w:rFonts w:ascii="Arial" w:cs="Arial" w:eastAsia="Arial" w:hAnsi="Arial"/>
                <w:sz w:val="16"/>
                <w:szCs w:val="16"/>
                <w:b w:val="1"/>
                <w:bCs w:val="1"/>
                <w:color w:val="auto"/>
                <w:w w:val="90"/>
              </w:rPr>
              <w:t>Expiration</w:t>
            </w:r>
            <w:r>
              <w:rPr>
                <w:rFonts w:ascii="Arial" w:cs="Arial" w:eastAsia="Arial" w:hAnsi="Arial"/>
                <w:sz w:val="26"/>
                <w:szCs w:val="26"/>
                <w:b w:val="1"/>
                <w:bCs w:val="1"/>
                <w:color w:val="auto"/>
                <w:w w:val="90"/>
                <w:vertAlign w:val="superscript"/>
              </w:rPr>
              <w:t>(1)</w:t>
            </w:r>
          </w:p>
        </w:tc>
        <w:tc>
          <w:tcPr>
            <w:tcW w:w="100" w:type="dxa"/>
            <w:vAlign w:val="bottom"/>
          </w:tcPr>
          <w:p>
            <w:pPr>
              <w:spacing w:after="0"/>
              <w:rPr>
                <w:sz w:val="22"/>
                <w:szCs w:val="22"/>
                <w:color w:val="auto"/>
              </w:rPr>
            </w:pPr>
          </w:p>
        </w:tc>
        <w:tc>
          <w:tcPr>
            <w:tcW w:w="1020" w:type="dxa"/>
            <w:vAlign w:val="bottom"/>
            <w:tcBorders>
              <w:bottom w:val="single" w:sz="8" w:color="auto"/>
            </w:tcBorders>
          </w:tcPr>
          <w:p>
            <w:pPr>
              <w:ind w:left="200"/>
              <w:spacing w:after="0" w:line="256" w:lineRule="exact"/>
              <w:rPr>
                <w:sz w:val="20"/>
                <w:szCs w:val="20"/>
                <w:color w:val="auto"/>
              </w:rPr>
            </w:pPr>
            <w:r>
              <w:rPr>
                <w:rFonts w:ascii="Arial" w:cs="Arial" w:eastAsia="Arial" w:hAnsi="Arial"/>
                <w:sz w:val="16"/>
                <w:szCs w:val="16"/>
                <w:b w:val="1"/>
                <w:bCs w:val="1"/>
                <w:color w:val="auto"/>
              </w:rPr>
              <w:t>Period</w:t>
            </w:r>
            <w:r>
              <w:rPr>
                <w:rFonts w:ascii="Arial" w:cs="Arial" w:eastAsia="Arial" w:hAnsi="Arial"/>
                <w:sz w:val="26"/>
                <w:szCs w:val="26"/>
                <w:b w:val="1"/>
                <w:bCs w:val="1"/>
                <w:color w:val="auto"/>
                <w:vertAlign w:val="superscript"/>
              </w:rPr>
              <w:t>(2)</w:t>
            </w:r>
          </w:p>
        </w:tc>
        <w:tc>
          <w:tcPr>
            <w:tcW w:w="0" w:type="dxa"/>
            <w:vAlign w:val="bottom"/>
          </w:tcPr>
          <w:p>
            <w:pPr>
              <w:spacing w:after="0"/>
              <w:rPr>
                <w:sz w:val="1"/>
                <w:szCs w:val="1"/>
                <w:color w:val="auto"/>
              </w:rPr>
            </w:pPr>
          </w:p>
        </w:tc>
      </w:tr>
      <w:tr>
        <w:trPr>
          <w:trHeight w:val="237"/>
        </w:trPr>
        <w:tc>
          <w:tcPr>
            <w:tcW w:w="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2420" w:type="dxa"/>
            <w:vAlign w:val="bottom"/>
            <w:shd w:val="clear" w:color="auto" w:fill="CCEEFF"/>
          </w:tcPr>
          <w:p>
            <w:pPr>
              <w:ind w:left="60"/>
              <w:spacing w:after="0" w:line="236" w:lineRule="exact"/>
              <w:rPr>
                <w:sz w:val="20"/>
                <w:szCs w:val="20"/>
                <w:color w:val="auto"/>
              </w:rPr>
            </w:pPr>
            <w:r>
              <w:rPr>
                <w:rFonts w:ascii="Arial" w:cs="Arial" w:eastAsia="Arial" w:hAnsi="Arial"/>
                <w:sz w:val="16"/>
                <w:szCs w:val="16"/>
                <w:i w:val="1"/>
                <w:iCs w:val="1"/>
                <w:color w:val="auto"/>
              </w:rPr>
              <w:t xml:space="preserve">GasLog Sydney </w:t>
            </w:r>
            <w:r>
              <w:rPr>
                <w:rFonts w:ascii="Arial" w:cs="Arial" w:eastAsia="Arial" w:hAnsi="Arial"/>
                <w:sz w:val="26"/>
                <w:szCs w:val="26"/>
                <w:i w:val="1"/>
                <w:iCs w:val="1"/>
                <w:color w:val="auto"/>
                <w:vertAlign w:val="superscript"/>
              </w:rPr>
              <w:t>(16)</w:t>
            </w: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2013</w:t>
            </w:r>
          </w:p>
        </w:tc>
        <w:tc>
          <w:tcPr>
            <w:tcW w:w="11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155,000</w:t>
            </w: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Spot market</w:t>
            </w:r>
          </w:p>
        </w:tc>
        <w:tc>
          <w:tcPr>
            <w:tcW w:w="120" w:type="dxa"/>
            <w:vAlign w:val="bottom"/>
            <w:shd w:val="clear" w:color="auto" w:fill="CCEEFF"/>
          </w:tcPr>
          <w:p>
            <w:pPr>
              <w:spacing w:after="0"/>
              <w:rPr>
                <w:sz w:val="20"/>
                <w:szCs w:val="20"/>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TFDE</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3"/>
        </w:trPr>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2420" w:type="dxa"/>
            <w:vAlign w:val="bottom"/>
          </w:tcPr>
          <w:p>
            <w:pPr>
              <w:ind w:left="60"/>
              <w:spacing w:after="0"/>
              <w:rPr>
                <w:sz w:val="20"/>
                <w:szCs w:val="20"/>
                <w:color w:val="auto"/>
              </w:rPr>
            </w:pPr>
            <w:r>
              <w:rPr>
                <w:rFonts w:ascii="Arial" w:cs="Arial" w:eastAsia="Arial" w:hAnsi="Arial"/>
                <w:sz w:val="16"/>
                <w:szCs w:val="16"/>
                <w:i w:val="1"/>
                <w:iCs w:val="1"/>
                <w:color w:val="auto"/>
              </w:rPr>
              <w:t>GasLog Shanghai</w:t>
            </w:r>
          </w:p>
        </w:tc>
        <w:tc>
          <w:tcPr>
            <w:tcW w:w="900" w:type="dxa"/>
            <w:vAlign w:val="bottom"/>
            <w:gridSpan w:val="2"/>
          </w:tcPr>
          <w:p>
            <w:pPr>
              <w:ind w:left="340"/>
              <w:spacing w:after="0"/>
              <w:rPr>
                <w:sz w:val="20"/>
                <w:szCs w:val="20"/>
                <w:color w:val="auto"/>
              </w:rPr>
            </w:pPr>
            <w:r>
              <w:rPr>
                <w:rFonts w:ascii="Arial" w:cs="Arial" w:eastAsia="Arial" w:hAnsi="Arial"/>
                <w:sz w:val="16"/>
                <w:szCs w:val="16"/>
                <w:color w:val="auto"/>
              </w:rPr>
              <w:t>2013</w:t>
            </w:r>
          </w:p>
        </w:tc>
        <w:tc>
          <w:tcPr>
            <w:tcW w:w="112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155,000</w:t>
            </w:r>
          </w:p>
        </w:tc>
        <w:tc>
          <w:tcPr>
            <w:tcW w:w="120" w:type="dxa"/>
            <w:vAlign w:val="bottom"/>
          </w:tcPr>
          <w:p>
            <w:pPr>
              <w:spacing w:after="0"/>
              <w:rPr>
                <w:sz w:val="21"/>
                <w:szCs w:val="21"/>
                <w:color w:val="auto"/>
              </w:rPr>
            </w:pPr>
          </w:p>
        </w:tc>
        <w:tc>
          <w:tcPr>
            <w:tcW w:w="1680" w:type="dxa"/>
            <w:vAlign w:val="bottom"/>
          </w:tcPr>
          <w:p>
            <w:pPr>
              <w:jc w:val="center"/>
              <w:spacing w:after="0" w:line="243" w:lineRule="exact"/>
              <w:rPr>
                <w:sz w:val="20"/>
                <w:szCs w:val="20"/>
                <w:color w:val="auto"/>
              </w:rPr>
            </w:pPr>
            <w:r>
              <w:rPr>
                <w:rFonts w:ascii="Arial" w:cs="Arial" w:eastAsia="Arial" w:hAnsi="Arial"/>
                <w:sz w:val="16"/>
                <w:szCs w:val="16"/>
                <w:color w:val="auto"/>
                <w:w w:val="86"/>
              </w:rPr>
              <w:t xml:space="preserve">Woodside </w:t>
            </w:r>
            <w:r>
              <w:rPr>
                <w:rFonts w:ascii="Arial" w:cs="Arial" w:eastAsia="Arial" w:hAnsi="Arial"/>
                <w:sz w:val="26"/>
                <w:szCs w:val="26"/>
                <w:color w:val="auto"/>
                <w:w w:val="86"/>
                <w:vertAlign w:val="superscript"/>
              </w:rPr>
              <w:t>(20)</w:t>
            </w:r>
          </w:p>
        </w:tc>
        <w:tc>
          <w:tcPr>
            <w:tcW w:w="120" w:type="dxa"/>
            <w:vAlign w:val="bottom"/>
          </w:tcPr>
          <w:p>
            <w:pPr>
              <w:spacing w:after="0"/>
              <w:rPr>
                <w:sz w:val="21"/>
                <w:szCs w:val="21"/>
                <w:color w:val="auto"/>
              </w:rPr>
            </w:pPr>
          </w:p>
        </w:tc>
        <w:tc>
          <w:tcPr>
            <w:tcW w:w="2240" w:type="dxa"/>
            <w:vAlign w:val="bottom"/>
          </w:tcPr>
          <w:p>
            <w:pPr>
              <w:jc w:val="center"/>
              <w:spacing w:after="0"/>
              <w:rPr>
                <w:sz w:val="20"/>
                <w:szCs w:val="20"/>
                <w:color w:val="auto"/>
              </w:rPr>
            </w:pPr>
            <w:r>
              <w:rPr>
                <w:rFonts w:ascii="Arial" w:cs="Arial" w:eastAsia="Arial" w:hAnsi="Arial"/>
                <w:sz w:val="16"/>
                <w:szCs w:val="16"/>
                <w:color w:val="auto"/>
                <w:w w:val="95"/>
              </w:rPr>
              <w:t>TFDE</w:t>
            </w:r>
          </w:p>
        </w:tc>
        <w:tc>
          <w:tcPr>
            <w:tcW w:w="1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0"/>
              </w:rPr>
              <w:t>February 2025</w:t>
            </w:r>
          </w:p>
        </w:tc>
        <w:tc>
          <w:tcPr>
            <w:tcW w:w="1120" w:type="dxa"/>
            <w:vAlign w:val="bottom"/>
            <w:gridSpan w:val="2"/>
          </w:tcPr>
          <w:p>
            <w:pPr>
              <w:jc w:val="center"/>
              <w:ind w:left="19"/>
              <w:spacing w:after="0" w:line="243" w:lineRule="exact"/>
              <w:rPr>
                <w:sz w:val="20"/>
                <w:szCs w:val="20"/>
                <w:color w:val="auto"/>
              </w:rPr>
            </w:pPr>
            <w:r>
              <w:rPr>
                <w:rFonts w:ascii="Arial" w:cs="Arial" w:eastAsia="Arial" w:hAnsi="Arial"/>
                <w:sz w:val="16"/>
                <w:szCs w:val="16"/>
                <w:color w:val="auto"/>
                <w:w w:val="81"/>
              </w:rPr>
              <w:t xml:space="preserve">2026 </w:t>
            </w:r>
            <w:r>
              <w:rPr>
                <w:rFonts w:ascii="Arial" w:cs="Arial" w:eastAsia="Arial" w:hAnsi="Arial"/>
                <w:sz w:val="26"/>
                <w:szCs w:val="26"/>
                <w:color w:val="auto"/>
                <w:w w:val="81"/>
                <w:vertAlign w:val="superscript"/>
              </w:rPr>
              <w:t>(20)</w:t>
            </w:r>
          </w:p>
        </w:tc>
        <w:tc>
          <w:tcPr>
            <w:tcW w:w="0" w:type="dxa"/>
            <w:vAlign w:val="bottom"/>
          </w:tcPr>
          <w:p>
            <w:pPr>
              <w:spacing w:after="0"/>
              <w:rPr>
                <w:sz w:val="1"/>
                <w:szCs w:val="1"/>
                <w:color w:val="auto"/>
              </w:rPr>
            </w:pPr>
          </w:p>
        </w:tc>
      </w:tr>
      <w:tr>
        <w:trPr>
          <w:trHeight w:val="243"/>
        </w:trPr>
        <w:tc>
          <w:tcPr>
            <w:tcW w:w="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w:t>
            </w:r>
          </w:p>
        </w:tc>
        <w:tc>
          <w:tcPr>
            <w:tcW w:w="2420" w:type="dxa"/>
            <w:vAlign w:val="bottom"/>
            <w:shd w:val="clear" w:color="auto" w:fill="CCEEFF"/>
          </w:tcPr>
          <w:p>
            <w:pPr>
              <w:ind w:left="60"/>
              <w:spacing w:after="0"/>
              <w:rPr>
                <w:sz w:val="20"/>
                <w:szCs w:val="20"/>
                <w:color w:val="auto"/>
              </w:rPr>
            </w:pPr>
            <w:r>
              <w:rPr>
                <w:rFonts w:ascii="Arial" w:cs="Arial" w:eastAsia="Arial" w:hAnsi="Arial"/>
                <w:sz w:val="16"/>
                <w:szCs w:val="16"/>
                <w:i w:val="1"/>
                <w:iCs w:val="1"/>
                <w:color w:val="auto"/>
              </w:rPr>
              <w:t>Methane Heather Sally</w:t>
            </w: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2007</w:t>
            </w:r>
          </w:p>
        </w:tc>
        <w:tc>
          <w:tcPr>
            <w:tcW w:w="11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145,000</w:t>
            </w:r>
          </w:p>
        </w:tc>
        <w:tc>
          <w:tcPr>
            <w:tcW w:w="120" w:type="dxa"/>
            <w:vAlign w:val="bottom"/>
            <w:shd w:val="clear" w:color="auto" w:fill="CCEEFF"/>
          </w:tcPr>
          <w:p>
            <w:pPr>
              <w:spacing w:after="0"/>
              <w:rPr>
                <w:sz w:val="21"/>
                <w:szCs w:val="21"/>
                <w:color w:val="auto"/>
              </w:rPr>
            </w:pPr>
          </w:p>
        </w:tc>
        <w:tc>
          <w:tcPr>
            <w:tcW w:w="1680" w:type="dxa"/>
            <w:vAlign w:val="bottom"/>
            <w:shd w:val="clear" w:color="auto" w:fill="CCEEFF"/>
          </w:tcPr>
          <w:p>
            <w:pPr>
              <w:jc w:val="center"/>
              <w:spacing w:after="0" w:line="243" w:lineRule="exact"/>
              <w:rPr>
                <w:sz w:val="20"/>
                <w:szCs w:val="20"/>
                <w:color w:val="auto"/>
              </w:rPr>
            </w:pPr>
            <w:r>
              <w:rPr>
                <w:rFonts w:ascii="Arial" w:cs="Arial" w:eastAsia="Arial" w:hAnsi="Arial"/>
                <w:sz w:val="16"/>
                <w:szCs w:val="16"/>
                <w:color w:val="auto"/>
                <w:w w:val="86"/>
              </w:rPr>
              <w:t xml:space="preserve">SEA Charterer </w:t>
            </w:r>
            <w:r>
              <w:rPr>
                <w:rFonts w:ascii="Arial" w:cs="Arial" w:eastAsia="Arial" w:hAnsi="Arial"/>
                <w:sz w:val="26"/>
                <w:szCs w:val="26"/>
                <w:color w:val="auto"/>
                <w:w w:val="86"/>
                <w:vertAlign w:val="superscript"/>
              </w:rPr>
              <w:t>(21)</w:t>
            </w:r>
          </w:p>
        </w:tc>
        <w:tc>
          <w:tcPr>
            <w:tcW w:w="120" w:type="dxa"/>
            <w:vAlign w:val="bottom"/>
            <w:shd w:val="clear" w:color="auto" w:fill="CCEEFF"/>
          </w:tcPr>
          <w:p>
            <w:pPr>
              <w:spacing w:after="0"/>
              <w:rPr>
                <w:sz w:val="21"/>
                <w:szCs w:val="21"/>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6"/>
              </w:rPr>
              <w:t>Steam</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July 2025</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2"/>
          <w:szCs w:val="12"/>
          <w:color w:val="auto"/>
        </w:rPr>
      </w:pPr>
      <w:r>
        <w:rPr>
          <w:rFonts w:ascii="Arial" w:cs="Arial" w:eastAsia="Arial" w:hAnsi="Arial"/>
          <w:sz w:val="14"/>
          <w:szCs w:val="14"/>
          <w:color w:val="auto"/>
        </w:rPr>
        <w:t>Indicates the expiration of the initial term.</w:t>
      </w:r>
    </w:p>
    <w:p>
      <w:pPr>
        <w:spacing w:after="0" w:line="136" w:lineRule="exact"/>
        <w:rPr>
          <w:rFonts w:ascii="Arial" w:cs="Arial" w:eastAsia="Arial" w:hAnsi="Arial"/>
          <w:sz w:val="12"/>
          <w:szCs w:val="12"/>
          <w:color w:val="auto"/>
        </w:rPr>
      </w:pPr>
    </w:p>
    <w:p>
      <w:pPr>
        <w:ind w:left="340" w:hanging="332"/>
        <w:spacing w:after="0"/>
        <w:tabs>
          <w:tab w:leader="none" w:pos="340" w:val="left"/>
        </w:tabs>
        <w:numPr>
          <w:ilvl w:val="0"/>
          <w:numId w:val="2"/>
        </w:numPr>
        <w:rPr>
          <w:rFonts w:ascii="Arial" w:cs="Arial" w:eastAsia="Arial" w:hAnsi="Arial"/>
          <w:sz w:val="12"/>
          <w:szCs w:val="12"/>
          <w:color w:val="auto"/>
        </w:rPr>
      </w:pPr>
      <w:r>
        <w:rPr>
          <w:rFonts w:ascii="Arial" w:cs="Arial" w:eastAsia="Arial" w:hAnsi="Arial"/>
          <w:sz w:val="14"/>
          <w:szCs w:val="14"/>
          <w:color w:val="auto"/>
        </w:rPr>
        <w:t>The period shown reflects the expiration of the minimum optional period and the maximum optional period.</w:t>
      </w:r>
    </w:p>
    <w:p>
      <w:pPr>
        <w:spacing w:after="0" w:line="136" w:lineRule="exact"/>
        <w:rPr>
          <w:rFonts w:ascii="Arial" w:cs="Arial" w:eastAsia="Arial" w:hAnsi="Arial"/>
          <w:sz w:val="12"/>
          <w:szCs w:val="12"/>
          <w:color w:val="auto"/>
        </w:rPr>
      </w:pPr>
    </w:p>
    <w:p>
      <w:pPr>
        <w:ind w:left="340" w:hanging="332"/>
        <w:spacing w:after="0"/>
        <w:tabs>
          <w:tab w:leader="none" w:pos="340" w:val="left"/>
        </w:tabs>
        <w:numPr>
          <w:ilvl w:val="0"/>
          <w:numId w:val="2"/>
        </w:numPr>
        <w:rPr>
          <w:rFonts w:ascii="Arial" w:cs="Arial" w:eastAsia="Arial" w:hAnsi="Arial"/>
          <w:sz w:val="12"/>
          <w:szCs w:val="12"/>
          <w:color w:val="auto"/>
        </w:rPr>
      </w:pPr>
      <w:r>
        <w:rPr>
          <w:rFonts w:ascii="Arial" w:cs="Arial" w:eastAsia="Arial" w:hAnsi="Arial"/>
          <w:sz w:val="14"/>
          <w:szCs w:val="14"/>
          <w:color w:val="auto"/>
        </w:rPr>
        <w:t xml:space="preserve">The vessel </w:t>
      </w:r>
      <w:r>
        <w:rPr>
          <w:rFonts w:ascii="Arial" w:cs="Arial" w:eastAsia="Arial" w:hAnsi="Arial"/>
          <w:sz w:val="14"/>
          <w:szCs w:val="14"/>
          <w:i w:val="1"/>
          <w:iCs w:val="1"/>
          <w:color w:val="auto"/>
        </w:rPr>
        <w:t>GasLog Chelsea</w:t>
      </w:r>
      <w:r>
        <w:rPr>
          <w:rFonts w:ascii="Arial" w:cs="Arial" w:eastAsia="Arial" w:hAnsi="Arial"/>
          <w:sz w:val="14"/>
          <w:szCs w:val="14"/>
          <w:color w:val="auto"/>
        </w:rPr>
        <w:t xml:space="preserve"> was renamed to </w:t>
      </w:r>
      <w:r>
        <w:rPr>
          <w:rFonts w:ascii="Arial" w:cs="Arial" w:eastAsia="Arial" w:hAnsi="Arial"/>
          <w:sz w:val="14"/>
          <w:szCs w:val="14"/>
          <w:i w:val="1"/>
          <w:iCs w:val="1"/>
          <w:color w:val="auto"/>
        </w:rPr>
        <w:t>Alexandroupoli</w:t>
      </w:r>
      <w:r>
        <w:rPr>
          <w:rFonts w:ascii="Arial" w:cs="Arial" w:eastAsia="Arial" w:hAnsi="Arial"/>
          <w:sz w:val="14"/>
          <w:szCs w:val="14"/>
          <w:color w:val="auto"/>
        </w:rPr>
        <w:t xml:space="preserve"> in February 2023. The vessel is currently undergoing conversion into an FSRU.</w:t>
      </w:r>
    </w:p>
    <w:p>
      <w:pPr>
        <w:spacing w:after="0" w:line="136" w:lineRule="exact"/>
        <w:rPr>
          <w:rFonts w:ascii="Arial" w:cs="Arial" w:eastAsia="Arial" w:hAnsi="Arial"/>
          <w:sz w:val="12"/>
          <w:szCs w:val="12"/>
          <w:color w:val="auto"/>
        </w:rPr>
      </w:pPr>
    </w:p>
    <w:p>
      <w:pPr>
        <w:ind w:left="340" w:right="220" w:hanging="332"/>
        <w:spacing w:after="0" w:line="253" w:lineRule="auto"/>
        <w:tabs>
          <w:tab w:leader="none" w:pos="340" w:val="left"/>
        </w:tabs>
        <w:numPr>
          <w:ilvl w:val="0"/>
          <w:numId w:val="2"/>
        </w:numPr>
        <w:rPr>
          <w:rFonts w:ascii="Arial" w:cs="Arial" w:eastAsia="Arial" w:hAnsi="Arial"/>
          <w:sz w:val="12"/>
          <w:szCs w:val="12"/>
          <w:color w:val="auto"/>
        </w:rPr>
      </w:pPr>
      <w:r>
        <w:rPr>
          <w:rFonts w:ascii="Arial" w:cs="Arial" w:eastAsia="Arial" w:hAnsi="Arial"/>
          <w:sz w:val="14"/>
          <w:szCs w:val="14"/>
          <w:color w:val="auto"/>
        </w:rPr>
        <w:t>The vessel is chartered to the Hellenic Gas Transmission System Operator (DESFA) S.A. (“DESFA”) for a period of one year. Upon redelivery from DESFA, the vessel will be sold to an unrelated third party.</w:t>
      </w:r>
    </w:p>
    <w:p>
      <w:pPr>
        <w:spacing w:after="0" w:line="106" w:lineRule="exact"/>
        <w:rPr>
          <w:rFonts w:ascii="Arial" w:cs="Arial" w:eastAsia="Arial" w:hAnsi="Arial"/>
          <w:sz w:val="12"/>
          <w:szCs w:val="12"/>
          <w:color w:val="auto"/>
        </w:rPr>
      </w:pPr>
    </w:p>
    <w:p>
      <w:pPr>
        <w:ind w:left="340" w:hanging="332"/>
        <w:spacing w:after="0"/>
        <w:tabs>
          <w:tab w:leader="none" w:pos="340" w:val="left"/>
        </w:tabs>
        <w:numPr>
          <w:ilvl w:val="0"/>
          <w:numId w:val="2"/>
        </w:numPr>
        <w:rPr>
          <w:rFonts w:ascii="Arial" w:cs="Arial" w:eastAsia="Arial" w:hAnsi="Arial"/>
          <w:sz w:val="12"/>
          <w:szCs w:val="12"/>
          <w:color w:val="auto"/>
        </w:rPr>
      </w:pPr>
      <w:r>
        <w:rPr>
          <w:rFonts w:ascii="Arial" w:cs="Arial" w:eastAsia="Arial" w:hAnsi="Arial"/>
          <w:sz w:val="14"/>
          <w:szCs w:val="14"/>
          <w:color w:val="auto"/>
        </w:rPr>
        <w:t>The charterer has the right to extend the charter by one additional period of one year, provided that the charterer gives us advance notice of the declaration.</w:t>
      </w:r>
    </w:p>
    <w:p>
      <w:pPr>
        <w:spacing w:after="0" w:line="122" w:lineRule="exact"/>
        <w:rPr>
          <w:rFonts w:ascii="Arial" w:cs="Arial" w:eastAsia="Arial" w:hAnsi="Arial"/>
          <w:sz w:val="12"/>
          <w:szCs w:val="12"/>
          <w:color w:val="auto"/>
        </w:rPr>
      </w:pPr>
    </w:p>
    <w:p>
      <w:pPr>
        <w:ind w:left="340" w:right="320" w:hanging="332"/>
        <w:spacing w:after="0" w:line="253" w:lineRule="auto"/>
        <w:tabs>
          <w:tab w:leader="none" w:pos="340" w:val="left"/>
        </w:tabs>
        <w:numPr>
          <w:ilvl w:val="0"/>
          <w:numId w:val="2"/>
        </w:numPr>
        <w:rPr>
          <w:rFonts w:ascii="Arial" w:cs="Arial" w:eastAsia="Arial" w:hAnsi="Arial"/>
          <w:sz w:val="12"/>
          <w:szCs w:val="12"/>
          <w:color w:val="auto"/>
        </w:rPr>
      </w:pPr>
      <w:r>
        <w:rPr>
          <w:rFonts w:ascii="Arial" w:cs="Arial" w:eastAsia="Arial" w:hAnsi="Arial"/>
          <w:sz w:val="14"/>
          <w:szCs w:val="14"/>
          <w:color w:val="auto"/>
        </w:rPr>
        <w:t>The vessel is chartered to NFE Transport Partners LLC. The charterer has the right to extend the charter by an additional period of 90 days, provided that the charterer gives us advance notice of the declaration.</w:t>
      </w:r>
    </w:p>
    <w:p>
      <w:pPr>
        <w:spacing w:after="0" w:line="106" w:lineRule="exact"/>
        <w:rPr>
          <w:rFonts w:ascii="Arial" w:cs="Arial" w:eastAsia="Arial" w:hAnsi="Arial"/>
          <w:sz w:val="12"/>
          <w:szCs w:val="12"/>
          <w:color w:val="auto"/>
        </w:rPr>
      </w:pPr>
    </w:p>
    <w:p>
      <w:pPr>
        <w:ind w:left="340" w:right="20" w:hanging="332"/>
        <w:spacing w:after="0" w:line="238" w:lineRule="auto"/>
        <w:tabs>
          <w:tab w:leader="none" w:pos="340" w:val="left"/>
        </w:tabs>
        <w:numPr>
          <w:ilvl w:val="0"/>
          <w:numId w:val="2"/>
        </w:numPr>
        <w:rPr>
          <w:rFonts w:ascii="Arial" w:cs="Arial" w:eastAsia="Arial" w:hAnsi="Arial"/>
          <w:sz w:val="12"/>
          <w:szCs w:val="12"/>
          <w:color w:val="auto"/>
        </w:rPr>
      </w:pPr>
      <w:r>
        <w:rPr>
          <w:rFonts w:ascii="Arial" w:cs="Arial" w:eastAsia="Arial" w:hAnsi="Arial"/>
          <w:sz w:val="14"/>
          <w:szCs w:val="14"/>
          <w:color w:val="auto"/>
        </w:rPr>
        <w:t xml:space="preserve">Shell has the right to extend the charters of (a) the </w:t>
      </w:r>
      <w:r>
        <w:rPr>
          <w:rFonts w:ascii="Arial" w:cs="Arial" w:eastAsia="Arial" w:hAnsi="Arial"/>
          <w:sz w:val="14"/>
          <w:szCs w:val="14"/>
          <w:i w:val="1"/>
          <w:iCs w:val="1"/>
          <w:color w:val="auto"/>
        </w:rPr>
        <w:t>GasLog Genoa</w:t>
      </w:r>
      <w:r>
        <w:rPr>
          <w:rFonts w:ascii="Arial" w:cs="Arial" w:eastAsia="Arial" w:hAnsi="Arial"/>
          <w:sz w:val="14"/>
          <w:szCs w:val="14"/>
          <w:color w:val="auto"/>
        </w:rPr>
        <w:t xml:space="preserve">, the </w:t>
      </w:r>
      <w:r>
        <w:rPr>
          <w:rFonts w:ascii="Arial" w:cs="Arial" w:eastAsia="Arial" w:hAnsi="Arial"/>
          <w:sz w:val="14"/>
          <w:szCs w:val="14"/>
          <w:i w:val="1"/>
          <w:iCs w:val="1"/>
          <w:color w:val="auto"/>
        </w:rPr>
        <w:t>GasLog Houston</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GasLog Gladstone</w:t>
      </w:r>
      <w:r>
        <w:rPr>
          <w:rFonts w:ascii="Arial" w:cs="Arial" w:eastAsia="Arial" w:hAnsi="Arial"/>
          <w:sz w:val="14"/>
          <w:szCs w:val="14"/>
          <w:color w:val="auto"/>
        </w:rPr>
        <w:t xml:space="preserve"> by two additional periods of three years, (b) the </w:t>
      </w:r>
      <w:r>
        <w:rPr>
          <w:rFonts w:ascii="Arial" w:cs="Arial" w:eastAsia="Arial" w:hAnsi="Arial"/>
          <w:sz w:val="14"/>
          <w:szCs w:val="14"/>
          <w:i w:val="1"/>
          <w:iCs w:val="1"/>
          <w:color w:val="auto"/>
        </w:rPr>
        <w:t>Methane Julia Louise</w:t>
      </w:r>
      <w:r>
        <w:rPr>
          <w:rFonts w:ascii="Arial" w:cs="Arial" w:eastAsia="Arial" w:hAnsi="Arial"/>
          <w:sz w:val="14"/>
          <w:szCs w:val="14"/>
          <w:color w:val="auto"/>
        </w:rPr>
        <w:t xml:space="preserve"> for a period of either three or five years, (c) the </w:t>
      </w:r>
      <w:r>
        <w:rPr>
          <w:rFonts w:ascii="Arial" w:cs="Arial" w:eastAsia="Arial" w:hAnsi="Arial"/>
          <w:sz w:val="14"/>
          <w:szCs w:val="14"/>
          <w:i w:val="1"/>
          <w:iCs w:val="1"/>
          <w:color w:val="auto"/>
        </w:rPr>
        <w:t>GasLog Greece</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GasLog Glasgow</w:t>
      </w:r>
      <w:r>
        <w:rPr>
          <w:rFonts w:ascii="Arial" w:cs="Arial" w:eastAsia="Arial" w:hAnsi="Arial"/>
          <w:sz w:val="14"/>
          <w:szCs w:val="14"/>
          <w:color w:val="auto"/>
        </w:rPr>
        <w:t xml:space="preserve"> for a period of five years and (d) the </w:t>
      </w:r>
      <w:r>
        <w:rPr>
          <w:rFonts w:ascii="Arial" w:cs="Arial" w:eastAsia="Arial" w:hAnsi="Arial"/>
          <w:sz w:val="14"/>
          <w:szCs w:val="14"/>
          <w:i w:val="1"/>
          <w:iCs w:val="1"/>
          <w:color w:val="auto"/>
        </w:rPr>
        <w:t>GasLog Geneva</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GasLog Gibraltar</w:t>
      </w:r>
      <w:r>
        <w:rPr>
          <w:rFonts w:ascii="Arial" w:cs="Arial" w:eastAsia="Arial" w:hAnsi="Arial"/>
          <w:sz w:val="14"/>
          <w:szCs w:val="14"/>
          <w:color w:val="auto"/>
        </w:rPr>
        <w:t xml:space="preserve"> for a period of three years, provided that Shell gives us advance notice of the declarations.</w:t>
      </w:r>
    </w:p>
    <w:p>
      <w:pPr>
        <w:spacing w:after="0" w:line="115" w:lineRule="exact"/>
        <w:rPr>
          <w:rFonts w:ascii="Arial" w:cs="Arial" w:eastAsia="Arial" w:hAnsi="Arial"/>
          <w:sz w:val="12"/>
          <w:szCs w:val="12"/>
          <w:color w:val="auto"/>
        </w:rPr>
      </w:pPr>
    </w:p>
    <w:p>
      <w:pPr>
        <w:ind w:left="340" w:right="220" w:hanging="332"/>
        <w:spacing w:after="0" w:line="253" w:lineRule="auto"/>
        <w:tabs>
          <w:tab w:leader="none" w:pos="340" w:val="left"/>
        </w:tabs>
        <w:numPr>
          <w:ilvl w:val="0"/>
          <w:numId w:val="2"/>
        </w:numPr>
        <w:rPr>
          <w:rFonts w:ascii="Arial" w:cs="Arial" w:eastAsia="Arial" w:hAnsi="Arial"/>
          <w:sz w:val="12"/>
          <w:szCs w:val="12"/>
          <w:color w:val="auto"/>
        </w:rPr>
      </w:pPr>
      <w:r>
        <w:rPr>
          <w:rFonts w:ascii="Arial" w:cs="Arial" w:eastAsia="Arial" w:hAnsi="Arial"/>
          <w:sz w:val="14"/>
          <w:szCs w:val="14"/>
          <w:color w:val="auto"/>
        </w:rPr>
        <w:t>The vessels are chartered to Pioneer Shipping Limited, a wholly owned subsidiary of Centrica Plc (“Centrica”). Centrica has the right to extend the charters by three additional periods of two years, provided that Centrica gives us advance notice of declaration.</w:t>
      </w:r>
    </w:p>
    <w:p>
      <w:pPr>
        <w:spacing w:after="0" w:line="106" w:lineRule="exact"/>
        <w:rPr>
          <w:rFonts w:ascii="Arial" w:cs="Arial" w:eastAsia="Arial" w:hAnsi="Arial"/>
          <w:sz w:val="12"/>
          <w:szCs w:val="12"/>
          <w:color w:val="auto"/>
        </w:rPr>
      </w:pPr>
    </w:p>
    <w:p>
      <w:pPr>
        <w:jc w:val="both"/>
        <w:ind w:left="340" w:right="160" w:hanging="332"/>
        <w:spacing w:after="0" w:line="238" w:lineRule="auto"/>
        <w:tabs>
          <w:tab w:leader="none" w:pos="340" w:val="left"/>
        </w:tabs>
        <w:numPr>
          <w:ilvl w:val="0"/>
          <w:numId w:val="2"/>
        </w:numPr>
        <w:rPr>
          <w:rFonts w:ascii="Arial" w:cs="Arial" w:eastAsia="Arial" w:hAnsi="Arial"/>
          <w:sz w:val="12"/>
          <w:szCs w:val="12"/>
          <w:color w:val="auto"/>
        </w:rPr>
      </w:pPr>
      <w:r>
        <w:rPr>
          <w:rFonts w:ascii="Arial" w:cs="Arial" w:eastAsia="Arial" w:hAnsi="Arial"/>
          <w:sz w:val="14"/>
          <w:szCs w:val="14"/>
          <w:color w:val="auto"/>
        </w:rPr>
        <w:t xml:space="preserve">The vessel is chartered to Cheniere Marketing International LLP, a wholly owned subsidiary of Cheniere Energy, Inc. (“Cheniere”). Cheniere has the right to extend the charters of (a) the </w:t>
      </w:r>
      <w:r>
        <w:rPr>
          <w:rFonts w:ascii="Arial" w:cs="Arial" w:eastAsia="Arial" w:hAnsi="Arial"/>
          <w:sz w:val="14"/>
          <w:szCs w:val="14"/>
          <w:i w:val="1"/>
          <w:iCs w:val="1"/>
          <w:color w:val="auto"/>
        </w:rPr>
        <w:t>GasLog Georgetown</w:t>
      </w:r>
      <w:r>
        <w:rPr>
          <w:rFonts w:ascii="Arial" w:cs="Arial" w:eastAsia="Arial" w:hAnsi="Arial"/>
          <w:sz w:val="14"/>
          <w:szCs w:val="14"/>
          <w:color w:val="auto"/>
        </w:rPr>
        <w:t>, the</w:t>
      </w:r>
      <w:r>
        <w:rPr>
          <w:rFonts w:ascii="Arial" w:cs="Arial" w:eastAsia="Arial" w:hAnsi="Arial"/>
          <w:sz w:val="14"/>
          <w:szCs w:val="14"/>
          <w:i w:val="1"/>
          <w:iCs w:val="1"/>
          <w:color w:val="auto"/>
        </w:rPr>
        <w:t xml:space="preserve"> GasLog Galveston, </w:t>
      </w:r>
      <w:r>
        <w:rPr>
          <w:rFonts w:ascii="Arial" w:cs="Arial" w:eastAsia="Arial" w:hAnsi="Arial"/>
          <w:sz w:val="14"/>
          <w:szCs w:val="14"/>
          <w:color w:val="auto"/>
        </w:rPr>
        <w:t>the</w:t>
      </w:r>
      <w:r>
        <w:rPr>
          <w:rFonts w:ascii="Arial" w:cs="Arial" w:eastAsia="Arial" w:hAnsi="Arial"/>
          <w:sz w:val="14"/>
          <w:szCs w:val="14"/>
          <w:i w:val="1"/>
          <w:iCs w:val="1"/>
          <w:color w:val="auto"/>
        </w:rPr>
        <w:t xml:space="preserve"> GasLog Wellington </w:t>
      </w:r>
      <w:r>
        <w:rPr>
          <w:rFonts w:ascii="Arial" w:cs="Arial" w:eastAsia="Arial" w:hAnsi="Arial"/>
          <w:sz w:val="14"/>
          <w:szCs w:val="14"/>
          <w:color w:val="auto"/>
        </w:rPr>
        <w:t>and the</w:t>
      </w:r>
      <w:r>
        <w:rPr>
          <w:rFonts w:ascii="Arial" w:cs="Arial" w:eastAsia="Arial" w:hAnsi="Arial"/>
          <w:sz w:val="14"/>
          <w:szCs w:val="14"/>
          <w:i w:val="1"/>
          <w:iCs w:val="1"/>
          <w:color w:val="auto"/>
        </w:rPr>
        <w:t xml:space="preserve"> GasLog Winchester </w:t>
      </w:r>
      <w:r>
        <w:rPr>
          <w:rFonts w:ascii="Arial" w:cs="Arial" w:eastAsia="Arial" w:hAnsi="Arial"/>
          <w:sz w:val="14"/>
          <w:szCs w:val="14"/>
          <w:color w:val="auto"/>
        </w:rPr>
        <w:t>by three consecutive periods of three years, two years and two years, respectively and (b)</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the </w:t>
      </w:r>
      <w:r>
        <w:rPr>
          <w:rFonts w:ascii="Arial" w:cs="Arial" w:eastAsia="Arial" w:hAnsi="Arial"/>
          <w:sz w:val="14"/>
          <w:szCs w:val="14"/>
          <w:i w:val="1"/>
          <w:iCs w:val="1"/>
          <w:color w:val="auto"/>
        </w:rPr>
        <w:t>Methane Jane Elizabeth</w:t>
      </w:r>
      <w:r>
        <w:rPr>
          <w:rFonts w:ascii="Arial" w:cs="Arial" w:eastAsia="Arial" w:hAnsi="Arial"/>
          <w:sz w:val="14"/>
          <w:szCs w:val="14"/>
          <w:color w:val="auto"/>
        </w:rPr>
        <w:t xml:space="preserve"> by an additional period of one year, provided that Cheniere gives us advance notice of the declarations.</w:t>
      </w:r>
    </w:p>
    <w:p>
      <w:pPr>
        <w:spacing w:after="0" w:line="115" w:lineRule="exact"/>
        <w:rPr>
          <w:rFonts w:ascii="Arial" w:cs="Arial" w:eastAsia="Arial" w:hAnsi="Arial"/>
          <w:sz w:val="12"/>
          <w:szCs w:val="12"/>
          <w:color w:val="auto"/>
        </w:rPr>
      </w:pPr>
    </w:p>
    <w:p>
      <w:pPr>
        <w:ind w:left="340" w:right="300" w:hanging="332"/>
        <w:spacing w:after="0" w:line="253" w:lineRule="auto"/>
        <w:tabs>
          <w:tab w:leader="none" w:pos="340" w:val="left"/>
        </w:tabs>
        <w:numPr>
          <w:ilvl w:val="0"/>
          <w:numId w:val="2"/>
        </w:numPr>
        <w:rPr>
          <w:rFonts w:ascii="Arial" w:cs="Arial" w:eastAsia="Arial" w:hAnsi="Arial"/>
          <w:sz w:val="12"/>
          <w:szCs w:val="12"/>
          <w:color w:val="auto"/>
        </w:rPr>
      </w:pPr>
      <w:r>
        <w:rPr>
          <w:rFonts w:ascii="Arial" w:cs="Arial" w:eastAsia="Arial" w:hAnsi="Arial"/>
          <w:sz w:val="14"/>
          <w:szCs w:val="14"/>
          <w:color w:val="auto"/>
        </w:rPr>
        <w:t xml:space="preserve">“Endesa” refers to Endesa S.A. Endesa has the right to extend the charter of the </w:t>
      </w:r>
      <w:r>
        <w:rPr>
          <w:rFonts w:ascii="Arial" w:cs="Arial" w:eastAsia="Arial" w:hAnsi="Arial"/>
          <w:sz w:val="14"/>
          <w:szCs w:val="14"/>
          <w:i w:val="1"/>
          <w:iCs w:val="1"/>
          <w:color w:val="auto"/>
        </w:rPr>
        <w:t>GasLog Warsaw</w:t>
      </w:r>
      <w:r>
        <w:rPr>
          <w:rFonts w:ascii="Arial" w:cs="Arial" w:eastAsia="Arial" w:hAnsi="Arial"/>
          <w:sz w:val="14"/>
          <w:szCs w:val="14"/>
          <w:color w:val="auto"/>
        </w:rPr>
        <w:t xml:space="preserve"> by two additional periods of six years, provided that Endesa gives us advance notice of declaration.</w:t>
      </w:r>
    </w:p>
    <w:p>
      <w:pPr>
        <w:spacing w:after="0" w:line="106" w:lineRule="exact"/>
        <w:rPr>
          <w:rFonts w:ascii="Arial" w:cs="Arial" w:eastAsia="Arial" w:hAnsi="Arial"/>
          <w:sz w:val="12"/>
          <w:szCs w:val="12"/>
          <w:color w:val="auto"/>
        </w:rPr>
      </w:pPr>
    </w:p>
    <w:p>
      <w:pPr>
        <w:ind w:left="340" w:right="160" w:hanging="332"/>
        <w:spacing w:after="0" w:line="253" w:lineRule="auto"/>
        <w:tabs>
          <w:tab w:leader="none" w:pos="340" w:val="left"/>
        </w:tabs>
        <w:numPr>
          <w:ilvl w:val="0"/>
          <w:numId w:val="2"/>
        </w:numPr>
        <w:rPr>
          <w:rFonts w:ascii="Arial" w:cs="Arial" w:eastAsia="Arial" w:hAnsi="Arial"/>
          <w:sz w:val="12"/>
          <w:szCs w:val="12"/>
          <w:color w:val="auto"/>
        </w:rPr>
      </w:pPr>
      <w:r>
        <w:rPr>
          <w:rFonts w:ascii="Arial" w:cs="Arial" w:eastAsia="Arial" w:hAnsi="Arial"/>
          <w:sz w:val="14"/>
          <w:szCs w:val="14"/>
          <w:color w:val="auto"/>
        </w:rPr>
        <w:t>“Jera” refers to LNG Marine Transport Limited, the principal LNG shipping entity of Japan’s Jera Co., Inc. Jera has the right to extend the charter by two additional periods of three years, provided that Jera gives us advance notice of declaration.</w:t>
      </w:r>
    </w:p>
    <w:p>
      <w:pPr>
        <w:spacing w:after="0" w:line="106" w:lineRule="exact"/>
        <w:rPr>
          <w:rFonts w:ascii="Arial" w:cs="Arial" w:eastAsia="Arial" w:hAnsi="Arial"/>
          <w:sz w:val="12"/>
          <w:szCs w:val="12"/>
          <w:color w:val="auto"/>
        </w:rPr>
      </w:pPr>
    </w:p>
    <w:p>
      <w:pPr>
        <w:ind w:left="340" w:right="240" w:hanging="332"/>
        <w:spacing w:after="0" w:line="253" w:lineRule="auto"/>
        <w:tabs>
          <w:tab w:leader="none" w:pos="340" w:val="left"/>
        </w:tabs>
        <w:numPr>
          <w:ilvl w:val="0"/>
          <w:numId w:val="2"/>
        </w:numPr>
        <w:rPr>
          <w:rFonts w:ascii="Arial" w:cs="Arial" w:eastAsia="Arial" w:hAnsi="Arial"/>
          <w:sz w:val="12"/>
          <w:szCs w:val="12"/>
          <w:color w:val="auto"/>
        </w:rPr>
      </w:pPr>
      <w:r>
        <w:rPr>
          <w:rFonts w:ascii="Arial" w:cs="Arial" w:eastAsia="Arial" w:hAnsi="Arial"/>
          <w:sz w:val="14"/>
          <w:szCs w:val="14"/>
          <w:color w:val="auto"/>
        </w:rPr>
        <w:t>The vessel is chartered to CNTIC VPower Energy Ltd. (“CNTIC VPower”), an independent Chinese energy company. CNTIC VPower may extend the term of the related charter by two additional periods of one year, provided that the charterer gives us advance notice of declaration.</w:t>
      </w:r>
    </w:p>
    <w:p>
      <w:pPr>
        <w:spacing w:after="0" w:line="106" w:lineRule="exact"/>
        <w:rPr>
          <w:rFonts w:ascii="Arial" w:cs="Arial" w:eastAsia="Arial" w:hAnsi="Arial"/>
          <w:sz w:val="12"/>
          <w:szCs w:val="12"/>
          <w:color w:val="auto"/>
        </w:rPr>
      </w:pPr>
    </w:p>
    <w:p>
      <w:pPr>
        <w:ind w:left="340" w:right="80" w:hanging="332"/>
        <w:spacing w:after="0" w:line="253" w:lineRule="auto"/>
        <w:tabs>
          <w:tab w:leader="none" w:pos="340" w:val="left"/>
        </w:tabs>
        <w:numPr>
          <w:ilvl w:val="0"/>
          <w:numId w:val="2"/>
        </w:numPr>
        <w:rPr>
          <w:rFonts w:ascii="Arial" w:cs="Arial" w:eastAsia="Arial" w:hAnsi="Arial"/>
          <w:sz w:val="12"/>
          <w:szCs w:val="12"/>
          <w:color w:val="auto"/>
        </w:rPr>
      </w:pPr>
      <w:r>
        <w:rPr>
          <w:rFonts w:ascii="Arial" w:cs="Arial" w:eastAsia="Arial" w:hAnsi="Arial"/>
          <w:sz w:val="14"/>
          <w:szCs w:val="14"/>
          <w:color w:val="auto"/>
        </w:rPr>
        <w:t>The vessel is chartered to Trafigura Maritime Logistics PTE Ltd. (“Trafigura”). Trafigura may extend the term of this time charter for a five-year period, provided that the charterer gives us advance notice of declaration.</w:t>
      </w:r>
    </w:p>
    <w:p>
      <w:pPr>
        <w:spacing w:after="0" w:line="106" w:lineRule="exact"/>
        <w:rPr>
          <w:rFonts w:ascii="Arial" w:cs="Arial" w:eastAsia="Arial" w:hAnsi="Arial"/>
          <w:sz w:val="12"/>
          <w:szCs w:val="12"/>
          <w:color w:val="auto"/>
        </w:rPr>
      </w:pPr>
    </w:p>
    <w:p>
      <w:pPr>
        <w:ind w:left="340" w:hanging="332"/>
        <w:spacing w:after="0"/>
        <w:tabs>
          <w:tab w:leader="none" w:pos="340" w:val="left"/>
        </w:tabs>
        <w:numPr>
          <w:ilvl w:val="0"/>
          <w:numId w:val="2"/>
        </w:numPr>
        <w:rPr>
          <w:rFonts w:ascii="Arial" w:cs="Arial" w:eastAsia="Arial" w:hAnsi="Arial"/>
          <w:sz w:val="12"/>
          <w:szCs w:val="12"/>
          <w:color w:val="auto"/>
        </w:rPr>
      </w:pPr>
      <w:r>
        <w:rPr>
          <w:rFonts w:ascii="Arial" w:cs="Arial" w:eastAsia="Arial" w:hAnsi="Arial"/>
          <w:sz w:val="14"/>
          <w:szCs w:val="14"/>
          <w:color w:val="auto"/>
        </w:rPr>
        <w:t>The vessel is chartered to a Swiss-headquartered energy trading company.</w:t>
      </w:r>
    </w:p>
    <w:p>
      <w:pPr>
        <w:spacing w:after="0" w:line="122" w:lineRule="exact"/>
        <w:rPr>
          <w:rFonts w:ascii="Arial" w:cs="Arial" w:eastAsia="Arial" w:hAnsi="Arial"/>
          <w:sz w:val="12"/>
          <w:szCs w:val="12"/>
          <w:color w:val="auto"/>
        </w:rPr>
      </w:pPr>
    </w:p>
    <w:p>
      <w:pPr>
        <w:ind w:left="340" w:hanging="332"/>
        <w:spacing w:after="0"/>
        <w:tabs>
          <w:tab w:leader="none" w:pos="340" w:val="left"/>
        </w:tabs>
        <w:numPr>
          <w:ilvl w:val="0"/>
          <w:numId w:val="2"/>
        </w:numPr>
        <w:rPr>
          <w:rFonts w:ascii="Arial" w:cs="Arial" w:eastAsia="Arial" w:hAnsi="Arial"/>
          <w:sz w:val="12"/>
          <w:szCs w:val="12"/>
          <w:color w:val="auto"/>
        </w:rPr>
      </w:pPr>
      <w:r>
        <w:rPr>
          <w:rFonts w:ascii="Arial" w:cs="Arial" w:eastAsia="Arial" w:hAnsi="Arial"/>
          <w:sz w:val="14"/>
          <w:szCs w:val="14"/>
          <w:color w:val="auto"/>
        </w:rPr>
        <w:t>The vessel is chartered to Tokyo LNG Tanker Co. Ltd. (“Tokyo LNG”).</w:t>
      </w:r>
    </w:p>
    <w:p>
      <w:pPr>
        <w:spacing w:after="0" w:line="136" w:lineRule="exact"/>
        <w:rPr>
          <w:rFonts w:ascii="Arial" w:cs="Arial" w:eastAsia="Arial" w:hAnsi="Arial"/>
          <w:sz w:val="12"/>
          <w:szCs w:val="12"/>
          <w:color w:val="auto"/>
        </w:rPr>
      </w:pPr>
    </w:p>
    <w:p>
      <w:pPr>
        <w:ind w:left="340" w:right="280" w:hanging="332"/>
        <w:spacing w:after="0" w:line="253" w:lineRule="auto"/>
        <w:tabs>
          <w:tab w:leader="none" w:pos="340" w:val="left"/>
        </w:tabs>
        <w:numPr>
          <w:ilvl w:val="0"/>
          <w:numId w:val="2"/>
        </w:numPr>
        <w:rPr>
          <w:rFonts w:ascii="Arial" w:cs="Arial" w:eastAsia="Arial" w:hAnsi="Arial"/>
          <w:sz w:val="12"/>
          <w:szCs w:val="12"/>
          <w:color w:val="auto"/>
        </w:rPr>
      </w:pPr>
      <w:r>
        <w:rPr>
          <w:rFonts w:ascii="Arial" w:cs="Arial" w:eastAsia="Arial" w:hAnsi="Arial"/>
          <w:sz w:val="14"/>
          <w:szCs w:val="14"/>
          <w:color w:val="auto"/>
        </w:rPr>
        <w:t xml:space="preserve">On March 30, 2023 GAS-five Ltd. and GAS-nine Ltd. sold the </w:t>
      </w:r>
      <w:r>
        <w:rPr>
          <w:rFonts w:ascii="Arial" w:cs="Arial" w:eastAsia="Arial" w:hAnsi="Arial"/>
          <w:sz w:val="14"/>
          <w:szCs w:val="14"/>
          <w:i w:val="1"/>
          <w:iCs w:val="1"/>
          <w:color w:val="auto"/>
        </w:rPr>
        <w:t>GasLog Sydney</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GasLog Saratoga</w:t>
      </w:r>
      <w:r>
        <w:rPr>
          <w:rFonts w:ascii="Arial" w:cs="Arial" w:eastAsia="Arial" w:hAnsi="Arial"/>
          <w:sz w:val="14"/>
          <w:szCs w:val="14"/>
          <w:color w:val="auto"/>
        </w:rPr>
        <w:t xml:space="preserve"> respectively, to CDBL and leased them back for a period of five years, with no repurchase option or obligation.</w:t>
      </w:r>
    </w:p>
    <w:p>
      <w:pPr>
        <w:spacing w:after="0" w:line="106" w:lineRule="exact"/>
        <w:rPr>
          <w:rFonts w:ascii="Arial" w:cs="Arial" w:eastAsia="Arial" w:hAnsi="Arial"/>
          <w:sz w:val="12"/>
          <w:szCs w:val="12"/>
          <w:color w:val="auto"/>
        </w:rPr>
      </w:pPr>
    </w:p>
    <w:p>
      <w:pPr>
        <w:ind w:left="340" w:hanging="332"/>
        <w:spacing w:after="0"/>
        <w:tabs>
          <w:tab w:leader="none" w:pos="340" w:val="left"/>
        </w:tabs>
        <w:numPr>
          <w:ilvl w:val="0"/>
          <w:numId w:val="2"/>
        </w:numPr>
        <w:rPr>
          <w:rFonts w:ascii="Arial" w:cs="Arial" w:eastAsia="Arial" w:hAnsi="Arial"/>
          <w:sz w:val="12"/>
          <w:szCs w:val="12"/>
          <w:color w:val="auto"/>
        </w:rPr>
      </w:pPr>
      <w:r>
        <w:rPr>
          <w:rFonts w:ascii="Arial" w:cs="Arial" w:eastAsia="Arial" w:hAnsi="Arial"/>
          <w:sz w:val="14"/>
          <w:szCs w:val="14"/>
          <w:color w:val="auto"/>
        </w:rPr>
        <w:t>The vessel is chartered to Mitsui &amp; Co., Ltd. (“Mitsui”).</w:t>
      </w:r>
    </w:p>
    <w:p>
      <w:pPr>
        <w:spacing w:after="0" w:line="136" w:lineRule="exact"/>
        <w:rPr>
          <w:rFonts w:ascii="Arial" w:cs="Arial" w:eastAsia="Arial" w:hAnsi="Arial"/>
          <w:sz w:val="12"/>
          <w:szCs w:val="12"/>
          <w:color w:val="auto"/>
        </w:rPr>
      </w:pPr>
    </w:p>
    <w:p>
      <w:pPr>
        <w:ind w:left="340" w:right="320" w:hanging="332"/>
        <w:spacing w:after="0" w:line="253" w:lineRule="auto"/>
        <w:tabs>
          <w:tab w:leader="none" w:pos="340" w:val="left"/>
        </w:tabs>
        <w:numPr>
          <w:ilvl w:val="0"/>
          <w:numId w:val="2"/>
        </w:numPr>
        <w:rPr>
          <w:rFonts w:ascii="Arial" w:cs="Arial" w:eastAsia="Arial" w:hAnsi="Arial"/>
          <w:sz w:val="12"/>
          <w:szCs w:val="12"/>
          <w:color w:val="auto"/>
        </w:rPr>
      </w:pPr>
      <w:r>
        <w:rPr>
          <w:rFonts w:ascii="Arial" w:cs="Arial" w:eastAsia="Arial" w:hAnsi="Arial"/>
          <w:sz w:val="14"/>
          <w:szCs w:val="14"/>
          <w:color w:val="auto"/>
        </w:rPr>
        <w:t>The vessel is chartered to TotalEnergies Gas &amp; Power Limited, a wholly owned subsidiary of TotalEnergies SE (“TotalEnergies”). TotalEnergies has the right to extend the charter for a period of three years, provided that TotalEnergies provides us with advance notice of declaration.</w:t>
      </w:r>
    </w:p>
    <w:p>
      <w:pPr>
        <w:spacing w:after="0" w:line="106" w:lineRule="exact"/>
        <w:rPr>
          <w:rFonts w:ascii="Arial" w:cs="Arial" w:eastAsia="Arial" w:hAnsi="Arial"/>
          <w:sz w:val="12"/>
          <w:szCs w:val="12"/>
          <w:color w:val="auto"/>
        </w:rPr>
      </w:pPr>
    </w:p>
    <w:p>
      <w:pPr>
        <w:ind w:left="340" w:hanging="332"/>
        <w:spacing w:after="0"/>
        <w:tabs>
          <w:tab w:leader="none" w:pos="340" w:val="left"/>
        </w:tabs>
        <w:numPr>
          <w:ilvl w:val="0"/>
          <w:numId w:val="2"/>
        </w:numPr>
        <w:rPr>
          <w:rFonts w:ascii="Arial" w:cs="Arial" w:eastAsia="Arial" w:hAnsi="Arial"/>
          <w:sz w:val="12"/>
          <w:szCs w:val="12"/>
          <w:color w:val="auto"/>
        </w:rPr>
      </w:pPr>
      <w:r>
        <w:rPr>
          <w:rFonts w:ascii="Arial" w:cs="Arial" w:eastAsia="Arial" w:hAnsi="Arial"/>
          <w:sz w:val="14"/>
          <w:szCs w:val="14"/>
          <w:color w:val="auto"/>
        </w:rPr>
        <w:t>The vessel is chartered to Clearlake Shipping Pte. Ltd., a wholly owned subsidiary of Gunvor Group Ltd. (“Gunvor”).</w:t>
      </w:r>
    </w:p>
    <w:p>
      <w:pPr>
        <w:spacing w:after="0" w:line="136" w:lineRule="exact"/>
        <w:rPr>
          <w:rFonts w:ascii="Arial" w:cs="Arial" w:eastAsia="Arial" w:hAnsi="Arial"/>
          <w:sz w:val="12"/>
          <w:szCs w:val="12"/>
          <w:color w:val="auto"/>
        </w:rPr>
      </w:pPr>
    </w:p>
    <w:p>
      <w:pPr>
        <w:ind w:left="340" w:right="100" w:hanging="332"/>
        <w:spacing w:after="0" w:line="253" w:lineRule="auto"/>
        <w:tabs>
          <w:tab w:leader="none" w:pos="340" w:val="left"/>
        </w:tabs>
        <w:numPr>
          <w:ilvl w:val="0"/>
          <w:numId w:val="2"/>
        </w:numPr>
        <w:rPr>
          <w:rFonts w:ascii="Arial" w:cs="Arial" w:eastAsia="Arial" w:hAnsi="Arial"/>
          <w:sz w:val="12"/>
          <w:szCs w:val="12"/>
          <w:color w:val="auto"/>
        </w:rPr>
      </w:pPr>
      <w:r>
        <w:rPr>
          <w:rFonts w:ascii="Arial" w:cs="Arial" w:eastAsia="Arial" w:hAnsi="Arial"/>
          <w:sz w:val="14"/>
          <w:szCs w:val="14"/>
          <w:color w:val="auto"/>
        </w:rPr>
        <w:t>The vessel is chartered to Woodside Energy Shipping Singapore Pte. Ltd. (“Woodside”). The charterer has the right to extend the charter by one additional period of one year, provided that the charterer gives us advance notice of declaration.</w:t>
      </w:r>
    </w:p>
    <w:p>
      <w:pPr>
        <w:spacing w:after="0" w:line="106" w:lineRule="exact"/>
        <w:rPr>
          <w:rFonts w:ascii="Arial" w:cs="Arial" w:eastAsia="Arial" w:hAnsi="Arial"/>
          <w:sz w:val="12"/>
          <w:szCs w:val="12"/>
          <w:color w:val="auto"/>
        </w:rPr>
      </w:pPr>
    </w:p>
    <w:p>
      <w:pPr>
        <w:ind w:left="340" w:hanging="332"/>
        <w:spacing w:after="0"/>
        <w:tabs>
          <w:tab w:leader="none" w:pos="340" w:val="left"/>
        </w:tabs>
        <w:numPr>
          <w:ilvl w:val="0"/>
          <w:numId w:val="2"/>
        </w:numPr>
        <w:rPr>
          <w:rFonts w:ascii="Arial" w:cs="Arial" w:eastAsia="Arial" w:hAnsi="Arial"/>
          <w:sz w:val="12"/>
          <w:szCs w:val="12"/>
          <w:color w:val="auto"/>
        </w:rPr>
      </w:pPr>
      <w:r>
        <w:rPr>
          <w:rFonts w:ascii="Arial" w:cs="Arial" w:eastAsia="Arial" w:hAnsi="Arial"/>
          <w:sz w:val="14"/>
          <w:szCs w:val="14"/>
          <w:color w:val="auto"/>
        </w:rPr>
        <w:t>The vessel is chartered to a Southeast Asian charterer (“SEA Charterer”).</w:t>
      </w:r>
    </w:p>
    <w:p>
      <w:pPr>
        <w:spacing w:after="0" w:line="199" w:lineRule="exact"/>
        <w:rPr>
          <w:sz w:val="20"/>
          <w:szCs w:val="20"/>
          <w:color w:val="auto"/>
        </w:rPr>
      </w:pPr>
    </w:p>
    <w:p>
      <w:pPr>
        <w:ind w:right="20" w:firstLine="383"/>
        <w:spacing w:after="0" w:line="271" w:lineRule="auto"/>
        <w:rPr>
          <w:sz w:val="20"/>
          <w:szCs w:val="20"/>
          <w:color w:val="auto"/>
        </w:rPr>
      </w:pPr>
      <w:r>
        <w:rPr>
          <w:rFonts w:ascii="Arial" w:cs="Arial" w:eastAsia="Arial" w:hAnsi="Arial"/>
          <w:sz w:val="16"/>
          <w:szCs w:val="16"/>
          <w:color w:val="auto"/>
        </w:rPr>
        <w:t>Under the omnibus agreement entered into with GasLog Partners and certain of its subsidiaries in connection with the Partnership’s initial public offering, as amended, GasLog has agreed, and has caused our controlled affiliates (other than GasLog Partners, its general partner and its subsidiaries) to agree, not to acquire, own, operate or charter any LNG carrier with a cargo capacity greater than 75,000 cbm engaged in oceangoing LNG transportation under a charter for five full years or more without, within 30 calendar days after the consummation of the acquisition or the commencement of the operations or charter of such a vessel, notifying and offering GasLog Partners the opportunity to purchase such a vessel at fair market value.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auto"/>
        </w:rPr>
        <w:t>Future Deliveries</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As of May 11, 2023, GasLog has four newbuildings on order at Daewoo Shipbuilding and Marine Engineering Co., Ltd.:</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5"/>
              </w:rPr>
              <w:t>Cargo</w:t>
            </w:r>
          </w:p>
        </w:tc>
        <w:tc>
          <w:tcPr>
            <w:tcW w:w="1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4"/>
              </w:rPr>
              <w:t>Estimated Charter</w:t>
            </w:r>
          </w:p>
        </w:tc>
        <w:tc>
          <w:tcPr>
            <w:tcW w:w="0" w:type="dxa"/>
            <w:vAlign w:val="bottom"/>
          </w:tcPr>
          <w:p>
            <w:pPr>
              <w:spacing w:after="0"/>
              <w:rPr>
                <w:sz w:val="1"/>
                <w:szCs w:val="1"/>
                <w:color w:val="auto"/>
              </w:rPr>
            </w:pPr>
          </w:p>
        </w:tc>
      </w:tr>
      <w:tr>
        <w:trPr>
          <w:trHeight w:val="163"/>
        </w:trPr>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spacing w:after="0" w:line="163" w:lineRule="exact"/>
              <w:rPr>
                <w:sz w:val="20"/>
                <w:szCs w:val="20"/>
                <w:color w:val="auto"/>
              </w:rPr>
            </w:pPr>
            <w:r>
              <w:rPr>
                <w:rFonts w:ascii="Arial" w:cs="Arial" w:eastAsia="Arial" w:hAnsi="Arial"/>
                <w:sz w:val="16"/>
                <w:szCs w:val="16"/>
                <w:b w:val="1"/>
                <w:bCs w:val="1"/>
                <w:color w:val="auto"/>
                <w:w w:val="92"/>
              </w:rPr>
              <w:t>Capacity</w:t>
            </w:r>
          </w:p>
        </w:tc>
        <w:tc>
          <w:tcPr>
            <w:tcW w:w="1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040" w:type="dxa"/>
            <w:vAlign w:val="bottom"/>
            <w:tcBorders>
              <w:bottom w:val="single" w:sz="8" w:color="auto"/>
            </w:tcBorders>
          </w:tcPr>
          <w:p>
            <w:pPr>
              <w:ind w:left="560"/>
              <w:spacing w:after="0"/>
              <w:rPr>
                <w:sz w:val="20"/>
                <w:szCs w:val="20"/>
                <w:color w:val="auto"/>
              </w:rPr>
            </w:pPr>
            <w:r>
              <w:rPr>
                <w:rFonts w:ascii="Arial" w:cs="Arial" w:eastAsia="Arial" w:hAnsi="Arial"/>
                <w:sz w:val="16"/>
                <w:szCs w:val="16"/>
                <w:b w:val="1"/>
                <w:bCs w:val="1"/>
                <w:color w:val="auto"/>
              </w:rPr>
              <w:t>LNG Carrier</w:t>
            </w:r>
          </w:p>
        </w:tc>
        <w:tc>
          <w:tcPr>
            <w:tcW w:w="100" w:type="dxa"/>
            <w:vAlign w:val="bottom"/>
          </w:tcPr>
          <w:p>
            <w:pPr>
              <w:spacing w:after="0"/>
              <w:rPr>
                <w:sz w:val="22"/>
                <w:szCs w:val="22"/>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Expected Delivery</w:t>
            </w:r>
          </w:p>
        </w:tc>
        <w:tc>
          <w:tcPr>
            <w:tcW w:w="120" w:type="dxa"/>
            <w:vAlign w:val="bottom"/>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(cbm)</w:t>
            </w:r>
          </w:p>
        </w:tc>
        <w:tc>
          <w:tcPr>
            <w:tcW w:w="120" w:type="dxa"/>
            <w:vAlign w:val="bottom"/>
          </w:tcPr>
          <w:p>
            <w:pPr>
              <w:spacing w:after="0"/>
              <w:rPr>
                <w:sz w:val="22"/>
                <w:szCs w:val="22"/>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Charterer</w:t>
            </w:r>
          </w:p>
        </w:tc>
        <w:tc>
          <w:tcPr>
            <w:tcW w:w="120" w:type="dxa"/>
            <w:vAlign w:val="bottom"/>
          </w:tcPr>
          <w:p>
            <w:pPr>
              <w:spacing w:after="0"/>
              <w:rPr>
                <w:sz w:val="22"/>
                <w:szCs w:val="22"/>
                <w:color w:val="auto"/>
              </w:rPr>
            </w:pPr>
          </w:p>
        </w:tc>
        <w:tc>
          <w:tcPr>
            <w:tcW w:w="1240" w:type="dxa"/>
            <w:vAlign w:val="bottom"/>
            <w:tcBorders>
              <w:bottom w:val="single" w:sz="8" w:color="auto"/>
            </w:tcBorders>
          </w:tcPr>
          <w:p>
            <w:pPr>
              <w:jc w:val="center"/>
              <w:spacing w:after="0" w:line="256" w:lineRule="exact"/>
              <w:rPr>
                <w:sz w:val="20"/>
                <w:szCs w:val="20"/>
                <w:color w:val="auto"/>
              </w:rPr>
            </w:pPr>
            <w:r>
              <w:rPr>
                <w:rFonts w:ascii="Arial" w:cs="Arial" w:eastAsia="Arial" w:hAnsi="Arial"/>
                <w:sz w:val="16"/>
                <w:szCs w:val="16"/>
                <w:b w:val="1"/>
                <w:bCs w:val="1"/>
                <w:color w:val="auto"/>
                <w:w w:val="87"/>
              </w:rPr>
              <w:t>Propulsion</w:t>
            </w:r>
            <w:r>
              <w:rPr>
                <w:rFonts w:ascii="Arial" w:cs="Arial" w:eastAsia="Arial" w:hAnsi="Arial"/>
                <w:sz w:val="26"/>
                <w:szCs w:val="26"/>
                <w:b w:val="1"/>
                <w:bCs w:val="1"/>
                <w:color w:val="auto"/>
                <w:w w:val="87"/>
                <w:vertAlign w:val="superscript"/>
              </w:rPr>
              <w:t>(1)</w:t>
            </w:r>
          </w:p>
        </w:tc>
        <w:tc>
          <w:tcPr>
            <w:tcW w:w="120" w:type="dxa"/>
            <w:vAlign w:val="bottom"/>
          </w:tcPr>
          <w:p>
            <w:pPr>
              <w:spacing w:after="0"/>
              <w:rPr>
                <w:sz w:val="22"/>
                <w:szCs w:val="22"/>
                <w:color w:val="auto"/>
              </w:rPr>
            </w:pPr>
          </w:p>
        </w:tc>
        <w:tc>
          <w:tcPr>
            <w:tcW w:w="1800" w:type="dxa"/>
            <w:vAlign w:val="bottom"/>
            <w:tcBorders>
              <w:bottom w:val="single" w:sz="8" w:color="auto"/>
            </w:tcBorders>
          </w:tcPr>
          <w:p>
            <w:pPr>
              <w:jc w:val="center"/>
              <w:spacing w:after="0" w:line="256" w:lineRule="exact"/>
              <w:rPr>
                <w:sz w:val="20"/>
                <w:szCs w:val="20"/>
                <w:color w:val="auto"/>
              </w:rPr>
            </w:pPr>
            <w:r>
              <w:rPr>
                <w:rFonts w:ascii="Arial" w:cs="Arial" w:eastAsia="Arial" w:hAnsi="Arial"/>
                <w:sz w:val="16"/>
                <w:szCs w:val="16"/>
                <w:b w:val="1"/>
                <w:bCs w:val="1"/>
                <w:color w:val="auto"/>
                <w:w w:val="90"/>
              </w:rPr>
              <w:t>Expiration</w:t>
            </w:r>
            <w:r>
              <w:rPr>
                <w:rFonts w:ascii="Arial" w:cs="Arial" w:eastAsia="Arial" w:hAnsi="Arial"/>
                <w:sz w:val="26"/>
                <w:szCs w:val="26"/>
                <w:b w:val="1"/>
                <w:bCs w:val="1"/>
                <w:color w:val="auto"/>
                <w:w w:val="90"/>
                <w:vertAlign w:val="superscript"/>
              </w:rPr>
              <w:t>(2)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40" w:type="dxa"/>
            <w:vAlign w:val="bottom"/>
            <w:shd w:val="clear" w:color="auto" w:fill="CCEEFF"/>
          </w:tcPr>
          <w:p>
            <w:pPr>
              <w:spacing w:after="0"/>
              <w:rPr>
                <w:sz w:val="20"/>
                <w:szCs w:val="20"/>
                <w:color w:val="auto"/>
              </w:rPr>
            </w:pPr>
            <w:r>
              <w:rPr>
                <w:rFonts w:ascii="Arial" w:cs="Arial" w:eastAsia="Arial" w:hAnsi="Arial"/>
                <w:sz w:val="16"/>
                <w:szCs w:val="16"/>
                <w:color w:val="auto"/>
              </w:rPr>
              <w:t>Hull No. 2532</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Q3 2024</w:t>
            </w:r>
          </w:p>
        </w:tc>
        <w:tc>
          <w:tcPr>
            <w:tcW w:w="11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174,000</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Multinational Oil and Gas Company</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MEGI</w:t>
            </w:r>
          </w:p>
        </w:tc>
        <w:tc>
          <w:tcPr>
            <w:tcW w:w="19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5"/>
              </w:rPr>
              <w:t>2031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40" w:type="dxa"/>
            <w:vAlign w:val="bottom"/>
          </w:tcPr>
          <w:p>
            <w:pPr>
              <w:spacing w:after="0"/>
              <w:rPr>
                <w:sz w:val="20"/>
                <w:szCs w:val="20"/>
                <w:color w:val="auto"/>
              </w:rPr>
            </w:pPr>
            <w:r>
              <w:rPr>
                <w:rFonts w:ascii="Arial" w:cs="Arial" w:eastAsia="Arial" w:hAnsi="Arial"/>
                <w:sz w:val="16"/>
                <w:szCs w:val="16"/>
                <w:color w:val="auto"/>
              </w:rPr>
              <w:t>Hull No. 2533</w:t>
            </w: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1"/>
              </w:rPr>
              <w:t>Q3 2024</w:t>
            </w:r>
          </w:p>
        </w:tc>
        <w:tc>
          <w:tcPr>
            <w:tcW w:w="112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174,000</w:t>
            </w:r>
          </w:p>
        </w:tc>
        <w:tc>
          <w:tcPr>
            <w:tcW w:w="1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6"/>
                <w:szCs w:val="16"/>
                <w:color w:val="auto"/>
              </w:rPr>
              <w:t>Mitsui</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97"/>
              </w:rPr>
              <w:t>MEGI</w:t>
            </w:r>
          </w:p>
        </w:tc>
        <w:tc>
          <w:tcPr>
            <w:tcW w:w="1920" w:type="dxa"/>
            <w:vAlign w:val="bottom"/>
            <w:gridSpan w:val="2"/>
          </w:tcPr>
          <w:p>
            <w:pPr>
              <w:jc w:val="center"/>
              <w:ind w:left="19"/>
              <w:spacing w:after="0"/>
              <w:rPr>
                <w:sz w:val="20"/>
                <w:szCs w:val="20"/>
                <w:color w:val="auto"/>
              </w:rPr>
            </w:pPr>
            <w:r>
              <w:rPr>
                <w:rFonts w:ascii="Arial" w:cs="Arial" w:eastAsia="Arial" w:hAnsi="Arial"/>
                <w:sz w:val="16"/>
                <w:szCs w:val="16"/>
                <w:color w:val="auto"/>
                <w:w w:val="95"/>
              </w:rPr>
              <w:t>2033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40" w:type="dxa"/>
            <w:vAlign w:val="bottom"/>
            <w:shd w:val="clear" w:color="auto" w:fill="CCEEFF"/>
          </w:tcPr>
          <w:p>
            <w:pPr>
              <w:spacing w:after="0"/>
              <w:rPr>
                <w:sz w:val="20"/>
                <w:szCs w:val="20"/>
                <w:color w:val="auto"/>
              </w:rPr>
            </w:pPr>
            <w:r>
              <w:rPr>
                <w:rFonts w:ascii="Arial" w:cs="Arial" w:eastAsia="Arial" w:hAnsi="Arial"/>
                <w:sz w:val="16"/>
                <w:szCs w:val="16"/>
                <w:color w:val="auto"/>
              </w:rPr>
              <w:t>Hull No. 2534</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Q3 2025</w:t>
            </w:r>
          </w:p>
        </w:tc>
        <w:tc>
          <w:tcPr>
            <w:tcW w:w="11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174,000</w:t>
            </w:r>
          </w:p>
        </w:tc>
        <w:tc>
          <w:tcPr>
            <w:tcW w:w="120" w:type="dxa"/>
            <w:vAlign w:val="bottom"/>
            <w:shd w:val="clear" w:color="auto" w:fill="CCEEFF"/>
          </w:tcPr>
          <w:p>
            <w:pPr>
              <w:spacing w:after="0"/>
              <w:rPr>
                <w:sz w:val="19"/>
                <w:szCs w:val="19"/>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Woodside</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MEGI</w:t>
            </w:r>
          </w:p>
        </w:tc>
        <w:tc>
          <w:tcPr>
            <w:tcW w:w="19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5"/>
              </w:rPr>
              <w:t>2035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40" w:type="dxa"/>
            <w:vAlign w:val="bottom"/>
          </w:tcPr>
          <w:p>
            <w:pPr>
              <w:spacing w:after="0"/>
              <w:rPr>
                <w:sz w:val="20"/>
                <w:szCs w:val="20"/>
                <w:color w:val="auto"/>
              </w:rPr>
            </w:pPr>
            <w:r>
              <w:rPr>
                <w:rFonts w:ascii="Arial" w:cs="Arial" w:eastAsia="Arial" w:hAnsi="Arial"/>
                <w:sz w:val="16"/>
                <w:szCs w:val="16"/>
                <w:color w:val="auto"/>
              </w:rPr>
              <w:t>Hull No. 2535</w:t>
            </w: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1"/>
              </w:rPr>
              <w:t>Q4 2025</w:t>
            </w:r>
          </w:p>
        </w:tc>
        <w:tc>
          <w:tcPr>
            <w:tcW w:w="112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174,000</w:t>
            </w:r>
          </w:p>
        </w:tc>
        <w:tc>
          <w:tcPr>
            <w:tcW w:w="1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6"/>
                <w:szCs w:val="16"/>
                <w:color w:val="auto"/>
                <w:w w:val="89"/>
              </w:rPr>
              <w:t>Woodside</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97"/>
              </w:rPr>
              <w:t>MEGI</w:t>
            </w:r>
          </w:p>
        </w:tc>
        <w:tc>
          <w:tcPr>
            <w:tcW w:w="1920" w:type="dxa"/>
            <w:vAlign w:val="bottom"/>
            <w:gridSpan w:val="2"/>
          </w:tcPr>
          <w:p>
            <w:pPr>
              <w:jc w:val="center"/>
              <w:ind w:left="19"/>
              <w:spacing w:after="0"/>
              <w:rPr>
                <w:sz w:val="20"/>
                <w:szCs w:val="20"/>
                <w:color w:val="auto"/>
              </w:rPr>
            </w:pPr>
            <w:r>
              <w:rPr>
                <w:rFonts w:ascii="Arial" w:cs="Arial" w:eastAsia="Arial" w:hAnsi="Arial"/>
                <w:sz w:val="16"/>
                <w:szCs w:val="16"/>
                <w:color w:val="auto"/>
                <w:w w:val="95"/>
              </w:rPr>
              <w:t>2035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12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96"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2"/>
          <w:szCs w:val="12"/>
          <w:color w:val="auto"/>
        </w:rPr>
      </w:pPr>
      <w:r>
        <w:rPr>
          <w:rFonts w:ascii="Arial" w:cs="Arial" w:eastAsia="Arial" w:hAnsi="Arial"/>
          <w:sz w:val="14"/>
          <w:szCs w:val="14"/>
          <w:color w:val="auto"/>
        </w:rPr>
        <w:t>M-type, Electronically controlled Gas Injection (“MEGI”) engine.</w:t>
      </w:r>
    </w:p>
    <w:p>
      <w:pPr>
        <w:ind w:left="260" w:hanging="252"/>
        <w:spacing w:after="0"/>
        <w:tabs>
          <w:tab w:leader="none" w:pos="260" w:val="left"/>
        </w:tabs>
        <w:numPr>
          <w:ilvl w:val="0"/>
          <w:numId w:val="3"/>
        </w:numPr>
        <w:rPr>
          <w:rFonts w:ascii="Arial" w:cs="Arial" w:eastAsia="Arial" w:hAnsi="Arial"/>
          <w:sz w:val="12"/>
          <w:szCs w:val="12"/>
          <w:color w:val="auto"/>
        </w:rPr>
      </w:pPr>
      <w:r>
        <w:rPr>
          <w:rFonts w:ascii="Arial" w:cs="Arial" w:eastAsia="Arial" w:hAnsi="Arial"/>
          <w:sz w:val="14"/>
          <w:szCs w:val="14"/>
          <w:color w:val="auto"/>
        </w:rPr>
        <w:t>Charter expiration to be determined based upon actual date of delivery.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0"/>
        </w:trPr>
        <w:tc>
          <w:tcPr>
            <w:tcW w:w="7520" w:type="dxa"/>
            <w:vAlign w:val="bottom"/>
          </w:tcPr>
          <w:p>
            <w:pPr>
              <w:spacing w:after="0"/>
              <w:rPr>
                <w:sz w:val="20"/>
                <w:szCs w:val="20"/>
                <w:color w:val="auto"/>
              </w:rPr>
            </w:pPr>
            <w:r>
              <w:rPr>
                <w:rFonts w:ascii="Arial" w:cs="Arial" w:eastAsia="Arial" w:hAnsi="Arial"/>
                <w:sz w:val="16"/>
                <w:szCs w:val="16"/>
                <w:b w:val="1"/>
                <w:bCs w:val="1"/>
                <w:color w:val="auto"/>
              </w:rPr>
              <w:t>EXHIBIT I - Unaudited Interim Financial Information</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397"/>
        </w:trPr>
        <w:tc>
          <w:tcPr>
            <w:tcW w:w="752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statements of financial position</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03"/>
        </w:trPr>
        <w:tc>
          <w:tcPr>
            <w:tcW w:w="7520" w:type="dxa"/>
            <w:vAlign w:val="bottom"/>
          </w:tcPr>
          <w:p>
            <w:pPr>
              <w:spacing w:after="0"/>
              <w:rPr>
                <w:sz w:val="20"/>
                <w:szCs w:val="20"/>
                <w:color w:val="auto"/>
              </w:rPr>
            </w:pPr>
            <w:r>
              <w:rPr>
                <w:rFonts w:ascii="Arial" w:cs="Arial" w:eastAsia="Arial" w:hAnsi="Arial"/>
                <w:sz w:val="16"/>
                <w:szCs w:val="16"/>
                <w:b w:val="1"/>
                <w:bCs w:val="1"/>
                <w:color w:val="auto"/>
              </w:rPr>
              <w:t>As of December 31, 2022 and March 31, 2023</w:t>
            </w: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10"/>
        </w:trPr>
        <w:tc>
          <w:tcPr>
            <w:tcW w:w="7520" w:type="dxa"/>
            <w:vAlign w:val="bottom"/>
          </w:tcPr>
          <w:p>
            <w:pPr>
              <w:spacing w:after="0"/>
              <w:rPr>
                <w:sz w:val="20"/>
                <w:szCs w:val="20"/>
                <w:color w:val="auto"/>
              </w:rPr>
            </w:pPr>
            <w:r>
              <w:rPr>
                <w:rFonts w:ascii="Arial" w:cs="Arial" w:eastAsia="Arial" w:hAnsi="Arial"/>
                <w:sz w:val="16"/>
                <w:szCs w:val="16"/>
                <w:b w:val="1"/>
                <w:bCs w:val="1"/>
                <w:color w:val="auto"/>
              </w:rPr>
              <w:t>(Amounts expressed in thousands of U.S. Dollars)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421"/>
        </w:trPr>
        <w:tc>
          <w:tcPr>
            <w:tcW w:w="7520" w:type="dxa"/>
            <w:vAlign w:val="bottom"/>
            <w:tcBorders>
              <w:bottom w:val="single" w:sz="8" w:color="CCEEFF"/>
            </w:tcBorders>
          </w:tcPr>
          <w:p>
            <w:pPr>
              <w:spacing w:after="0"/>
              <w:rPr>
                <w:sz w:val="24"/>
                <w:szCs w:val="24"/>
                <w:color w:val="auto"/>
              </w:rPr>
            </w:pPr>
          </w:p>
        </w:tc>
        <w:tc>
          <w:tcPr>
            <w:tcW w:w="18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December 31, 2022</w:t>
            </w:r>
          </w:p>
        </w:tc>
        <w:tc>
          <w:tcPr>
            <w:tcW w:w="100" w:type="dxa"/>
            <w:vAlign w:val="bottom"/>
            <w:tcBorders>
              <w:bottom w:val="single" w:sz="8" w:color="CCEEFF"/>
            </w:tcBorders>
          </w:tcPr>
          <w:p>
            <w:pPr>
              <w:spacing w:after="0"/>
              <w:rPr>
                <w:sz w:val="24"/>
                <w:szCs w:val="24"/>
                <w:color w:val="auto"/>
              </w:rPr>
            </w:pPr>
          </w:p>
        </w:tc>
        <w:tc>
          <w:tcPr>
            <w:tcW w:w="18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March 31, 2023</w:t>
            </w:r>
          </w:p>
        </w:tc>
      </w:tr>
      <w:tr>
        <w:trPr>
          <w:trHeight w:val="213"/>
        </w:trPr>
        <w:tc>
          <w:tcPr>
            <w:tcW w:w="75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3"/>
        </w:trPr>
        <w:tc>
          <w:tcPr>
            <w:tcW w:w="752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9"/>
        </w:trPr>
        <w:tc>
          <w:tcPr>
            <w:tcW w:w="752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9,511</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9,511</w:t>
            </w:r>
          </w:p>
        </w:tc>
      </w:tr>
      <w:tr>
        <w:trPr>
          <w:trHeight w:val="213"/>
        </w:trPr>
        <w:tc>
          <w:tcPr>
            <w:tcW w:w="7520" w:type="dxa"/>
            <w:vAlign w:val="bottom"/>
          </w:tcPr>
          <w:p>
            <w:pPr>
              <w:spacing w:after="0"/>
              <w:rPr>
                <w:sz w:val="20"/>
                <w:szCs w:val="20"/>
                <w:color w:val="auto"/>
              </w:rPr>
            </w:pPr>
            <w:r>
              <w:rPr>
                <w:rFonts w:ascii="Arial" w:cs="Arial" w:eastAsia="Arial" w:hAnsi="Arial"/>
                <w:sz w:val="16"/>
                <w:szCs w:val="16"/>
                <w:color w:val="auto"/>
              </w:rPr>
              <w:t>Investment in associates</w:t>
            </w:r>
          </w:p>
        </w:tc>
        <w:tc>
          <w:tcPr>
            <w:tcW w:w="1820" w:type="dxa"/>
            <w:vAlign w:val="bottom"/>
          </w:tcPr>
          <w:p>
            <w:pPr>
              <w:jc w:val="right"/>
              <w:spacing w:after="0"/>
              <w:rPr>
                <w:sz w:val="20"/>
                <w:szCs w:val="20"/>
                <w:color w:val="auto"/>
              </w:rPr>
            </w:pPr>
            <w:r>
              <w:rPr>
                <w:rFonts w:ascii="Arial" w:cs="Arial" w:eastAsia="Arial" w:hAnsi="Arial"/>
                <w:sz w:val="16"/>
                <w:szCs w:val="16"/>
                <w:color w:val="auto"/>
              </w:rPr>
              <w:t>28,823</w:t>
            </w: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35,461</w:t>
            </w:r>
          </w:p>
        </w:tc>
      </w:tr>
      <w:tr>
        <w:trPr>
          <w:trHeight w:val="219"/>
        </w:trPr>
        <w:tc>
          <w:tcPr>
            <w:tcW w:w="7520" w:type="dxa"/>
            <w:vAlign w:val="bottom"/>
            <w:shd w:val="clear" w:color="auto" w:fill="CCEEFF"/>
          </w:tcPr>
          <w:p>
            <w:pPr>
              <w:spacing w:after="0"/>
              <w:rPr>
                <w:sz w:val="20"/>
                <w:szCs w:val="20"/>
                <w:color w:val="auto"/>
              </w:rPr>
            </w:pPr>
            <w:r>
              <w:rPr>
                <w:rFonts w:ascii="Arial" w:cs="Arial" w:eastAsia="Arial" w:hAnsi="Arial"/>
                <w:sz w:val="16"/>
                <w:szCs w:val="16"/>
                <w:color w:val="auto"/>
              </w:rPr>
              <w:t>Deferred financing costs</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8,778</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8,292</w:t>
            </w:r>
          </w:p>
        </w:tc>
      </w:tr>
      <w:tr>
        <w:trPr>
          <w:trHeight w:val="213"/>
        </w:trPr>
        <w:tc>
          <w:tcPr>
            <w:tcW w:w="752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1820" w:type="dxa"/>
            <w:vAlign w:val="bottom"/>
          </w:tcPr>
          <w:p>
            <w:pPr>
              <w:jc w:val="right"/>
              <w:spacing w:after="0"/>
              <w:rPr>
                <w:sz w:val="20"/>
                <w:szCs w:val="20"/>
                <w:color w:val="auto"/>
              </w:rPr>
            </w:pPr>
            <w:r>
              <w:rPr>
                <w:rFonts w:ascii="Arial" w:cs="Arial" w:eastAsia="Arial" w:hAnsi="Arial"/>
                <w:sz w:val="16"/>
                <w:szCs w:val="16"/>
                <w:color w:val="auto"/>
              </w:rPr>
              <w:t>2,092</w:t>
            </w: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2,297</w:t>
            </w:r>
          </w:p>
        </w:tc>
      </w:tr>
      <w:tr>
        <w:trPr>
          <w:trHeight w:val="219"/>
        </w:trPr>
        <w:tc>
          <w:tcPr>
            <w:tcW w:w="7520" w:type="dxa"/>
            <w:vAlign w:val="bottom"/>
            <w:shd w:val="clear" w:color="auto" w:fill="CCEEFF"/>
          </w:tcPr>
          <w:p>
            <w:pPr>
              <w:spacing w:after="0"/>
              <w:rPr>
                <w:sz w:val="20"/>
                <w:szCs w:val="20"/>
                <w:color w:val="auto"/>
              </w:rPr>
            </w:pPr>
            <w:r>
              <w:rPr>
                <w:rFonts w:ascii="Arial" w:cs="Arial" w:eastAsia="Arial" w:hAnsi="Arial"/>
                <w:sz w:val="16"/>
                <w:szCs w:val="16"/>
                <w:color w:val="auto"/>
              </w:rPr>
              <w:t>Derivative financial instruments, non-current portion</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13,225</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6,307</w:t>
            </w:r>
          </w:p>
        </w:tc>
      </w:tr>
      <w:tr>
        <w:trPr>
          <w:trHeight w:val="213"/>
        </w:trPr>
        <w:tc>
          <w:tcPr>
            <w:tcW w:w="7520" w:type="dxa"/>
            <w:vAlign w:val="bottom"/>
          </w:tcPr>
          <w:p>
            <w:pPr>
              <w:spacing w:after="0"/>
              <w:rPr>
                <w:sz w:val="20"/>
                <w:szCs w:val="20"/>
                <w:color w:val="auto"/>
              </w:rPr>
            </w:pPr>
            <w:r>
              <w:rPr>
                <w:rFonts w:ascii="Arial" w:cs="Arial" w:eastAsia="Arial" w:hAnsi="Arial"/>
                <w:sz w:val="16"/>
                <w:szCs w:val="16"/>
                <w:color w:val="auto"/>
              </w:rPr>
              <w:t>Tangible fixed assets</w:t>
            </w:r>
          </w:p>
        </w:tc>
        <w:tc>
          <w:tcPr>
            <w:tcW w:w="1820" w:type="dxa"/>
            <w:vAlign w:val="bottom"/>
          </w:tcPr>
          <w:p>
            <w:pPr>
              <w:jc w:val="right"/>
              <w:spacing w:after="0"/>
              <w:rPr>
                <w:sz w:val="20"/>
                <w:szCs w:val="20"/>
                <w:color w:val="auto"/>
              </w:rPr>
            </w:pPr>
            <w:r>
              <w:rPr>
                <w:rFonts w:ascii="Arial" w:cs="Arial" w:eastAsia="Arial" w:hAnsi="Arial"/>
                <w:sz w:val="16"/>
                <w:szCs w:val="16"/>
                <w:color w:val="auto"/>
              </w:rPr>
              <w:t>4,514,663</w:t>
            </w: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3,995,938</w:t>
            </w:r>
          </w:p>
        </w:tc>
      </w:tr>
      <w:tr>
        <w:trPr>
          <w:trHeight w:val="219"/>
        </w:trPr>
        <w:tc>
          <w:tcPr>
            <w:tcW w:w="7520" w:type="dxa"/>
            <w:vAlign w:val="bottom"/>
            <w:shd w:val="clear" w:color="auto" w:fill="CCEEFF"/>
          </w:tcPr>
          <w:p>
            <w:pPr>
              <w:spacing w:after="0"/>
              <w:rPr>
                <w:sz w:val="20"/>
                <w:szCs w:val="20"/>
                <w:color w:val="auto"/>
              </w:rPr>
            </w:pPr>
            <w:r>
              <w:rPr>
                <w:rFonts w:ascii="Arial" w:cs="Arial" w:eastAsia="Arial" w:hAnsi="Arial"/>
                <w:sz w:val="16"/>
                <w:szCs w:val="16"/>
                <w:color w:val="auto"/>
              </w:rPr>
              <w:t>Vessels under construction</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210,099</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398,779</w:t>
            </w:r>
          </w:p>
        </w:tc>
      </w:tr>
      <w:tr>
        <w:trPr>
          <w:trHeight w:val="203"/>
        </w:trPr>
        <w:tc>
          <w:tcPr>
            <w:tcW w:w="7520" w:type="dxa"/>
            <w:vAlign w:val="bottom"/>
          </w:tcPr>
          <w:p>
            <w:pPr>
              <w:spacing w:after="0"/>
              <w:rPr>
                <w:sz w:val="20"/>
                <w:szCs w:val="20"/>
                <w:color w:val="auto"/>
              </w:rPr>
            </w:pPr>
            <w:r>
              <w:rPr>
                <w:rFonts w:ascii="Arial" w:cs="Arial" w:eastAsia="Arial" w:hAnsi="Arial"/>
                <w:sz w:val="16"/>
                <w:szCs w:val="16"/>
                <w:color w:val="auto"/>
              </w:rPr>
              <w:t>Right-of-use assets</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416,485</w:t>
            </w:r>
          </w:p>
        </w:tc>
        <w:tc>
          <w:tcPr>
            <w:tcW w:w="100" w:type="dxa"/>
            <w:vAlign w:val="bottom"/>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533,265</w:t>
            </w:r>
          </w:p>
        </w:tc>
      </w:tr>
      <w:tr>
        <w:trPr>
          <w:trHeight w:val="196"/>
        </w:trPr>
        <w:tc>
          <w:tcPr>
            <w:tcW w:w="75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non-current assets</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5,203,676</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4,989,850</w:t>
            </w:r>
          </w:p>
        </w:tc>
      </w:tr>
      <w:tr>
        <w:trPr>
          <w:trHeight w:val="207"/>
        </w:trPr>
        <w:tc>
          <w:tcPr>
            <w:tcW w:w="752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Current assets</w:t>
            </w:r>
          </w:p>
        </w:tc>
        <w:tc>
          <w:tcPr>
            <w:tcW w:w="18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0" w:type="dxa"/>
            <w:vAlign w:val="bottom"/>
            <w:tcBorders>
              <w:top w:val="single" w:sz="8" w:color="auto"/>
            </w:tcBorders>
          </w:tcPr>
          <w:p>
            <w:pPr>
              <w:spacing w:after="0"/>
              <w:rPr>
                <w:sz w:val="17"/>
                <w:szCs w:val="17"/>
                <w:color w:val="auto"/>
              </w:rPr>
            </w:pPr>
          </w:p>
        </w:tc>
      </w:tr>
      <w:tr>
        <w:trPr>
          <w:trHeight w:val="219"/>
        </w:trPr>
        <w:tc>
          <w:tcPr>
            <w:tcW w:w="7520" w:type="dxa"/>
            <w:vAlign w:val="bottom"/>
            <w:shd w:val="clear" w:color="auto" w:fill="CCEEFF"/>
          </w:tcPr>
          <w:p>
            <w:pPr>
              <w:spacing w:after="0"/>
              <w:rPr>
                <w:sz w:val="20"/>
                <w:szCs w:val="20"/>
                <w:color w:val="auto"/>
              </w:rPr>
            </w:pPr>
            <w:r>
              <w:rPr>
                <w:rFonts w:ascii="Arial" w:cs="Arial" w:eastAsia="Arial" w:hAnsi="Arial"/>
                <w:sz w:val="16"/>
                <w:szCs w:val="16"/>
                <w:color w:val="auto"/>
              </w:rPr>
              <w:t>Vessel held for sale</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54,450</w:t>
            </w:r>
          </w:p>
        </w:tc>
      </w:tr>
      <w:tr>
        <w:trPr>
          <w:trHeight w:val="213"/>
        </w:trPr>
        <w:tc>
          <w:tcPr>
            <w:tcW w:w="7520" w:type="dxa"/>
            <w:vAlign w:val="bottom"/>
          </w:tcPr>
          <w:p>
            <w:pPr>
              <w:spacing w:after="0"/>
              <w:rPr>
                <w:sz w:val="20"/>
                <w:szCs w:val="20"/>
                <w:color w:val="auto"/>
              </w:rPr>
            </w:pPr>
            <w:r>
              <w:rPr>
                <w:rFonts w:ascii="Arial" w:cs="Arial" w:eastAsia="Arial" w:hAnsi="Arial"/>
                <w:sz w:val="16"/>
                <w:szCs w:val="16"/>
                <w:color w:val="auto"/>
              </w:rPr>
              <w:t>Trade and other receivables</w:t>
            </w:r>
          </w:p>
        </w:tc>
        <w:tc>
          <w:tcPr>
            <w:tcW w:w="1820" w:type="dxa"/>
            <w:vAlign w:val="bottom"/>
          </w:tcPr>
          <w:p>
            <w:pPr>
              <w:jc w:val="right"/>
              <w:spacing w:after="0"/>
              <w:rPr>
                <w:sz w:val="20"/>
                <w:szCs w:val="20"/>
                <w:color w:val="auto"/>
              </w:rPr>
            </w:pPr>
            <w:r>
              <w:rPr>
                <w:rFonts w:ascii="Arial" w:cs="Arial" w:eastAsia="Arial" w:hAnsi="Arial"/>
                <w:sz w:val="16"/>
                <w:szCs w:val="16"/>
                <w:color w:val="auto"/>
              </w:rPr>
              <w:t>22,897</w:t>
            </w: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28,235</w:t>
            </w:r>
          </w:p>
        </w:tc>
      </w:tr>
      <w:tr>
        <w:trPr>
          <w:trHeight w:val="219"/>
        </w:trPr>
        <w:tc>
          <w:tcPr>
            <w:tcW w:w="7520" w:type="dxa"/>
            <w:vAlign w:val="bottom"/>
            <w:shd w:val="clear" w:color="auto" w:fill="CCEEFF"/>
          </w:tcPr>
          <w:p>
            <w:pPr>
              <w:spacing w:after="0"/>
              <w:rPr>
                <w:sz w:val="20"/>
                <w:szCs w:val="20"/>
                <w:color w:val="auto"/>
              </w:rPr>
            </w:pPr>
            <w:r>
              <w:rPr>
                <w:rFonts w:ascii="Arial" w:cs="Arial" w:eastAsia="Arial" w:hAnsi="Arial"/>
                <w:sz w:val="16"/>
                <w:szCs w:val="16"/>
                <w:color w:val="auto"/>
              </w:rPr>
              <w:t>Dividends receivable and other amounts due from related parties</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607</w:t>
            </w:r>
          </w:p>
        </w:tc>
      </w:tr>
      <w:tr>
        <w:trPr>
          <w:trHeight w:val="213"/>
        </w:trPr>
        <w:tc>
          <w:tcPr>
            <w:tcW w:w="7520" w:type="dxa"/>
            <w:vAlign w:val="bottom"/>
          </w:tcPr>
          <w:p>
            <w:pPr>
              <w:spacing w:after="0"/>
              <w:rPr>
                <w:sz w:val="20"/>
                <w:szCs w:val="20"/>
                <w:color w:val="auto"/>
              </w:rPr>
            </w:pPr>
            <w:r>
              <w:rPr>
                <w:rFonts w:ascii="Arial" w:cs="Arial" w:eastAsia="Arial" w:hAnsi="Arial"/>
                <w:sz w:val="16"/>
                <w:szCs w:val="16"/>
                <w:color w:val="auto"/>
              </w:rPr>
              <w:t>Derivative financial instruments, current portion</w:t>
            </w:r>
          </w:p>
        </w:tc>
        <w:tc>
          <w:tcPr>
            <w:tcW w:w="1820" w:type="dxa"/>
            <w:vAlign w:val="bottom"/>
          </w:tcPr>
          <w:p>
            <w:pPr>
              <w:jc w:val="right"/>
              <w:spacing w:after="0"/>
              <w:rPr>
                <w:sz w:val="20"/>
                <w:szCs w:val="20"/>
                <w:color w:val="auto"/>
              </w:rPr>
            </w:pPr>
            <w:r>
              <w:rPr>
                <w:rFonts w:ascii="Arial" w:cs="Arial" w:eastAsia="Arial" w:hAnsi="Arial"/>
                <w:sz w:val="16"/>
                <w:szCs w:val="16"/>
                <w:color w:val="auto"/>
              </w:rPr>
              <w:t>25,383</w:t>
            </w: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19,200</w:t>
            </w:r>
          </w:p>
        </w:tc>
      </w:tr>
      <w:tr>
        <w:trPr>
          <w:trHeight w:val="219"/>
        </w:trPr>
        <w:tc>
          <w:tcPr>
            <w:tcW w:w="7520" w:type="dxa"/>
            <w:vAlign w:val="bottom"/>
            <w:shd w:val="clear" w:color="auto" w:fill="CCEEFF"/>
          </w:tcPr>
          <w:p>
            <w:pPr>
              <w:spacing w:after="0"/>
              <w:rPr>
                <w:sz w:val="20"/>
                <w:szCs w:val="20"/>
                <w:color w:val="auto"/>
              </w:rPr>
            </w:pPr>
            <w:r>
              <w:rPr>
                <w:rFonts w:ascii="Arial" w:cs="Arial" w:eastAsia="Arial" w:hAnsi="Arial"/>
                <w:sz w:val="16"/>
                <w:szCs w:val="16"/>
                <w:color w:val="auto"/>
              </w:rPr>
              <w:t>Inventories</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8,483</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9,156</w:t>
            </w:r>
          </w:p>
        </w:tc>
      </w:tr>
      <w:tr>
        <w:trPr>
          <w:trHeight w:val="213"/>
        </w:trPr>
        <w:tc>
          <w:tcPr>
            <w:tcW w:w="7520" w:type="dxa"/>
            <w:vAlign w:val="bottom"/>
          </w:tcPr>
          <w:p>
            <w:pPr>
              <w:spacing w:after="0"/>
              <w:rPr>
                <w:sz w:val="20"/>
                <w:szCs w:val="20"/>
                <w:color w:val="auto"/>
              </w:rPr>
            </w:pPr>
            <w:r>
              <w:rPr>
                <w:rFonts w:ascii="Arial" w:cs="Arial" w:eastAsia="Arial" w:hAnsi="Arial"/>
                <w:sz w:val="16"/>
                <w:szCs w:val="16"/>
                <w:color w:val="auto"/>
              </w:rPr>
              <w:t>Prepayments and other current assets</w:t>
            </w:r>
          </w:p>
        </w:tc>
        <w:tc>
          <w:tcPr>
            <w:tcW w:w="1820" w:type="dxa"/>
            <w:vAlign w:val="bottom"/>
          </w:tcPr>
          <w:p>
            <w:pPr>
              <w:jc w:val="right"/>
              <w:spacing w:after="0"/>
              <w:rPr>
                <w:sz w:val="20"/>
                <w:szCs w:val="20"/>
                <w:color w:val="auto"/>
              </w:rPr>
            </w:pPr>
            <w:r>
              <w:rPr>
                <w:rFonts w:ascii="Arial" w:cs="Arial" w:eastAsia="Arial" w:hAnsi="Arial"/>
                <w:sz w:val="16"/>
                <w:szCs w:val="16"/>
                <w:color w:val="auto"/>
              </w:rPr>
              <w:t>7,262</w:t>
            </w: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8,876</w:t>
            </w:r>
          </w:p>
        </w:tc>
      </w:tr>
      <w:tr>
        <w:trPr>
          <w:trHeight w:val="219"/>
        </w:trPr>
        <w:tc>
          <w:tcPr>
            <w:tcW w:w="7520" w:type="dxa"/>
            <w:vAlign w:val="bottom"/>
            <w:shd w:val="clear" w:color="auto" w:fill="CCEEFF"/>
          </w:tcPr>
          <w:p>
            <w:pPr>
              <w:spacing w:after="0"/>
              <w:rPr>
                <w:sz w:val="20"/>
                <w:szCs w:val="20"/>
                <w:color w:val="auto"/>
              </w:rPr>
            </w:pPr>
            <w:r>
              <w:rPr>
                <w:rFonts w:ascii="Arial" w:cs="Arial" w:eastAsia="Arial" w:hAnsi="Arial"/>
                <w:sz w:val="16"/>
                <w:szCs w:val="16"/>
                <w:color w:val="auto"/>
              </w:rPr>
              <w:t>Short-term cash deposits</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36,000</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91,500</w:t>
            </w:r>
          </w:p>
        </w:tc>
      </w:tr>
      <w:tr>
        <w:trPr>
          <w:trHeight w:val="213"/>
        </w:trPr>
        <w:tc>
          <w:tcPr>
            <w:tcW w:w="752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1820" w:type="dxa"/>
            <w:vAlign w:val="bottom"/>
          </w:tcPr>
          <w:p>
            <w:pPr>
              <w:jc w:val="right"/>
              <w:spacing w:after="0"/>
              <w:rPr>
                <w:sz w:val="20"/>
                <w:szCs w:val="20"/>
                <w:color w:val="auto"/>
              </w:rPr>
            </w:pPr>
            <w:r>
              <w:rPr>
                <w:rFonts w:ascii="Arial" w:cs="Arial" w:eastAsia="Arial" w:hAnsi="Arial"/>
                <w:sz w:val="16"/>
                <w:szCs w:val="16"/>
                <w:color w:val="auto"/>
              </w:rPr>
              <w:t>368,286</w:t>
            </w: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413,126</w:t>
            </w:r>
          </w:p>
        </w:tc>
      </w:tr>
      <w:tr>
        <w:trPr>
          <w:trHeight w:val="199"/>
        </w:trPr>
        <w:tc>
          <w:tcPr>
            <w:tcW w:w="7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current assets</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468,372</w:t>
            </w:r>
          </w:p>
        </w:tc>
        <w:tc>
          <w:tcPr>
            <w:tcW w:w="10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625,150</w:t>
            </w:r>
          </w:p>
        </w:tc>
      </w:tr>
      <w:tr>
        <w:trPr>
          <w:trHeight w:val="207"/>
        </w:trPr>
        <w:tc>
          <w:tcPr>
            <w:tcW w:w="752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Total assets</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5,672,048</w:t>
            </w:r>
          </w:p>
        </w:tc>
        <w:tc>
          <w:tcPr>
            <w:tcW w:w="100" w:type="dxa"/>
            <w:vAlign w:val="bottom"/>
            <w:tcBorders>
              <w:bottom w:val="single" w:sz="8" w:color="CCEEFF"/>
            </w:tcBorders>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5,615,000</w:t>
            </w:r>
          </w:p>
        </w:tc>
      </w:tr>
      <w:tr>
        <w:trPr>
          <w:trHeight w:val="212"/>
        </w:trPr>
        <w:tc>
          <w:tcPr>
            <w:tcW w:w="75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Equity and liabilities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3"/>
        </w:trPr>
        <w:tc>
          <w:tcPr>
            <w:tcW w:w="7520" w:type="dxa"/>
            <w:vAlign w:val="bottom"/>
          </w:tcPr>
          <w:p>
            <w:pPr>
              <w:spacing w:after="0"/>
              <w:rPr>
                <w:sz w:val="20"/>
                <w:szCs w:val="20"/>
                <w:color w:val="auto"/>
              </w:rPr>
            </w:pPr>
            <w:r>
              <w:rPr>
                <w:rFonts w:ascii="Arial" w:cs="Arial" w:eastAsia="Arial" w:hAnsi="Arial"/>
                <w:sz w:val="16"/>
                <w:szCs w:val="16"/>
                <w:b w:val="1"/>
                <w:bCs w:val="1"/>
                <w:color w:val="auto"/>
              </w:rPr>
              <w:t>Equity</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9"/>
        </w:trPr>
        <w:tc>
          <w:tcPr>
            <w:tcW w:w="7520" w:type="dxa"/>
            <w:vAlign w:val="bottom"/>
            <w:shd w:val="clear" w:color="auto" w:fill="CCEEFF"/>
          </w:tcPr>
          <w:p>
            <w:pPr>
              <w:spacing w:after="0"/>
              <w:rPr>
                <w:sz w:val="20"/>
                <w:szCs w:val="20"/>
                <w:color w:val="auto"/>
              </w:rPr>
            </w:pPr>
            <w:r>
              <w:rPr>
                <w:rFonts w:ascii="Arial" w:cs="Arial" w:eastAsia="Arial" w:hAnsi="Arial"/>
                <w:sz w:val="16"/>
                <w:szCs w:val="16"/>
                <w:color w:val="auto"/>
              </w:rPr>
              <w:t>Preference shares</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13"/>
        </w:trPr>
        <w:tc>
          <w:tcPr>
            <w:tcW w:w="7520" w:type="dxa"/>
            <w:vAlign w:val="bottom"/>
          </w:tcPr>
          <w:p>
            <w:pPr>
              <w:spacing w:after="0"/>
              <w:rPr>
                <w:sz w:val="20"/>
                <w:szCs w:val="20"/>
                <w:color w:val="auto"/>
              </w:rPr>
            </w:pPr>
            <w:r>
              <w:rPr>
                <w:rFonts w:ascii="Arial" w:cs="Arial" w:eastAsia="Arial" w:hAnsi="Arial"/>
                <w:sz w:val="16"/>
                <w:szCs w:val="16"/>
                <w:color w:val="auto"/>
              </w:rPr>
              <w:t>Share capital</w:t>
            </w:r>
          </w:p>
        </w:tc>
        <w:tc>
          <w:tcPr>
            <w:tcW w:w="1820" w:type="dxa"/>
            <w:vAlign w:val="bottom"/>
          </w:tcPr>
          <w:p>
            <w:pPr>
              <w:jc w:val="right"/>
              <w:spacing w:after="0"/>
              <w:rPr>
                <w:sz w:val="20"/>
                <w:szCs w:val="20"/>
                <w:color w:val="auto"/>
              </w:rPr>
            </w:pPr>
            <w:r>
              <w:rPr>
                <w:rFonts w:ascii="Arial" w:cs="Arial" w:eastAsia="Arial" w:hAnsi="Arial"/>
                <w:sz w:val="16"/>
                <w:szCs w:val="16"/>
                <w:color w:val="auto"/>
              </w:rPr>
              <w:t>954</w:t>
            </w: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954</w:t>
            </w:r>
          </w:p>
        </w:tc>
      </w:tr>
      <w:tr>
        <w:trPr>
          <w:trHeight w:val="219"/>
        </w:trPr>
        <w:tc>
          <w:tcPr>
            <w:tcW w:w="7520" w:type="dxa"/>
            <w:vAlign w:val="bottom"/>
            <w:shd w:val="clear" w:color="auto" w:fill="CCEEFF"/>
          </w:tcPr>
          <w:p>
            <w:pPr>
              <w:spacing w:after="0"/>
              <w:rPr>
                <w:sz w:val="20"/>
                <w:szCs w:val="20"/>
                <w:color w:val="auto"/>
              </w:rPr>
            </w:pPr>
            <w:r>
              <w:rPr>
                <w:rFonts w:ascii="Arial" w:cs="Arial" w:eastAsia="Arial" w:hAnsi="Arial"/>
                <w:sz w:val="16"/>
                <w:szCs w:val="16"/>
                <w:color w:val="auto"/>
              </w:rPr>
              <w:t>Contributed surplus</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658,888</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658,888</w:t>
            </w:r>
          </w:p>
        </w:tc>
      </w:tr>
      <w:tr>
        <w:trPr>
          <w:trHeight w:val="213"/>
        </w:trPr>
        <w:tc>
          <w:tcPr>
            <w:tcW w:w="7520" w:type="dxa"/>
            <w:vAlign w:val="bottom"/>
          </w:tcPr>
          <w:p>
            <w:pPr>
              <w:spacing w:after="0"/>
              <w:rPr>
                <w:sz w:val="20"/>
                <w:szCs w:val="20"/>
                <w:color w:val="auto"/>
              </w:rPr>
            </w:pPr>
            <w:r>
              <w:rPr>
                <w:rFonts w:ascii="Arial" w:cs="Arial" w:eastAsia="Arial" w:hAnsi="Arial"/>
                <w:sz w:val="16"/>
                <w:szCs w:val="16"/>
                <w:color w:val="auto"/>
              </w:rPr>
              <w:t>Reserves</w:t>
            </w:r>
          </w:p>
        </w:tc>
        <w:tc>
          <w:tcPr>
            <w:tcW w:w="1820" w:type="dxa"/>
            <w:vAlign w:val="bottom"/>
          </w:tcPr>
          <w:p>
            <w:pPr>
              <w:jc w:val="right"/>
              <w:spacing w:after="0"/>
              <w:rPr>
                <w:sz w:val="20"/>
                <w:szCs w:val="20"/>
                <w:color w:val="auto"/>
              </w:rPr>
            </w:pPr>
            <w:r>
              <w:rPr>
                <w:rFonts w:ascii="Arial" w:cs="Arial" w:eastAsia="Arial" w:hAnsi="Arial"/>
                <w:sz w:val="16"/>
                <w:szCs w:val="16"/>
                <w:color w:val="auto"/>
              </w:rPr>
              <w:t>16,464</w:t>
            </w: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14,567</w:t>
            </w:r>
          </w:p>
        </w:tc>
      </w:tr>
      <w:tr>
        <w:trPr>
          <w:trHeight w:val="206"/>
        </w:trPr>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Retained earnings</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108,685</w:t>
            </w:r>
          </w:p>
        </w:tc>
        <w:tc>
          <w:tcPr>
            <w:tcW w:w="10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109,896</w:t>
            </w:r>
          </w:p>
        </w:tc>
      </w:tr>
      <w:tr>
        <w:trPr>
          <w:trHeight w:val="207"/>
        </w:trPr>
        <w:tc>
          <w:tcPr>
            <w:tcW w:w="7520" w:type="dxa"/>
            <w:vAlign w:val="bottom"/>
          </w:tcPr>
          <w:p>
            <w:pPr>
              <w:spacing w:after="0"/>
              <w:rPr>
                <w:sz w:val="20"/>
                <w:szCs w:val="20"/>
                <w:color w:val="auto"/>
              </w:rPr>
            </w:pPr>
            <w:r>
              <w:rPr>
                <w:rFonts w:ascii="Arial" w:cs="Arial" w:eastAsia="Arial" w:hAnsi="Arial"/>
                <w:sz w:val="16"/>
                <w:szCs w:val="16"/>
                <w:b w:val="1"/>
                <w:bCs w:val="1"/>
                <w:color w:val="auto"/>
              </w:rPr>
              <w:t>Equity attributable to owners of the Group</w:t>
            </w:r>
          </w:p>
        </w:tc>
        <w:tc>
          <w:tcPr>
            <w:tcW w:w="1820" w:type="dxa"/>
            <w:vAlign w:val="bottom"/>
          </w:tcPr>
          <w:p>
            <w:pPr>
              <w:jc w:val="right"/>
              <w:spacing w:after="0"/>
              <w:rPr>
                <w:sz w:val="20"/>
                <w:szCs w:val="20"/>
                <w:color w:val="auto"/>
              </w:rPr>
            </w:pPr>
            <w:r>
              <w:rPr>
                <w:rFonts w:ascii="Arial" w:cs="Arial" w:eastAsia="Arial" w:hAnsi="Arial"/>
                <w:sz w:val="16"/>
                <w:szCs w:val="16"/>
                <w:b w:val="1"/>
                <w:bCs w:val="1"/>
                <w:color w:val="auto"/>
              </w:rPr>
              <w:t>785,037</w:t>
            </w:r>
          </w:p>
        </w:tc>
        <w:tc>
          <w:tcPr>
            <w:tcW w:w="1900" w:type="dxa"/>
            <w:vAlign w:val="bottom"/>
            <w:gridSpan w:val="2"/>
          </w:tcPr>
          <w:p>
            <w:pPr>
              <w:jc w:val="right"/>
              <w:spacing w:after="0"/>
              <w:rPr>
                <w:sz w:val="20"/>
                <w:szCs w:val="20"/>
                <w:color w:val="auto"/>
              </w:rPr>
            </w:pPr>
            <w:r>
              <w:rPr>
                <w:rFonts w:ascii="Arial" w:cs="Arial" w:eastAsia="Arial" w:hAnsi="Arial"/>
                <w:sz w:val="16"/>
                <w:szCs w:val="16"/>
                <w:b w:val="1"/>
                <w:bCs w:val="1"/>
                <w:color w:val="auto"/>
              </w:rPr>
              <w:t>784,351</w:t>
            </w:r>
          </w:p>
        </w:tc>
      </w:tr>
      <w:tr>
        <w:trPr>
          <w:trHeight w:val="205"/>
        </w:trPr>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Non-controlling interests</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936,741</w:t>
            </w:r>
          </w:p>
        </w:tc>
        <w:tc>
          <w:tcPr>
            <w:tcW w:w="10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957,210</w:t>
            </w:r>
          </w:p>
        </w:tc>
      </w:tr>
      <w:tr>
        <w:trPr>
          <w:trHeight w:val="196"/>
        </w:trPr>
        <w:tc>
          <w:tcPr>
            <w:tcW w:w="7520" w:type="dxa"/>
            <w:vAlign w:val="bottom"/>
          </w:tcPr>
          <w:p>
            <w:pPr>
              <w:spacing w:after="0"/>
              <w:rPr>
                <w:sz w:val="20"/>
                <w:szCs w:val="20"/>
                <w:color w:val="auto"/>
              </w:rPr>
            </w:pPr>
            <w:r>
              <w:rPr>
                <w:rFonts w:ascii="Arial" w:cs="Arial" w:eastAsia="Arial" w:hAnsi="Arial"/>
                <w:sz w:val="16"/>
                <w:szCs w:val="16"/>
                <w:b w:val="1"/>
                <w:bCs w:val="1"/>
                <w:color w:val="auto"/>
              </w:rPr>
              <w:t>Total equity</w:t>
            </w:r>
          </w:p>
        </w:tc>
        <w:tc>
          <w:tcPr>
            <w:tcW w:w="1820" w:type="dxa"/>
            <w:vAlign w:val="bottom"/>
          </w:tcPr>
          <w:p>
            <w:pPr>
              <w:jc w:val="right"/>
              <w:spacing w:after="0"/>
              <w:rPr>
                <w:sz w:val="20"/>
                <w:szCs w:val="20"/>
                <w:color w:val="auto"/>
              </w:rPr>
            </w:pPr>
            <w:r>
              <w:rPr>
                <w:rFonts w:ascii="Arial" w:cs="Arial" w:eastAsia="Arial" w:hAnsi="Arial"/>
                <w:sz w:val="16"/>
                <w:szCs w:val="16"/>
                <w:b w:val="1"/>
                <w:bCs w:val="1"/>
                <w:color w:val="auto"/>
              </w:rPr>
              <w:t>1,721,778</w:t>
            </w:r>
          </w:p>
        </w:tc>
        <w:tc>
          <w:tcPr>
            <w:tcW w:w="1900" w:type="dxa"/>
            <w:vAlign w:val="bottom"/>
            <w:gridSpan w:val="2"/>
          </w:tcPr>
          <w:p>
            <w:pPr>
              <w:jc w:val="right"/>
              <w:spacing w:after="0"/>
              <w:rPr>
                <w:sz w:val="20"/>
                <w:szCs w:val="20"/>
                <w:color w:val="auto"/>
              </w:rPr>
            </w:pPr>
            <w:r>
              <w:rPr>
                <w:rFonts w:ascii="Arial" w:cs="Arial" w:eastAsia="Arial" w:hAnsi="Arial"/>
                <w:sz w:val="16"/>
                <w:szCs w:val="16"/>
                <w:b w:val="1"/>
                <w:bCs w:val="1"/>
                <w:color w:val="auto"/>
              </w:rPr>
              <w:t>1,741,561</w:t>
            </w:r>
          </w:p>
        </w:tc>
      </w:tr>
      <w:tr>
        <w:trPr>
          <w:trHeight w:val="210"/>
        </w:trPr>
        <w:tc>
          <w:tcPr>
            <w:tcW w:w="75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Current liabilities</w:t>
            </w:r>
          </w:p>
        </w:tc>
        <w:tc>
          <w:tcPr>
            <w:tcW w:w="1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r>
      <w:tr>
        <w:trPr>
          <w:trHeight w:val="213"/>
        </w:trPr>
        <w:tc>
          <w:tcPr>
            <w:tcW w:w="7520" w:type="dxa"/>
            <w:vAlign w:val="bottom"/>
          </w:tcPr>
          <w:p>
            <w:pPr>
              <w:spacing w:after="0"/>
              <w:rPr>
                <w:sz w:val="20"/>
                <w:szCs w:val="20"/>
                <w:color w:val="auto"/>
              </w:rPr>
            </w:pPr>
            <w:r>
              <w:rPr>
                <w:rFonts w:ascii="Arial" w:cs="Arial" w:eastAsia="Arial" w:hAnsi="Arial"/>
                <w:sz w:val="16"/>
                <w:szCs w:val="16"/>
                <w:color w:val="auto"/>
              </w:rPr>
              <w:t>Trade accounts payable</w:t>
            </w:r>
          </w:p>
        </w:tc>
        <w:tc>
          <w:tcPr>
            <w:tcW w:w="1820" w:type="dxa"/>
            <w:vAlign w:val="bottom"/>
          </w:tcPr>
          <w:p>
            <w:pPr>
              <w:jc w:val="right"/>
              <w:spacing w:after="0"/>
              <w:rPr>
                <w:sz w:val="20"/>
                <w:szCs w:val="20"/>
                <w:color w:val="auto"/>
              </w:rPr>
            </w:pPr>
            <w:r>
              <w:rPr>
                <w:rFonts w:ascii="Arial" w:cs="Arial" w:eastAsia="Arial" w:hAnsi="Arial"/>
                <w:sz w:val="16"/>
                <w:szCs w:val="16"/>
                <w:color w:val="auto"/>
              </w:rPr>
              <w:t>19,725</w:t>
            </w: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15,487</w:t>
            </w:r>
          </w:p>
        </w:tc>
      </w:tr>
      <w:tr>
        <w:trPr>
          <w:trHeight w:val="219"/>
        </w:trPr>
        <w:tc>
          <w:tcPr>
            <w:tcW w:w="7520" w:type="dxa"/>
            <w:vAlign w:val="bottom"/>
            <w:shd w:val="clear" w:color="auto" w:fill="CCEEFF"/>
          </w:tcPr>
          <w:p>
            <w:pPr>
              <w:spacing w:after="0"/>
              <w:rPr>
                <w:sz w:val="20"/>
                <w:szCs w:val="20"/>
                <w:color w:val="auto"/>
              </w:rPr>
            </w:pPr>
            <w:r>
              <w:rPr>
                <w:rFonts w:ascii="Arial" w:cs="Arial" w:eastAsia="Arial" w:hAnsi="Arial"/>
                <w:sz w:val="16"/>
                <w:szCs w:val="16"/>
                <w:color w:val="auto"/>
              </w:rPr>
              <w:t>Ship management creditors</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72</w:t>
            </w:r>
          </w:p>
        </w:tc>
      </w:tr>
      <w:tr>
        <w:trPr>
          <w:trHeight w:val="213"/>
        </w:trPr>
        <w:tc>
          <w:tcPr>
            <w:tcW w:w="7520" w:type="dxa"/>
            <w:vAlign w:val="bottom"/>
          </w:tcPr>
          <w:p>
            <w:pPr>
              <w:spacing w:after="0"/>
              <w:rPr>
                <w:sz w:val="20"/>
                <w:szCs w:val="20"/>
                <w:color w:val="auto"/>
              </w:rPr>
            </w:pPr>
            <w:r>
              <w:rPr>
                <w:rFonts w:ascii="Arial" w:cs="Arial" w:eastAsia="Arial" w:hAnsi="Arial"/>
                <w:sz w:val="16"/>
                <w:szCs w:val="16"/>
                <w:color w:val="auto"/>
              </w:rPr>
              <w:t>Amounts due to related parties</w:t>
            </w:r>
          </w:p>
        </w:tc>
        <w:tc>
          <w:tcPr>
            <w:tcW w:w="1820" w:type="dxa"/>
            <w:vAlign w:val="bottom"/>
          </w:tcPr>
          <w:p>
            <w:pPr>
              <w:jc w:val="right"/>
              <w:spacing w:after="0"/>
              <w:rPr>
                <w:sz w:val="20"/>
                <w:szCs w:val="20"/>
                <w:color w:val="auto"/>
              </w:rPr>
            </w:pPr>
            <w:r>
              <w:rPr>
                <w:rFonts w:ascii="Arial" w:cs="Arial" w:eastAsia="Arial" w:hAnsi="Arial"/>
                <w:sz w:val="16"/>
                <w:szCs w:val="16"/>
                <w:color w:val="auto"/>
              </w:rPr>
              <w:t>26</w:t>
            </w: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185</w:t>
            </w:r>
          </w:p>
        </w:tc>
      </w:tr>
      <w:tr>
        <w:trPr>
          <w:trHeight w:val="219"/>
        </w:trPr>
        <w:tc>
          <w:tcPr>
            <w:tcW w:w="7520" w:type="dxa"/>
            <w:vAlign w:val="bottom"/>
            <w:shd w:val="clear" w:color="auto" w:fill="CCEEFF"/>
          </w:tcPr>
          <w:p>
            <w:pPr>
              <w:spacing w:after="0"/>
              <w:rPr>
                <w:sz w:val="20"/>
                <w:szCs w:val="20"/>
                <w:color w:val="auto"/>
              </w:rPr>
            </w:pPr>
            <w:r>
              <w:rPr>
                <w:rFonts w:ascii="Arial" w:cs="Arial" w:eastAsia="Arial" w:hAnsi="Arial"/>
                <w:sz w:val="16"/>
                <w:szCs w:val="16"/>
                <w:color w:val="auto"/>
              </w:rPr>
              <w:t>Derivative financial instruments, current portion</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2,834</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2,884</w:t>
            </w:r>
          </w:p>
        </w:tc>
      </w:tr>
      <w:tr>
        <w:trPr>
          <w:trHeight w:val="213"/>
        </w:trPr>
        <w:tc>
          <w:tcPr>
            <w:tcW w:w="7520" w:type="dxa"/>
            <w:vAlign w:val="bottom"/>
          </w:tcPr>
          <w:p>
            <w:pPr>
              <w:spacing w:after="0"/>
              <w:rPr>
                <w:sz w:val="20"/>
                <w:szCs w:val="20"/>
                <w:color w:val="auto"/>
              </w:rPr>
            </w:pPr>
            <w:r>
              <w:rPr>
                <w:rFonts w:ascii="Arial" w:cs="Arial" w:eastAsia="Arial" w:hAnsi="Arial"/>
                <w:sz w:val="16"/>
                <w:szCs w:val="16"/>
                <w:color w:val="auto"/>
              </w:rPr>
              <w:t>Other payables and accruals</w:t>
            </w:r>
          </w:p>
        </w:tc>
        <w:tc>
          <w:tcPr>
            <w:tcW w:w="1820" w:type="dxa"/>
            <w:vAlign w:val="bottom"/>
          </w:tcPr>
          <w:p>
            <w:pPr>
              <w:jc w:val="right"/>
              <w:spacing w:after="0"/>
              <w:rPr>
                <w:sz w:val="20"/>
                <w:szCs w:val="20"/>
                <w:color w:val="auto"/>
              </w:rPr>
            </w:pPr>
            <w:r>
              <w:rPr>
                <w:rFonts w:ascii="Arial" w:cs="Arial" w:eastAsia="Arial" w:hAnsi="Arial"/>
                <w:sz w:val="16"/>
                <w:szCs w:val="16"/>
                <w:color w:val="auto"/>
              </w:rPr>
              <w:t>166,932</w:t>
            </w: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164,781</w:t>
            </w:r>
          </w:p>
        </w:tc>
      </w:tr>
      <w:tr>
        <w:trPr>
          <w:trHeight w:val="219"/>
        </w:trPr>
        <w:tc>
          <w:tcPr>
            <w:tcW w:w="7520" w:type="dxa"/>
            <w:vAlign w:val="bottom"/>
            <w:shd w:val="clear" w:color="auto" w:fill="CCEEFF"/>
          </w:tcPr>
          <w:p>
            <w:pPr>
              <w:spacing w:after="0"/>
              <w:rPr>
                <w:sz w:val="20"/>
                <w:szCs w:val="20"/>
                <w:color w:val="auto"/>
              </w:rPr>
            </w:pPr>
            <w:r>
              <w:rPr>
                <w:rFonts w:ascii="Arial" w:cs="Arial" w:eastAsia="Arial" w:hAnsi="Arial"/>
                <w:sz w:val="16"/>
                <w:szCs w:val="16"/>
                <w:color w:val="auto"/>
              </w:rPr>
              <w:t>Borrowings, current portion</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294,977</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372,299</w:t>
            </w:r>
          </w:p>
        </w:tc>
      </w:tr>
      <w:tr>
        <w:trPr>
          <w:trHeight w:val="213"/>
        </w:trPr>
        <w:tc>
          <w:tcPr>
            <w:tcW w:w="7520" w:type="dxa"/>
            <w:vAlign w:val="bottom"/>
          </w:tcPr>
          <w:p>
            <w:pPr>
              <w:spacing w:after="0"/>
              <w:rPr>
                <w:sz w:val="20"/>
                <w:szCs w:val="20"/>
                <w:color w:val="auto"/>
              </w:rPr>
            </w:pPr>
            <w:r>
              <w:rPr>
                <w:rFonts w:ascii="Arial" w:cs="Arial" w:eastAsia="Arial" w:hAnsi="Arial"/>
                <w:sz w:val="16"/>
                <w:szCs w:val="16"/>
                <w:color w:val="auto"/>
              </w:rPr>
              <w:t>Lease liabilities, current portion</w:t>
            </w:r>
          </w:p>
        </w:tc>
        <w:tc>
          <w:tcPr>
            <w:tcW w:w="1820" w:type="dxa"/>
            <w:vAlign w:val="bottom"/>
          </w:tcPr>
          <w:p>
            <w:pPr>
              <w:jc w:val="right"/>
              <w:spacing w:after="0"/>
              <w:rPr>
                <w:sz w:val="20"/>
                <w:szCs w:val="20"/>
                <w:color w:val="auto"/>
              </w:rPr>
            </w:pPr>
            <w:r>
              <w:rPr>
                <w:rFonts w:ascii="Arial" w:cs="Arial" w:eastAsia="Arial" w:hAnsi="Arial"/>
                <w:sz w:val="16"/>
                <w:szCs w:val="16"/>
                <w:color w:val="auto"/>
              </w:rPr>
              <w:t>48,548</w:t>
            </w: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69,633</w:t>
            </w:r>
          </w:p>
        </w:tc>
      </w:tr>
      <w:tr>
        <w:trPr>
          <w:trHeight w:val="199"/>
        </w:trPr>
        <w:tc>
          <w:tcPr>
            <w:tcW w:w="7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current liabilities</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533,056</w:t>
            </w:r>
          </w:p>
        </w:tc>
        <w:tc>
          <w:tcPr>
            <w:tcW w:w="10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625,341</w:t>
            </w:r>
          </w:p>
        </w:tc>
      </w:tr>
      <w:tr>
        <w:trPr>
          <w:trHeight w:val="206"/>
        </w:trPr>
        <w:tc>
          <w:tcPr>
            <w:tcW w:w="7520" w:type="dxa"/>
            <w:vAlign w:val="bottom"/>
          </w:tcPr>
          <w:p>
            <w:pPr>
              <w:spacing w:after="0"/>
              <w:rPr>
                <w:sz w:val="20"/>
                <w:szCs w:val="20"/>
                <w:color w:val="auto"/>
              </w:rPr>
            </w:pPr>
            <w:r>
              <w:rPr>
                <w:rFonts w:ascii="Arial" w:cs="Arial" w:eastAsia="Arial" w:hAnsi="Arial"/>
                <w:sz w:val="16"/>
                <w:szCs w:val="16"/>
                <w:b w:val="1"/>
                <w:bCs w:val="1"/>
                <w:color w:val="auto"/>
              </w:rPr>
              <w:t>Non-current liabilities</w:t>
            </w: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19"/>
        </w:trPr>
        <w:tc>
          <w:tcPr>
            <w:tcW w:w="7520" w:type="dxa"/>
            <w:vAlign w:val="bottom"/>
            <w:shd w:val="clear" w:color="auto" w:fill="CCEEFF"/>
          </w:tcPr>
          <w:p>
            <w:pPr>
              <w:spacing w:after="0"/>
              <w:rPr>
                <w:sz w:val="20"/>
                <w:szCs w:val="20"/>
                <w:color w:val="auto"/>
              </w:rPr>
            </w:pPr>
            <w:r>
              <w:rPr>
                <w:rFonts w:ascii="Arial" w:cs="Arial" w:eastAsia="Arial" w:hAnsi="Arial"/>
                <w:sz w:val="16"/>
                <w:szCs w:val="16"/>
                <w:color w:val="auto"/>
              </w:rPr>
              <w:t>Derivative financial instruments, non-current portion</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5,498</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11,762</w:t>
            </w:r>
          </w:p>
        </w:tc>
      </w:tr>
      <w:tr>
        <w:trPr>
          <w:trHeight w:val="213"/>
        </w:trPr>
        <w:tc>
          <w:tcPr>
            <w:tcW w:w="7520" w:type="dxa"/>
            <w:vAlign w:val="bottom"/>
          </w:tcPr>
          <w:p>
            <w:pPr>
              <w:spacing w:after="0"/>
              <w:rPr>
                <w:sz w:val="20"/>
                <w:szCs w:val="20"/>
                <w:color w:val="auto"/>
              </w:rPr>
            </w:pPr>
            <w:r>
              <w:rPr>
                <w:rFonts w:ascii="Arial" w:cs="Arial" w:eastAsia="Arial" w:hAnsi="Arial"/>
                <w:sz w:val="16"/>
                <w:szCs w:val="16"/>
                <w:color w:val="auto"/>
              </w:rPr>
              <w:t>Borrowings, non-current portion</w:t>
            </w:r>
          </w:p>
        </w:tc>
        <w:tc>
          <w:tcPr>
            <w:tcW w:w="1820" w:type="dxa"/>
            <w:vAlign w:val="bottom"/>
          </w:tcPr>
          <w:p>
            <w:pPr>
              <w:jc w:val="right"/>
              <w:spacing w:after="0"/>
              <w:rPr>
                <w:sz w:val="20"/>
                <w:szCs w:val="20"/>
                <w:color w:val="auto"/>
              </w:rPr>
            </w:pPr>
            <w:r>
              <w:rPr>
                <w:rFonts w:ascii="Arial" w:cs="Arial" w:eastAsia="Arial" w:hAnsi="Arial"/>
                <w:sz w:val="16"/>
                <w:szCs w:val="16"/>
                <w:color w:val="auto"/>
              </w:rPr>
              <w:t>3,004,767</w:t>
            </w: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2,657,868</w:t>
            </w:r>
          </w:p>
        </w:tc>
      </w:tr>
      <w:tr>
        <w:trPr>
          <w:trHeight w:val="219"/>
        </w:trPr>
        <w:tc>
          <w:tcPr>
            <w:tcW w:w="7520" w:type="dxa"/>
            <w:vAlign w:val="bottom"/>
            <w:shd w:val="clear" w:color="auto" w:fill="CCEEFF"/>
          </w:tcPr>
          <w:p>
            <w:pPr>
              <w:spacing w:after="0"/>
              <w:rPr>
                <w:sz w:val="20"/>
                <w:szCs w:val="20"/>
                <w:color w:val="auto"/>
              </w:rPr>
            </w:pPr>
            <w:r>
              <w:rPr>
                <w:rFonts w:ascii="Arial" w:cs="Arial" w:eastAsia="Arial" w:hAnsi="Arial"/>
                <w:sz w:val="16"/>
                <w:szCs w:val="16"/>
                <w:color w:val="auto"/>
              </w:rPr>
              <w:t>Lease liabilities, non-current portion</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287,828</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366,052</w:t>
            </w:r>
          </w:p>
        </w:tc>
      </w:tr>
      <w:tr>
        <w:trPr>
          <w:trHeight w:val="203"/>
        </w:trPr>
        <w:tc>
          <w:tcPr>
            <w:tcW w:w="752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119,121</w:t>
            </w:r>
          </w:p>
        </w:tc>
        <w:tc>
          <w:tcPr>
            <w:tcW w:w="100" w:type="dxa"/>
            <w:vAlign w:val="bottom"/>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212,416</w:t>
            </w:r>
          </w:p>
        </w:tc>
      </w:tr>
      <w:tr>
        <w:trPr>
          <w:trHeight w:val="196"/>
        </w:trPr>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non-current liabilities</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3,417,214</w:t>
            </w:r>
          </w:p>
        </w:tc>
        <w:tc>
          <w:tcPr>
            <w:tcW w:w="10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3,248,098</w:t>
            </w:r>
          </w:p>
        </w:tc>
      </w:tr>
      <w:tr>
        <w:trPr>
          <w:trHeight w:val="234"/>
        </w:trPr>
        <w:tc>
          <w:tcPr>
            <w:tcW w:w="7520" w:type="dxa"/>
            <w:vAlign w:val="bottom"/>
          </w:tcPr>
          <w:p>
            <w:pPr>
              <w:spacing w:after="0"/>
              <w:rPr>
                <w:sz w:val="20"/>
                <w:szCs w:val="20"/>
                <w:color w:val="auto"/>
              </w:rPr>
            </w:pPr>
            <w:r>
              <w:rPr>
                <w:rFonts w:ascii="Arial" w:cs="Arial" w:eastAsia="Arial" w:hAnsi="Arial"/>
                <w:sz w:val="16"/>
                <w:szCs w:val="16"/>
                <w:b w:val="1"/>
                <w:bCs w:val="1"/>
                <w:color w:val="auto"/>
              </w:rPr>
              <w:t>Total equity and liabilities</w:t>
            </w:r>
          </w:p>
        </w:tc>
        <w:tc>
          <w:tcPr>
            <w:tcW w:w="1820" w:type="dxa"/>
            <w:vAlign w:val="bottom"/>
          </w:tcPr>
          <w:p>
            <w:pPr>
              <w:jc w:val="right"/>
              <w:spacing w:after="0"/>
              <w:rPr>
                <w:sz w:val="20"/>
                <w:szCs w:val="20"/>
                <w:color w:val="auto"/>
              </w:rPr>
            </w:pPr>
            <w:r>
              <w:rPr>
                <w:rFonts w:ascii="Arial" w:cs="Arial" w:eastAsia="Arial" w:hAnsi="Arial"/>
                <w:sz w:val="16"/>
                <w:szCs w:val="16"/>
                <w:b w:val="1"/>
                <w:bCs w:val="1"/>
                <w:color w:val="auto"/>
              </w:rPr>
              <w:t>5,672,048</w:t>
            </w:r>
          </w:p>
        </w:tc>
        <w:tc>
          <w:tcPr>
            <w:tcW w:w="1900" w:type="dxa"/>
            <w:vAlign w:val="bottom"/>
            <w:gridSpan w:val="2"/>
          </w:tcPr>
          <w:p>
            <w:pPr>
              <w:jc w:val="right"/>
              <w:spacing w:after="0"/>
              <w:rPr>
                <w:sz w:val="20"/>
                <w:szCs w:val="20"/>
                <w:color w:val="auto"/>
              </w:rPr>
            </w:pPr>
            <w:r>
              <w:rPr>
                <w:rFonts w:ascii="Arial" w:cs="Arial" w:eastAsia="Arial" w:hAnsi="Arial"/>
                <w:sz w:val="16"/>
                <w:szCs w:val="16"/>
                <w:b w:val="1"/>
                <w:bCs w:val="1"/>
                <w:color w:val="auto"/>
              </w:rPr>
              <w:t>5,615,000</w:t>
            </w:r>
          </w:p>
        </w:tc>
      </w:tr>
      <w:tr>
        <w:trPr>
          <w:trHeight w:val="20"/>
        </w:trPr>
        <w:tc>
          <w:tcPr>
            <w:tcW w:w="752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color w:val="auto"/>
        </w:rPr>
        <w:t>Unaudited condensed consolidated statements of profit or loss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three months ended March 31, 2022 and 2023</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expressed in thousands of U.S. Dollars)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20" w:type="dxa"/>
            <w:vAlign w:val="bottom"/>
          </w:tcPr>
          <w:p>
            <w:pPr>
              <w:spacing w:after="0"/>
              <w:rPr>
                <w:sz w:val="17"/>
                <w:szCs w:val="17"/>
                <w:color w:val="auto"/>
              </w:rPr>
            </w:pPr>
          </w:p>
        </w:tc>
        <w:tc>
          <w:tcPr>
            <w:tcW w:w="3820" w:type="dxa"/>
            <w:vAlign w:val="bottom"/>
            <w:gridSpan w:val="4"/>
          </w:tcPr>
          <w:p>
            <w:pPr>
              <w:jc w:val="right"/>
              <w:ind w:right="1020"/>
              <w:spacing w:after="0"/>
              <w:rPr>
                <w:sz w:val="20"/>
                <w:szCs w:val="20"/>
                <w:color w:val="auto"/>
              </w:rPr>
            </w:pPr>
            <w:r>
              <w:rPr>
                <w:rFonts w:ascii="Arial" w:cs="Arial" w:eastAsia="Arial" w:hAnsi="Arial"/>
                <w:sz w:val="16"/>
                <w:szCs w:val="16"/>
                <w:b w:val="1"/>
                <w:bCs w:val="1"/>
                <w:color w:val="auto"/>
              </w:rPr>
              <w:t>For the three months ended</w:t>
            </w:r>
          </w:p>
        </w:tc>
      </w:tr>
      <w:tr>
        <w:trPr>
          <w:trHeight w:val="203"/>
        </w:trPr>
        <w:tc>
          <w:tcPr>
            <w:tcW w:w="7420" w:type="dxa"/>
            <w:vAlign w:val="bottom"/>
          </w:tcPr>
          <w:p>
            <w:pPr>
              <w:spacing w:after="0"/>
              <w:rPr>
                <w:sz w:val="17"/>
                <w:szCs w:val="17"/>
                <w:color w:val="auto"/>
              </w:rPr>
            </w:pPr>
          </w:p>
        </w:tc>
        <w:tc>
          <w:tcPr>
            <w:tcW w:w="1920" w:type="dxa"/>
            <w:vAlign w:val="bottom"/>
            <w:gridSpan w:val="2"/>
          </w:tcPr>
          <w:p>
            <w:pPr>
              <w:jc w:val="right"/>
              <w:ind w:right="660"/>
              <w:spacing w:after="0"/>
              <w:rPr>
                <w:sz w:val="20"/>
                <w:szCs w:val="20"/>
                <w:color w:val="auto"/>
              </w:rPr>
            </w:pPr>
            <w:r>
              <w:rPr>
                <w:rFonts w:ascii="Arial" w:cs="Arial" w:eastAsia="Arial" w:hAnsi="Arial"/>
                <w:sz w:val="16"/>
                <w:szCs w:val="16"/>
                <w:b w:val="1"/>
                <w:bCs w:val="1"/>
                <w:color w:val="auto"/>
              </w:rPr>
              <w:t>March 31,</w:t>
            </w:r>
          </w:p>
        </w:tc>
        <w:tc>
          <w:tcPr>
            <w:tcW w:w="1900" w:type="dxa"/>
            <w:vAlign w:val="bottom"/>
            <w:gridSpan w:val="2"/>
          </w:tcPr>
          <w:p>
            <w:pPr>
              <w:jc w:val="right"/>
              <w:ind w:right="660"/>
              <w:spacing w:after="0"/>
              <w:rPr>
                <w:sz w:val="20"/>
                <w:szCs w:val="20"/>
                <w:color w:val="auto"/>
              </w:rPr>
            </w:pPr>
            <w:r>
              <w:rPr>
                <w:rFonts w:ascii="Arial" w:cs="Arial" w:eastAsia="Arial" w:hAnsi="Arial"/>
                <w:sz w:val="16"/>
                <w:szCs w:val="16"/>
                <w:b w:val="1"/>
                <w:bCs w:val="1"/>
                <w:color w:val="auto"/>
              </w:rPr>
              <w:t>March 31,</w:t>
            </w:r>
          </w:p>
        </w:tc>
      </w:tr>
      <w:tr>
        <w:trPr>
          <w:trHeight w:val="213"/>
        </w:trPr>
        <w:tc>
          <w:tcPr>
            <w:tcW w:w="7420" w:type="dxa"/>
            <w:vAlign w:val="bottom"/>
          </w:tcPr>
          <w:p>
            <w:pPr>
              <w:spacing w:after="0"/>
              <w:rPr>
                <w:sz w:val="18"/>
                <w:szCs w:val="18"/>
                <w:color w:val="auto"/>
              </w:rPr>
            </w:pPr>
          </w:p>
        </w:tc>
        <w:tc>
          <w:tcPr>
            <w:tcW w:w="180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80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r>
      <w:tr>
        <w:trPr>
          <w:trHeight w:val="213"/>
        </w:trPr>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213,723</w:t>
            </w: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231,299</w:t>
            </w:r>
          </w:p>
        </w:tc>
        <w:tc>
          <w:tcPr>
            <w:tcW w:w="100" w:type="dxa"/>
            <w:vAlign w:val="bottom"/>
            <w:shd w:val="clear" w:color="auto" w:fill="CCEEFF"/>
          </w:tcPr>
          <w:p>
            <w:pPr>
              <w:spacing w:after="0"/>
              <w:rPr>
                <w:sz w:val="18"/>
                <w:szCs w:val="18"/>
                <w:color w:val="auto"/>
              </w:rPr>
            </w:pPr>
          </w:p>
        </w:tc>
      </w:tr>
      <w:tr>
        <w:trPr>
          <w:trHeight w:val="213"/>
        </w:trPr>
        <w:tc>
          <w:tcPr>
            <w:tcW w:w="7420" w:type="dxa"/>
            <w:vAlign w:val="bottom"/>
          </w:tcPr>
          <w:p>
            <w:pPr>
              <w:spacing w:after="0"/>
              <w:rPr>
                <w:sz w:val="20"/>
                <w:szCs w:val="20"/>
                <w:color w:val="auto"/>
              </w:rPr>
            </w:pPr>
            <w:r>
              <w:rPr>
                <w:rFonts w:ascii="Arial" w:cs="Arial" w:eastAsia="Arial" w:hAnsi="Arial"/>
                <w:sz w:val="16"/>
                <w:szCs w:val="16"/>
                <w:color w:val="auto"/>
              </w:rPr>
              <w:t>Voyage expenses and commissions</w:t>
            </w:r>
          </w:p>
        </w:tc>
        <w:tc>
          <w:tcPr>
            <w:tcW w:w="1920" w:type="dxa"/>
            <w:vAlign w:val="bottom"/>
            <w:gridSpan w:val="2"/>
          </w:tcPr>
          <w:p>
            <w:pPr>
              <w:jc w:val="right"/>
              <w:ind w:right="60"/>
              <w:spacing w:after="0"/>
              <w:rPr>
                <w:sz w:val="20"/>
                <w:szCs w:val="20"/>
                <w:color w:val="auto"/>
              </w:rPr>
            </w:pPr>
            <w:r>
              <w:rPr>
                <w:rFonts w:ascii="Arial" w:cs="Arial" w:eastAsia="Arial" w:hAnsi="Arial"/>
                <w:sz w:val="16"/>
                <w:szCs w:val="16"/>
                <w:color w:val="auto"/>
              </w:rPr>
              <w:t>(5,332)</w:t>
            </w:r>
          </w:p>
        </w:tc>
        <w:tc>
          <w:tcPr>
            <w:tcW w:w="1900" w:type="dxa"/>
            <w:vAlign w:val="bottom"/>
            <w:gridSpan w:val="2"/>
          </w:tcPr>
          <w:p>
            <w:pPr>
              <w:jc w:val="right"/>
              <w:ind w:right="60"/>
              <w:spacing w:after="0"/>
              <w:rPr>
                <w:sz w:val="20"/>
                <w:szCs w:val="20"/>
                <w:color w:val="auto"/>
              </w:rPr>
            </w:pPr>
            <w:r>
              <w:rPr>
                <w:rFonts w:ascii="Arial" w:cs="Arial" w:eastAsia="Arial" w:hAnsi="Arial"/>
                <w:sz w:val="16"/>
                <w:szCs w:val="16"/>
                <w:color w:val="auto"/>
              </w:rPr>
              <w:t>(4,715)</w:t>
            </w:r>
          </w:p>
        </w:tc>
      </w:tr>
      <w:tr>
        <w:trPr>
          <w:trHeight w:val="219"/>
        </w:trPr>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Vessel operating and supervision costs</w:t>
            </w:r>
          </w:p>
        </w:tc>
        <w:tc>
          <w:tcPr>
            <w:tcW w:w="1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(43,637)</w:t>
            </w:r>
          </w:p>
        </w:tc>
        <w:tc>
          <w:tcPr>
            <w:tcW w:w="1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(40,021)</w:t>
            </w:r>
          </w:p>
        </w:tc>
      </w:tr>
      <w:tr>
        <w:trPr>
          <w:trHeight w:val="213"/>
        </w:trPr>
        <w:tc>
          <w:tcPr>
            <w:tcW w:w="7420" w:type="dxa"/>
            <w:vAlign w:val="bottom"/>
          </w:tcPr>
          <w:p>
            <w:pPr>
              <w:spacing w:after="0"/>
              <w:rPr>
                <w:sz w:val="20"/>
                <w:szCs w:val="20"/>
                <w:color w:val="auto"/>
              </w:rPr>
            </w:pPr>
            <w:r>
              <w:rPr>
                <w:rFonts w:ascii="Arial" w:cs="Arial" w:eastAsia="Arial" w:hAnsi="Arial"/>
                <w:sz w:val="16"/>
                <w:szCs w:val="16"/>
                <w:color w:val="auto"/>
              </w:rPr>
              <w:t>Depreciation</w:t>
            </w:r>
          </w:p>
        </w:tc>
        <w:tc>
          <w:tcPr>
            <w:tcW w:w="1920" w:type="dxa"/>
            <w:vAlign w:val="bottom"/>
            <w:gridSpan w:val="2"/>
          </w:tcPr>
          <w:p>
            <w:pPr>
              <w:jc w:val="right"/>
              <w:ind w:right="60"/>
              <w:spacing w:after="0"/>
              <w:rPr>
                <w:sz w:val="20"/>
                <w:szCs w:val="20"/>
                <w:color w:val="auto"/>
              </w:rPr>
            </w:pPr>
            <w:r>
              <w:rPr>
                <w:rFonts w:ascii="Arial" w:cs="Arial" w:eastAsia="Arial" w:hAnsi="Arial"/>
                <w:sz w:val="16"/>
                <w:szCs w:val="16"/>
                <w:color w:val="auto"/>
              </w:rPr>
              <w:t>(54,833)</w:t>
            </w:r>
          </w:p>
        </w:tc>
        <w:tc>
          <w:tcPr>
            <w:tcW w:w="1900" w:type="dxa"/>
            <w:vAlign w:val="bottom"/>
            <w:gridSpan w:val="2"/>
          </w:tcPr>
          <w:p>
            <w:pPr>
              <w:jc w:val="right"/>
              <w:ind w:right="60"/>
              <w:spacing w:after="0"/>
              <w:rPr>
                <w:sz w:val="20"/>
                <w:szCs w:val="20"/>
                <w:color w:val="auto"/>
              </w:rPr>
            </w:pPr>
            <w:r>
              <w:rPr>
                <w:rFonts w:ascii="Arial" w:cs="Arial" w:eastAsia="Arial" w:hAnsi="Arial"/>
                <w:sz w:val="16"/>
                <w:szCs w:val="16"/>
                <w:color w:val="auto"/>
              </w:rPr>
              <w:t>(56,234)</w:t>
            </w:r>
          </w:p>
        </w:tc>
      </w:tr>
      <w:tr>
        <w:trPr>
          <w:trHeight w:val="219"/>
        </w:trPr>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Impairment loss</w:t>
            </w:r>
          </w:p>
        </w:tc>
        <w:tc>
          <w:tcPr>
            <w:tcW w:w="1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(28,884)</w:t>
            </w:r>
          </w:p>
        </w:tc>
        <w:tc>
          <w:tcPr>
            <w:tcW w:w="1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(11,740)</w:t>
            </w:r>
          </w:p>
        </w:tc>
      </w:tr>
      <w:tr>
        <w:trPr>
          <w:trHeight w:val="213"/>
        </w:trPr>
        <w:tc>
          <w:tcPr>
            <w:tcW w:w="7420" w:type="dxa"/>
            <w:vAlign w:val="bottom"/>
          </w:tcPr>
          <w:p>
            <w:pPr>
              <w:spacing w:after="0"/>
              <w:rPr>
                <w:sz w:val="20"/>
                <w:szCs w:val="20"/>
                <w:color w:val="auto"/>
              </w:rPr>
            </w:pPr>
            <w:r>
              <w:rPr>
                <w:rFonts w:ascii="Arial" w:cs="Arial" w:eastAsia="Arial" w:hAnsi="Arial"/>
                <w:sz w:val="16"/>
                <w:szCs w:val="16"/>
                <w:color w:val="auto"/>
              </w:rPr>
              <w:t>Loss on disposal of non-current assets</w:t>
            </w:r>
          </w:p>
        </w:tc>
        <w:tc>
          <w:tcPr>
            <w:tcW w:w="1920" w:type="dxa"/>
            <w:vAlign w:val="bottom"/>
            <w:gridSpan w:val="2"/>
          </w:tcPr>
          <w:p>
            <w:pPr>
              <w:jc w:val="right"/>
              <w:ind w:right="60"/>
              <w:spacing w:after="0"/>
              <w:rPr>
                <w:sz w:val="20"/>
                <w:szCs w:val="20"/>
                <w:color w:val="auto"/>
              </w:rPr>
            </w:pPr>
            <w:r>
              <w:rPr>
                <w:rFonts w:ascii="Arial" w:cs="Arial" w:eastAsia="Arial" w:hAnsi="Arial"/>
                <w:sz w:val="16"/>
                <w:szCs w:val="16"/>
                <w:color w:val="auto"/>
              </w:rPr>
              <w:t>(577)</w:t>
            </w:r>
          </w:p>
        </w:tc>
        <w:tc>
          <w:tcPr>
            <w:tcW w:w="1900" w:type="dxa"/>
            <w:vAlign w:val="bottom"/>
            <w:gridSpan w:val="2"/>
          </w:tcPr>
          <w:p>
            <w:pPr>
              <w:jc w:val="right"/>
              <w:ind w:right="60"/>
              <w:spacing w:after="0"/>
              <w:rPr>
                <w:sz w:val="20"/>
                <w:szCs w:val="20"/>
                <w:color w:val="auto"/>
              </w:rPr>
            </w:pPr>
            <w:r>
              <w:rPr>
                <w:rFonts w:ascii="Arial" w:cs="Arial" w:eastAsia="Arial" w:hAnsi="Arial"/>
                <w:sz w:val="16"/>
                <w:szCs w:val="16"/>
                <w:color w:val="auto"/>
              </w:rPr>
              <w:t>(1,309)</w:t>
            </w:r>
          </w:p>
        </w:tc>
      </w:tr>
      <w:tr>
        <w:trPr>
          <w:trHeight w:val="205"/>
        </w:trPr>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 expenses</w:t>
            </w:r>
          </w:p>
        </w:tc>
        <w:tc>
          <w:tcPr>
            <w:tcW w:w="1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(10,018)</w:t>
            </w:r>
          </w:p>
        </w:tc>
        <w:tc>
          <w:tcPr>
            <w:tcW w:w="1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(8,561)</w:t>
            </w:r>
          </w:p>
        </w:tc>
      </w:tr>
      <w:tr>
        <w:trPr>
          <w:trHeight w:val="196"/>
        </w:trPr>
        <w:tc>
          <w:tcPr>
            <w:tcW w:w="742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Profit from operations</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70,442</w:t>
            </w:r>
          </w:p>
        </w:tc>
        <w:tc>
          <w:tcPr>
            <w:tcW w:w="120" w:type="dxa"/>
            <w:vAlign w:val="bottom"/>
            <w:tcBorders>
              <w:top w:val="single" w:sz="8" w:color="CCEEFF"/>
            </w:tcBorders>
          </w:tcPr>
          <w:p>
            <w:pPr>
              <w:spacing w:after="0"/>
              <w:rPr>
                <w:sz w:val="17"/>
                <w:szCs w:val="17"/>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108,719</w:t>
            </w:r>
          </w:p>
        </w:tc>
        <w:tc>
          <w:tcPr>
            <w:tcW w:w="100" w:type="dxa"/>
            <w:vAlign w:val="bottom"/>
            <w:tcBorders>
              <w:top w:val="single" w:sz="8" w:color="CCEEFF"/>
            </w:tcBorders>
          </w:tcPr>
          <w:p>
            <w:pPr>
              <w:spacing w:after="0"/>
              <w:rPr>
                <w:sz w:val="17"/>
                <w:szCs w:val="17"/>
                <w:color w:val="auto"/>
              </w:rPr>
            </w:pPr>
          </w:p>
        </w:tc>
      </w:tr>
      <w:tr>
        <w:trPr>
          <w:trHeight w:val="210"/>
        </w:trPr>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Financial costs</w:t>
            </w:r>
          </w:p>
        </w:tc>
        <w:tc>
          <w:tcPr>
            <w:tcW w:w="1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(37,369)</w:t>
            </w:r>
          </w:p>
        </w:tc>
        <w:tc>
          <w:tcPr>
            <w:tcW w:w="1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(64,497)</w:t>
            </w:r>
          </w:p>
        </w:tc>
      </w:tr>
      <w:tr>
        <w:trPr>
          <w:trHeight w:val="213"/>
        </w:trPr>
        <w:tc>
          <w:tcPr>
            <w:tcW w:w="7420" w:type="dxa"/>
            <w:vAlign w:val="bottom"/>
          </w:tcPr>
          <w:p>
            <w:pPr>
              <w:spacing w:after="0"/>
              <w:rPr>
                <w:sz w:val="20"/>
                <w:szCs w:val="20"/>
                <w:color w:val="auto"/>
              </w:rPr>
            </w:pPr>
            <w:r>
              <w:rPr>
                <w:rFonts w:ascii="Arial" w:cs="Arial" w:eastAsia="Arial" w:hAnsi="Arial"/>
                <w:sz w:val="16"/>
                <w:szCs w:val="16"/>
                <w:color w:val="auto"/>
              </w:rPr>
              <w:t>Financial income</w:t>
            </w:r>
          </w:p>
        </w:tc>
        <w:tc>
          <w:tcPr>
            <w:tcW w:w="180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4,039</w:t>
            </w:r>
          </w:p>
        </w:tc>
        <w:tc>
          <w:tcPr>
            <w:tcW w:w="100" w:type="dxa"/>
            <w:vAlign w:val="bottom"/>
          </w:tcPr>
          <w:p>
            <w:pPr>
              <w:spacing w:after="0"/>
              <w:rPr>
                <w:sz w:val="18"/>
                <w:szCs w:val="18"/>
                <w:color w:val="auto"/>
              </w:rPr>
            </w:pPr>
          </w:p>
        </w:tc>
      </w:tr>
      <w:tr>
        <w:trPr>
          <w:trHeight w:val="219"/>
        </w:trPr>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Gain/(loss) on derivatives</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37,401</w:t>
            </w:r>
          </w:p>
        </w:tc>
        <w:tc>
          <w:tcPr>
            <w:tcW w:w="12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(3,670)</w:t>
            </w:r>
          </w:p>
        </w:tc>
      </w:tr>
      <w:tr>
        <w:trPr>
          <w:trHeight w:val="203"/>
        </w:trPr>
        <w:tc>
          <w:tcPr>
            <w:tcW w:w="7420" w:type="dxa"/>
            <w:vAlign w:val="bottom"/>
          </w:tcPr>
          <w:p>
            <w:pPr>
              <w:spacing w:after="0"/>
              <w:rPr>
                <w:sz w:val="20"/>
                <w:szCs w:val="20"/>
                <w:color w:val="auto"/>
              </w:rPr>
            </w:pPr>
            <w:r>
              <w:rPr>
                <w:rFonts w:ascii="Arial" w:cs="Arial" w:eastAsia="Arial" w:hAnsi="Arial"/>
                <w:sz w:val="16"/>
                <w:szCs w:val="16"/>
                <w:color w:val="auto"/>
              </w:rPr>
              <w:t>Share of profit of associates</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w:t>
            </w:r>
          </w:p>
        </w:tc>
        <w:tc>
          <w:tcPr>
            <w:tcW w:w="120" w:type="dxa"/>
            <w:vAlign w:val="bottom"/>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w:t>
            </w:r>
          </w:p>
        </w:tc>
        <w:tc>
          <w:tcPr>
            <w:tcW w:w="100" w:type="dxa"/>
            <w:vAlign w:val="bottom"/>
          </w:tcPr>
          <w:p>
            <w:pPr>
              <w:spacing w:after="0"/>
              <w:rPr>
                <w:sz w:val="17"/>
                <w:szCs w:val="17"/>
                <w:color w:val="auto"/>
              </w:rPr>
            </w:pPr>
          </w:p>
        </w:tc>
      </w:tr>
      <w:tr>
        <w:trPr>
          <w:trHeight w:val="196"/>
        </w:trPr>
        <w:tc>
          <w:tcPr>
            <w:tcW w:w="7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other income/(expenses), net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610</w:t>
            </w:r>
          </w:p>
        </w:tc>
        <w:tc>
          <w:tcPr>
            <w:tcW w:w="12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(63,695)</w:t>
            </w:r>
          </w:p>
        </w:tc>
      </w:tr>
      <w:tr>
        <w:trPr>
          <w:trHeight w:val="220"/>
        </w:trPr>
        <w:tc>
          <w:tcPr>
            <w:tcW w:w="742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Profit for the period</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71,052</w:t>
            </w:r>
          </w:p>
        </w:tc>
        <w:tc>
          <w:tcPr>
            <w:tcW w:w="120" w:type="dxa"/>
            <w:vAlign w:val="bottom"/>
            <w:tcBorders>
              <w:top w:val="single" w:sz="8" w:color="CCEEFF"/>
            </w:tcBorders>
          </w:tcPr>
          <w:p>
            <w:pPr>
              <w:spacing w:after="0"/>
              <w:rPr>
                <w:sz w:val="19"/>
                <w:szCs w:val="19"/>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45,024</w:t>
            </w:r>
          </w:p>
        </w:tc>
        <w:tc>
          <w:tcPr>
            <w:tcW w:w="100" w:type="dxa"/>
            <w:vAlign w:val="bottom"/>
            <w:tcBorders>
              <w:top w:val="single" w:sz="8" w:color="CCEEFF"/>
            </w:tcBorders>
          </w:tcPr>
          <w:p>
            <w:pPr>
              <w:spacing w:after="0"/>
              <w:rPr>
                <w:sz w:val="19"/>
                <w:szCs w:val="19"/>
                <w:color w:val="auto"/>
              </w:rPr>
            </w:pPr>
          </w:p>
        </w:tc>
      </w:tr>
      <w:tr>
        <w:trPr>
          <w:trHeight w:val="20"/>
        </w:trPr>
        <w:tc>
          <w:tcPr>
            <w:tcW w:w="742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99"/>
        </w:trPr>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Attributable to:</w:t>
            </w:r>
          </w:p>
        </w:tc>
        <w:tc>
          <w:tcPr>
            <w:tcW w:w="1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7420" w:type="dxa"/>
            <w:vAlign w:val="bottom"/>
          </w:tcPr>
          <w:p>
            <w:pPr>
              <w:spacing w:after="0"/>
              <w:rPr>
                <w:sz w:val="20"/>
                <w:szCs w:val="20"/>
                <w:color w:val="auto"/>
              </w:rPr>
            </w:pPr>
            <w:r>
              <w:rPr>
                <w:rFonts w:ascii="Arial" w:cs="Arial" w:eastAsia="Arial" w:hAnsi="Arial"/>
                <w:sz w:val="16"/>
                <w:szCs w:val="16"/>
                <w:color w:val="auto"/>
              </w:rPr>
              <w:t>Owners of the Group</w:t>
            </w:r>
          </w:p>
        </w:tc>
        <w:tc>
          <w:tcPr>
            <w:tcW w:w="1800" w:type="dxa"/>
            <w:vAlign w:val="bottom"/>
          </w:tcPr>
          <w:p>
            <w:pPr>
              <w:jc w:val="right"/>
              <w:spacing w:after="0"/>
              <w:rPr>
                <w:sz w:val="20"/>
                <w:szCs w:val="20"/>
                <w:color w:val="auto"/>
              </w:rPr>
            </w:pPr>
            <w:r>
              <w:rPr>
                <w:rFonts w:ascii="Arial" w:cs="Arial" w:eastAsia="Arial" w:hAnsi="Arial"/>
                <w:sz w:val="16"/>
                <w:szCs w:val="16"/>
                <w:color w:val="auto"/>
              </w:rPr>
              <w:t>44,795</w:t>
            </w:r>
          </w:p>
        </w:tc>
        <w:tc>
          <w:tcPr>
            <w:tcW w:w="1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18,035</w:t>
            </w:r>
          </w:p>
        </w:tc>
        <w:tc>
          <w:tcPr>
            <w:tcW w:w="100" w:type="dxa"/>
            <w:vAlign w:val="bottom"/>
          </w:tcPr>
          <w:p>
            <w:pPr>
              <w:spacing w:after="0"/>
              <w:rPr>
                <w:sz w:val="18"/>
                <w:szCs w:val="18"/>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Non-controlling interests</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26,257</w:t>
            </w:r>
          </w:p>
        </w:tc>
        <w:tc>
          <w:tcPr>
            <w:tcW w:w="120" w:type="dxa"/>
            <w:vAlign w:val="bottom"/>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26,989</w:t>
            </w:r>
          </w:p>
        </w:tc>
        <w:tc>
          <w:tcPr>
            <w:tcW w:w="100" w:type="dxa"/>
            <w:vAlign w:val="bottom"/>
            <w:shd w:val="clear" w:color="auto" w:fill="CCEEFF"/>
          </w:tcPr>
          <w:p>
            <w:pPr>
              <w:spacing w:after="0"/>
              <w:rPr>
                <w:sz w:val="18"/>
                <w:szCs w:val="18"/>
                <w:color w:val="auto"/>
              </w:rPr>
            </w:pPr>
          </w:p>
        </w:tc>
      </w:tr>
      <w:tr>
        <w:trPr>
          <w:trHeight w:val="223"/>
        </w:trPr>
        <w:tc>
          <w:tcPr>
            <w:tcW w:w="7420" w:type="dxa"/>
            <w:vAlign w:val="bottom"/>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71,052</w:t>
            </w:r>
          </w:p>
        </w:tc>
        <w:tc>
          <w:tcPr>
            <w:tcW w:w="120" w:type="dxa"/>
            <w:vAlign w:val="bottom"/>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45,024</w:t>
            </w:r>
          </w:p>
        </w:tc>
        <w:tc>
          <w:tcPr>
            <w:tcW w:w="100" w:type="dxa"/>
            <w:vAlign w:val="bottom"/>
          </w:tcPr>
          <w:p>
            <w:pPr>
              <w:spacing w:after="0"/>
              <w:rPr>
                <w:sz w:val="19"/>
                <w:szCs w:val="19"/>
                <w:color w:val="auto"/>
              </w:rPr>
            </w:pPr>
          </w:p>
        </w:tc>
      </w:tr>
      <w:tr>
        <w:trPr>
          <w:trHeight w:val="20"/>
        </w:trPr>
        <w:tc>
          <w:tcPr>
            <w:tcW w:w="74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-2948305</wp:posOffset>
            </wp:positionV>
            <wp:extent cx="68580" cy="2940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2940050"/>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auto"/>
        </w:rPr>
        <w:t>Unaudited condensed consolidated statements of cash flows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three months ended March 31, 2022 and 2023</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expressed in thousands of U.S. Dollars)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20" w:type="dxa"/>
            <w:vAlign w:val="bottom"/>
          </w:tcPr>
          <w:p>
            <w:pPr>
              <w:spacing w:after="0"/>
              <w:rPr>
                <w:sz w:val="18"/>
                <w:szCs w:val="18"/>
                <w:color w:val="auto"/>
              </w:rPr>
            </w:pPr>
          </w:p>
        </w:tc>
        <w:tc>
          <w:tcPr>
            <w:tcW w:w="3920" w:type="dxa"/>
            <w:vAlign w:val="bottom"/>
            <w:gridSpan w:val="5"/>
          </w:tcPr>
          <w:p>
            <w:pPr>
              <w:jc w:val="right"/>
              <w:ind w:right="1020"/>
              <w:spacing w:after="0"/>
              <w:rPr>
                <w:sz w:val="20"/>
                <w:szCs w:val="20"/>
                <w:color w:val="auto"/>
              </w:rPr>
            </w:pPr>
            <w:r>
              <w:rPr>
                <w:rFonts w:ascii="Arial" w:cs="Arial" w:eastAsia="Arial" w:hAnsi="Arial"/>
                <w:sz w:val="16"/>
                <w:szCs w:val="16"/>
                <w:b w:val="1"/>
                <w:bCs w:val="1"/>
                <w:color w:val="auto"/>
              </w:rPr>
              <w:t>For the three months ended</w:t>
            </w:r>
          </w:p>
        </w:tc>
      </w:tr>
      <w:tr>
        <w:trPr>
          <w:trHeight w:val="219"/>
        </w:trPr>
        <w:tc>
          <w:tcPr>
            <w:tcW w:w="7320" w:type="dxa"/>
            <w:vAlign w:val="bottom"/>
          </w:tcPr>
          <w:p>
            <w:pPr>
              <w:spacing w:after="0"/>
              <w:rPr>
                <w:sz w:val="19"/>
                <w:szCs w:val="19"/>
                <w:color w:val="auto"/>
              </w:rPr>
            </w:pPr>
          </w:p>
        </w:tc>
        <w:tc>
          <w:tcPr>
            <w:tcW w:w="2020" w:type="dxa"/>
            <w:vAlign w:val="bottom"/>
            <w:gridSpan w:val="3"/>
          </w:tcPr>
          <w:p>
            <w:pPr>
              <w:jc w:val="right"/>
              <w:ind w:right="540"/>
              <w:spacing w:after="0"/>
              <w:rPr>
                <w:sz w:val="20"/>
                <w:szCs w:val="20"/>
                <w:color w:val="auto"/>
              </w:rPr>
            </w:pPr>
            <w:r>
              <w:rPr>
                <w:rFonts w:ascii="Arial" w:cs="Arial" w:eastAsia="Arial" w:hAnsi="Arial"/>
                <w:sz w:val="16"/>
                <w:szCs w:val="16"/>
                <w:b w:val="1"/>
                <w:bCs w:val="1"/>
                <w:color w:val="auto"/>
              </w:rPr>
              <w:t>March 31, 2022</w:t>
            </w:r>
          </w:p>
        </w:tc>
        <w:tc>
          <w:tcPr>
            <w:tcW w:w="190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March 31, 2023</w:t>
            </w:r>
          </w:p>
        </w:tc>
      </w:tr>
      <w:tr>
        <w:trPr>
          <w:trHeight w:val="212"/>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6"/>
                <w:szCs w:val="16"/>
                <w:color w:val="auto"/>
              </w:rPr>
              <w:t>Profit for the period</w:t>
            </w:r>
          </w:p>
        </w:tc>
        <w:tc>
          <w:tcPr>
            <w:tcW w:w="1920" w:type="dxa"/>
            <w:vAlign w:val="bottom"/>
            <w:gridSpan w:val="2"/>
          </w:tcPr>
          <w:p>
            <w:pPr>
              <w:jc w:val="right"/>
              <w:ind w:right="20"/>
              <w:spacing w:after="0"/>
              <w:rPr>
                <w:sz w:val="20"/>
                <w:szCs w:val="20"/>
                <w:color w:val="auto"/>
              </w:rPr>
            </w:pPr>
            <w:r>
              <w:rPr>
                <w:rFonts w:ascii="Arial" w:cs="Arial" w:eastAsia="Arial" w:hAnsi="Arial"/>
                <w:sz w:val="16"/>
                <w:szCs w:val="16"/>
                <w:color w:val="auto"/>
              </w:rPr>
              <w:t>71,052</w:t>
            </w:r>
          </w:p>
        </w:tc>
        <w:tc>
          <w:tcPr>
            <w:tcW w:w="1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45,024</w:t>
            </w:r>
          </w:p>
        </w:tc>
        <w:tc>
          <w:tcPr>
            <w:tcW w:w="100" w:type="dxa"/>
            <w:vAlign w:val="bottom"/>
          </w:tcPr>
          <w:p>
            <w:pPr>
              <w:spacing w:after="0"/>
              <w:rPr>
                <w:sz w:val="18"/>
                <w:szCs w:val="18"/>
                <w:color w:val="auto"/>
              </w:rPr>
            </w:pPr>
          </w:p>
        </w:tc>
      </w:tr>
      <w:tr>
        <w:trPr>
          <w:trHeight w:val="219"/>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Adjustments for:</w:t>
            </w:r>
          </w:p>
        </w:tc>
        <w:tc>
          <w:tcPr>
            <w:tcW w:w="1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6"/>
                <w:szCs w:val="16"/>
                <w:color w:val="auto"/>
              </w:rPr>
              <w:t>Depreciation</w:t>
            </w:r>
          </w:p>
        </w:tc>
        <w:tc>
          <w:tcPr>
            <w:tcW w:w="1920" w:type="dxa"/>
            <w:vAlign w:val="bottom"/>
            <w:gridSpan w:val="2"/>
          </w:tcPr>
          <w:p>
            <w:pPr>
              <w:jc w:val="right"/>
              <w:ind w:right="20"/>
              <w:spacing w:after="0"/>
              <w:rPr>
                <w:sz w:val="20"/>
                <w:szCs w:val="20"/>
                <w:color w:val="auto"/>
              </w:rPr>
            </w:pPr>
            <w:r>
              <w:rPr>
                <w:rFonts w:ascii="Arial" w:cs="Arial" w:eastAsia="Arial" w:hAnsi="Arial"/>
                <w:sz w:val="16"/>
                <w:szCs w:val="16"/>
                <w:color w:val="auto"/>
              </w:rPr>
              <w:t>54,833</w:t>
            </w:r>
          </w:p>
        </w:tc>
        <w:tc>
          <w:tcPr>
            <w:tcW w:w="1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56,234</w:t>
            </w:r>
          </w:p>
        </w:tc>
        <w:tc>
          <w:tcPr>
            <w:tcW w:w="100" w:type="dxa"/>
            <w:vAlign w:val="bottom"/>
          </w:tcPr>
          <w:p>
            <w:pPr>
              <w:spacing w:after="0"/>
              <w:rPr>
                <w:sz w:val="18"/>
                <w:szCs w:val="18"/>
                <w:color w:val="auto"/>
              </w:rPr>
            </w:pPr>
          </w:p>
        </w:tc>
      </w:tr>
      <w:tr>
        <w:trPr>
          <w:trHeight w:val="219"/>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Impairment loss</w:t>
            </w:r>
          </w:p>
        </w:tc>
        <w:tc>
          <w:tcPr>
            <w:tcW w:w="1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28,884</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11,740</w:t>
            </w:r>
          </w:p>
        </w:tc>
        <w:tc>
          <w:tcPr>
            <w:tcW w:w="100" w:type="dxa"/>
            <w:vAlign w:val="bottom"/>
            <w:shd w:val="clear" w:color="auto" w:fill="CCEEFF"/>
          </w:tcPr>
          <w:p>
            <w:pPr>
              <w:spacing w:after="0"/>
              <w:rPr>
                <w:sz w:val="19"/>
                <w:szCs w:val="19"/>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6"/>
                <w:szCs w:val="16"/>
                <w:color w:val="auto"/>
              </w:rPr>
              <w:t>Loss on disposal of non-current assets</w:t>
            </w:r>
          </w:p>
        </w:tc>
        <w:tc>
          <w:tcPr>
            <w:tcW w:w="1920" w:type="dxa"/>
            <w:vAlign w:val="bottom"/>
            <w:gridSpan w:val="2"/>
          </w:tcPr>
          <w:p>
            <w:pPr>
              <w:jc w:val="right"/>
              <w:ind w:right="20"/>
              <w:spacing w:after="0"/>
              <w:rPr>
                <w:sz w:val="20"/>
                <w:szCs w:val="20"/>
                <w:color w:val="auto"/>
              </w:rPr>
            </w:pPr>
            <w:r>
              <w:rPr>
                <w:rFonts w:ascii="Arial" w:cs="Arial" w:eastAsia="Arial" w:hAnsi="Arial"/>
                <w:sz w:val="16"/>
                <w:szCs w:val="16"/>
                <w:color w:val="auto"/>
              </w:rPr>
              <w:t>577</w:t>
            </w:r>
          </w:p>
        </w:tc>
        <w:tc>
          <w:tcPr>
            <w:tcW w:w="1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1,309</w:t>
            </w:r>
          </w:p>
        </w:tc>
        <w:tc>
          <w:tcPr>
            <w:tcW w:w="100" w:type="dxa"/>
            <w:vAlign w:val="bottom"/>
          </w:tcPr>
          <w:p>
            <w:pPr>
              <w:spacing w:after="0"/>
              <w:rPr>
                <w:sz w:val="18"/>
                <w:szCs w:val="18"/>
                <w:color w:val="auto"/>
              </w:rPr>
            </w:pPr>
          </w:p>
        </w:tc>
      </w:tr>
      <w:tr>
        <w:trPr>
          <w:trHeight w:val="219"/>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Share of profit of associates</w:t>
            </w:r>
          </w:p>
        </w:tc>
        <w:tc>
          <w:tcPr>
            <w:tcW w:w="20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(519)</w:t>
            </w:r>
          </w:p>
        </w:tc>
        <w:tc>
          <w:tcPr>
            <w:tcW w:w="1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(433)</w:t>
            </w:r>
          </w:p>
        </w:tc>
      </w:tr>
      <w:tr>
        <w:trPr>
          <w:trHeight w:val="213"/>
        </w:trPr>
        <w:tc>
          <w:tcPr>
            <w:tcW w:w="7320" w:type="dxa"/>
            <w:vAlign w:val="bottom"/>
          </w:tcPr>
          <w:p>
            <w:pPr>
              <w:spacing w:after="0"/>
              <w:rPr>
                <w:sz w:val="20"/>
                <w:szCs w:val="20"/>
                <w:color w:val="auto"/>
              </w:rPr>
            </w:pPr>
            <w:r>
              <w:rPr>
                <w:rFonts w:ascii="Arial" w:cs="Arial" w:eastAsia="Arial" w:hAnsi="Arial"/>
                <w:sz w:val="16"/>
                <w:szCs w:val="16"/>
                <w:color w:val="auto"/>
              </w:rPr>
              <w:t>Financial income</w:t>
            </w:r>
          </w:p>
        </w:tc>
        <w:tc>
          <w:tcPr>
            <w:tcW w:w="2020" w:type="dxa"/>
            <w:vAlign w:val="bottom"/>
            <w:gridSpan w:val="3"/>
          </w:tcPr>
          <w:p>
            <w:pPr>
              <w:jc w:val="right"/>
              <w:ind w:right="60"/>
              <w:spacing w:after="0"/>
              <w:rPr>
                <w:sz w:val="20"/>
                <w:szCs w:val="20"/>
                <w:color w:val="auto"/>
              </w:rPr>
            </w:pPr>
            <w:r>
              <w:rPr>
                <w:rFonts w:ascii="Arial" w:cs="Arial" w:eastAsia="Arial" w:hAnsi="Arial"/>
                <w:sz w:val="16"/>
                <w:szCs w:val="16"/>
                <w:color w:val="auto"/>
              </w:rPr>
              <w:t>(59)</w:t>
            </w:r>
          </w:p>
        </w:tc>
        <w:tc>
          <w:tcPr>
            <w:tcW w:w="1900" w:type="dxa"/>
            <w:vAlign w:val="bottom"/>
            <w:gridSpan w:val="2"/>
          </w:tcPr>
          <w:p>
            <w:pPr>
              <w:jc w:val="right"/>
              <w:ind w:right="60"/>
              <w:spacing w:after="0"/>
              <w:rPr>
                <w:sz w:val="20"/>
                <w:szCs w:val="20"/>
                <w:color w:val="auto"/>
              </w:rPr>
            </w:pPr>
            <w:r>
              <w:rPr>
                <w:rFonts w:ascii="Arial" w:cs="Arial" w:eastAsia="Arial" w:hAnsi="Arial"/>
                <w:sz w:val="16"/>
                <w:szCs w:val="16"/>
                <w:color w:val="auto"/>
              </w:rPr>
              <w:t>(4,039)</w:t>
            </w:r>
          </w:p>
        </w:tc>
      </w:tr>
      <w:tr>
        <w:trPr>
          <w:trHeight w:val="219"/>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Financial costs</w:t>
            </w:r>
          </w:p>
        </w:tc>
        <w:tc>
          <w:tcPr>
            <w:tcW w:w="1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37,369</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64,497</w:t>
            </w:r>
          </w:p>
        </w:tc>
        <w:tc>
          <w:tcPr>
            <w:tcW w:w="100" w:type="dxa"/>
            <w:vAlign w:val="bottom"/>
            <w:shd w:val="clear" w:color="auto" w:fill="CCEEFF"/>
          </w:tcPr>
          <w:p>
            <w:pPr>
              <w:spacing w:after="0"/>
              <w:rPr>
                <w:sz w:val="19"/>
                <w:szCs w:val="19"/>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6"/>
                <w:szCs w:val="16"/>
                <w:color w:val="auto"/>
                <w:w w:val="93"/>
              </w:rPr>
              <w:t>(Gain)/loss on derivatives (excluding realized loss/gain on forward foreign exchange contracts held for trading)</w:t>
            </w:r>
          </w:p>
        </w:tc>
        <w:tc>
          <w:tcPr>
            <w:tcW w:w="2020" w:type="dxa"/>
            <w:vAlign w:val="bottom"/>
            <w:gridSpan w:val="3"/>
          </w:tcPr>
          <w:p>
            <w:pPr>
              <w:jc w:val="right"/>
              <w:ind w:right="60"/>
              <w:spacing w:after="0"/>
              <w:rPr>
                <w:sz w:val="20"/>
                <w:szCs w:val="20"/>
                <w:color w:val="auto"/>
              </w:rPr>
            </w:pPr>
            <w:r>
              <w:rPr>
                <w:rFonts w:ascii="Arial" w:cs="Arial" w:eastAsia="Arial" w:hAnsi="Arial"/>
                <w:sz w:val="16"/>
                <w:szCs w:val="16"/>
                <w:color w:val="auto"/>
              </w:rPr>
              <w:t>(38,036)</w:t>
            </w:r>
          </w:p>
        </w:tc>
        <w:tc>
          <w:tcPr>
            <w:tcW w:w="1800" w:type="dxa"/>
            <w:vAlign w:val="bottom"/>
          </w:tcPr>
          <w:p>
            <w:pPr>
              <w:jc w:val="right"/>
              <w:spacing w:after="0"/>
              <w:rPr>
                <w:sz w:val="20"/>
                <w:szCs w:val="20"/>
                <w:color w:val="auto"/>
              </w:rPr>
            </w:pPr>
            <w:r>
              <w:rPr>
                <w:rFonts w:ascii="Arial" w:cs="Arial" w:eastAsia="Arial" w:hAnsi="Arial"/>
                <w:sz w:val="16"/>
                <w:szCs w:val="16"/>
                <w:color w:val="auto"/>
              </w:rPr>
              <w:t>5,178</w:t>
            </w: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Share-based compensation</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00" w:type="dxa"/>
            <w:vAlign w:val="bottom"/>
            <w:shd w:val="clear" w:color="auto" w:fill="CCEEFF"/>
          </w:tcPr>
          <w:p>
            <w:pPr>
              <w:spacing w:after="0"/>
              <w:rPr>
                <w:sz w:val="18"/>
                <w:szCs w:val="18"/>
                <w:color w:val="auto"/>
              </w:rPr>
            </w:pPr>
          </w:p>
        </w:tc>
      </w:tr>
      <w:tr>
        <w:trPr>
          <w:trHeight w:val="209"/>
        </w:trPr>
        <w:tc>
          <w:tcPr>
            <w:tcW w:w="7320" w:type="dxa"/>
            <w:vAlign w:val="bottom"/>
            <w:tcBorders>
              <w:bottom w:val="single" w:sz="8" w:color="CCEEFF"/>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154,357</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179,656</w:t>
            </w:r>
          </w:p>
        </w:tc>
        <w:tc>
          <w:tcPr>
            <w:tcW w:w="100" w:type="dxa"/>
            <w:vAlign w:val="bottom"/>
            <w:tcBorders>
              <w:bottom w:val="single" w:sz="8" w:color="CCEEFF"/>
            </w:tcBorders>
          </w:tcPr>
          <w:p>
            <w:pPr>
              <w:spacing w:after="0"/>
              <w:rPr>
                <w:sz w:val="18"/>
                <w:szCs w:val="18"/>
                <w:color w:val="auto"/>
              </w:rPr>
            </w:pPr>
          </w:p>
        </w:tc>
      </w:tr>
      <w:tr>
        <w:trPr>
          <w:trHeight w:val="213"/>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Movements in working capital</w:t>
            </w:r>
          </w:p>
        </w:tc>
        <w:tc>
          <w:tcPr>
            <w:tcW w:w="20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(5,048)</w:t>
            </w:r>
          </w:p>
        </w:tc>
        <w:tc>
          <w:tcPr>
            <w:tcW w:w="1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(6,251)</w:t>
            </w:r>
          </w:p>
        </w:tc>
      </w:tr>
      <w:tr>
        <w:trPr>
          <w:trHeight w:val="207"/>
        </w:trPr>
        <w:tc>
          <w:tcPr>
            <w:tcW w:w="732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Net cash provided by operating activities</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149,309</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173,405</w:t>
            </w:r>
          </w:p>
        </w:tc>
        <w:tc>
          <w:tcPr>
            <w:tcW w:w="100" w:type="dxa"/>
            <w:vAlign w:val="bottom"/>
            <w:tcBorders>
              <w:bottom w:val="single" w:sz="8" w:color="CCEEFF"/>
            </w:tcBorders>
          </w:tcPr>
          <w:p>
            <w:pPr>
              <w:spacing w:after="0"/>
              <w:rPr>
                <w:sz w:val="17"/>
                <w:szCs w:val="17"/>
                <w:color w:val="auto"/>
              </w:rPr>
            </w:pPr>
          </w:p>
        </w:tc>
      </w:tr>
      <w:tr>
        <w:trPr>
          <w:trHeight w:val="212"/>
        </w:trPr>
        <w:tc>
          <w:tcPr>
            <w:tcW w:w="7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6"/>
                <w:szCs w:val="16"/>
                <w:color w:val="auto"/>
              </w:rPr>
              <w:t>Payments for tangible fixed assets and vessels under construction</w:t>
            </w:r>
          </w:p>
        </w:tc>
        <w:tc>
          <w:tcPr>
            <w:tcW w:w="2020" w:type="dxa"/>
            <w:vAlign w:val="bottom"/>
            <w:gridSpan w:val="3"/>
          </w:tcPr>
          <w:p>
            <w:pPr>
              <w:jc w:val="right"/>
              <w:ind w:right="60"/>
              <w:spacing w:after="0"/>
              <w:rPr>
                <w:sz w:val="20"/>
                <w:szCs w:val="20"/>
                <w:color w:val="auto"/>
              </w:rPr>
            </w:pPr>
            <w:r>
              <w:rPr>
                <w:rFonts w:ascii="Arial" w:cs="Arial" w:eastAsia="Arial" w:hAnsi="Arial"/>
                <w:sz w:val="16"/>
                <w:szCs w:val="16"/>
                <w:color w:val="auto"/>
              </w:rPr>
              <w:t>(98,971)</w:t>
            </w:r>
          </w:p>
        </w:tc>
        <w:tc>
          <w:tcPr>
            <w:tcW w:w="1900" w:type="dxa"/>
            <w:vAlign w:val="bottom"/>
            <w:gridSpan w:val="2"/>
          </w:tcPr>
          <w:p>
            <w:pPr>
              <w:jc w:val="right"/>
              <w:ind w:right="60"/>
              <w:spacing w:after="0"/>
              <w:rPr>
                <w:sz w:val="20"/>
                <w:szCs w:val="20"/>
                <w:color w:val="auto"/>
              </w:rPr>
            </w:pPr>
            <w:r>
              <w:rPr>
                <w:rFonts w:ascii="Arial" w:cs="Arial" w:eastAsia="Arial" w:hAnsi="Arial"/>
                <w:sz w:val="16"/>
                <w:szCs w:val="16"/>
                <w:color w:val="auto"/>
              </w:rPr>
              <w:t>(86,787)</w:t>
            </w:r>
          </w:p>
        </w:tc>
      </w:tr>
      <w:tr>
        <w:trPr>
          <w:trHeight w:val="219"/>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Proceeds from sale and leaseback, net of commissions</w:t>
            </w:r>
          </w:p>
        </w:tc>
        <w:tc>
          <w:tcPr>
            <w:tcW w:w="1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125,968</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284,000</w:t>
            </w:r>
          </w:p>
        </w:tc>
        <w:tc>
          <w:tcPr>
            <w:tcW w:w="100" w:type="dxa"/>
            <w:vAlign w:val="bottom"/>
            <w:shd w:val="clear" w:color="auto" w:fill="CCEEFF"/>
          </w:tcPr>
          <w:p>
            <w:pPr>
              <w:spacing w:after="0"/>
              <w:rPr>
                <w:sz w:val="19"/>
                <w:szCs w:val="19"/>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6"/>
                <w:szCs w:val="16"/>
                <w:color w:val="auto"/>
              </w:rPr>
              <w:t>Proceeds from FSRU forthcoming sale</w:t>
            </w:r>
          </w:p>
        </w:tc>
        <w:tc>
          <w:tcPr>
            <w:tcW w:w="1920" w:type="dxa"/>
            <w:vAlign w:val="bottom"/>
            <w:gridSpan w:val="2"/>
          </w:tcPr>
          <w:p>
            <w:pPr>
              <w:jc w:val="right"/>
              <w:ind w:right="20"/>
              <w:spacing w:after="0"/>
              <w:rPr>
                <w:sz w:val="20"/>
                <w:szCs w:val="20"/>
                <w:color w:val="auto"/>
              </w:rPr>
            </w:pPr>
            <w:r>
              <w:rPr>
                <w:rFonts w:ascii="Arial" w:cs="Arial" w:eastAsia="Arial" w:hAnsi="Arial"/>
                <w:sz w:val="16"/>
                <w:szCs w:val="16"/>
                <w:color w:val="auto"/>
              </w:rPr>
              <w:t>79,526</w:t>
            </w:r>
          </w:p>
        </w:tc>
        <w:tc>
          <w:tcPr>
            <w:tcW w:w="1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92,825</w:t>
            </w:r>
          </w:p>
        </w:tc>
        <w:tc>
          <w:tcPr>
            <w:tcW w:w="100" w:type="dxa"/>
            <w:vAlign w:val="bottom"/>
          </w:tcPr>
          <w:p>
            <w:pPr>
              <w:spacing w:after="0"/>
              <w:rPr>
                <w:sz w:val="18"/>
                <w:szCs w:val="18"/>
                <w:color w:val="auto"/>
              </w:rPr>
            </w:pPr>
          </w:p>
        </w:tc>
      </w:tr>
      <w:tr>
        <w:trPr>
          <w:trHeight w:val="219"/>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Other investments</w:t>
            </w:r>
          </w:p>
        </w:tc>
        <w:tc>
          <w:tcPr>
            <w:tcW w:w="20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(6,630)</w:t>
            </w:r>
          </w:p>
        </w:tc>
      </w:tr>
      <w:tr>
        <w:trPr>
          <w:trHeight w:val="213"/>
        </w:trPr>
        <w:tc>
          <w:tcPr>
            <w:tcW w:w="7320" w:type="dxa"/>
            <w:vAlign w:val="bottom"/>
          </w:tcPr>
          <w:p>
            <w:pPr>
              <w:spacing w:after="0"/>
              <w:rPr>
                <w:sz w:val="20"/>
                <w:szCs w:val="20"/>
                <w:color w:val="auto"/>
              </w:rPr>
            </w:pPr>
            <w:r>
              <w:rPr>
                <w:rFonts w:ascii="Arial" w:cs="Arial" w:eastAsia="Arial" w:hAnsi="Arial"/>
                <w:sz w:val="16"/>
                <w:szCs w:val="16"/>
                <w:color w:val="auto"/>
              </w:rPr>
              <w:t>Payments for right-of-use assets</w:t>
            </w:r>
          </w:p>
        </w:tc>
        <w:tc>
          <w:tcPr>
            <w:tcW w:w="20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900" w:type="dxa"/>
            <w:vAlign w:val="bottom"/>
            <w:gridSpan w:val="2"/>
          </w:tcPr>
          <w:p>
            <w:pPr>
              <w:jc w:val="right"/>
              <w:ind w:right="60"/>
              <w:spacing w:after="0"/>
              <w:rPr>
                <w:sz w:val="20"/>
                <w:szCs w:val="20"/>
                <w:color w:val="auto"/>
              </w:rPr>
            </w:pPr>
            <w:r>
              <w:rPr>
                <w:rFonts w:ascii="Arial" w:cs="Arial" w:eastAsia="Arial" w:hAnsi="Arial"/>
                <w:sz w:val="16"/>
                <w:szCs w:val="16"/>
                <w:color w:val="auto"/>
              </w:rPr>
              <w:t>(760)</w:t>
            </w:r>
          </w:p>
        </w:tc>
      </w:tr>
      <w:tr>
        <w:trPr>
          <w:trHeight w:val="219"/>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Purchase of short-term cash deposits</w:t>
            </w:r>
          </w:p>
        </w:tc>
        <w:tc>
          <w:tcPr>
            <w:tcW w:w="20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(72,500)</w:t>
            </w:r>
          </w:p>
        </w:tc>
      </w:tr>
      <w:tr>
        <w:trPr>
          <w:trHeight w:val="213"/>
        </w:trPr>
        <w:tc>
          <w:tcPr>
            <w:tcW w:w="7320" w:type="dxa"/>
            <w:vAlign w:val="bottom"/>
          </w:tcPr>
          <w:p>
            <w:pPr>
              <w:spacing w:after="0"/>
              <w:rPr>
                <w:sz w:val="20"/>
                <w:szCs w:val="20"/>
                <w:color w:val="auto"/>
              </w:rPr>
            </w:pPr>
            <w:r>
              <w:rPr>
                <w:rFonts w:ascii="Arial" w:cs="Arial" w:eastAsia="Arial" w:hAnsi="Arial"/>
                <w:sz w:val="16"/>
                <w:szCs w:val="16"/>
                <w:color w:val="auto"/>
              </w:rPr>
              <w:t>Maturity of short-term cash deposits</w:t>
            </w:r>
          </w:p>
        </w:tc>
        <w:tc>
          <w:tcPr>
            <w:tcW w:w="20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17,000</w:t>
            </w:r>
          </w:p>
        </w:tc>
        <w:tc>
          <w:tcPr>
            <w:tcW w:w="100" w:type="dxa"/>
            <w:vAlign w:val="bottom"/>
          </w:tcPr>
          <w:p>
            <w:pPr>
              <w:spacing w:after="0"/>
              <w:rPr>
                <w:sz w:val="18"/>
                <w:szCs w:val="18"/>
                <w:color w:val="auto"/>
              </w:rPr>
            </w:pPr>
          </w:p>
        </w:tc>
      </w:tr>
      <w:tr>
        <w:trPr>
          <w:trHeight w:val="219"/>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Financial income received</w:t>
            </w:r>
          </w:p>
        </w:tc>
        <w:tc>
          <w:tcPr>
            <w:tcW w:w="1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3,095</w:t>
            </w:r>
          </w:p>
        </w:tc>
        <w:tc>
          <w:tcPr>
            <w:tcW w:w="100" w:type="dxa"/>
            <w:vAlign w:val="bottom"/>
            <w:shd w:val="clear" w:color="auto" w:fill="CCEEFF"/>
          </w:tcPr>
          <w:p>
            <w:pPr>
              <w:spacing w:after="0"/>
              <w:rPr>
                <w:sz w:val="19"/>
                <w:szCs w:val="19"/>
                <w:color w:val="auto"/>
              </w:rPr>
            </w:pPr>
          </w:p>
        </w:tc>
      </w:tr>
      <w:tr>
        <w:trPr>
          <w:trHeight w:val="207"/>
        </w:trPr>
        <w:tc>
          <w:tcPr>
            <w:tcW w:w="732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Net cash provided by investing activities</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106,553</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230,243</w:t>
            </w:r>
          </w:p>
        </w:tc>
        <w:tc>
          <w:tcPr>
            <w:tcW w:w="100" w:type="dxa"/>
            <w:vAlign w:val="bottom"/>
            <w:tcBorders>
              <w:bottom w:val="single" w:sz="8" w:color="CCEEFF"/>
            </w:tcBorders>
          </w:tcPr>
          <w:p>
            <w:pPr>
              <w:spacing w:after="0"/>
              <w:rPr>
                <w:sz w:val="17"/>
                <w:szCs w:val="17"/>
                <w:color w:val="auto"/>
              </w:rPr>
            </w:pPr>
          </w:p>
        </w:tc>
      </w:tr>
      <w:tr>
        <w:trPr>
          <w:trHeight w:val="212"/>
        </w:trPr>
        <w:tc>
          <w:tcPr>
            <w:tcW w:w="7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6"/>
                <w:szCs w:val="16"/>
                <w:color w:val="auto"/>
              </w:rPr>
              <w:t>Proceeds from loans and bonds</w:t>
            </w:r>
          </w:p>
        </w:tc>
        <w:tc>
          <w:tcPr>
            <w:tcW w:w="1920" w:type="dxa"/>
            <w:vAlign w:val="bottom"/>
            <w:gridSpan w:val="2"/>
          </w:tcPr>
          <w:p>
            <w:pPr>
              <w:jc w:val="right"/>
              <w:ind w:right="20"/>
              <w:spacing w:after="0"/>
              <w:rPr>
                <w:sz w:val="20"/>
                <w:szCs w:val="20"/>
                <w:color w:val="auto"/>
              </w:rPr>
            </w:pPr>
            <w:r>
              <w:rPr>
                <w:rFonts w:ascii="Arial" w:cs="Arial" w:eastAsia="Arial" w:hAnsi="Arial"/>
                <w:sz w:val="16"/>
                <w:szCs w:val="16"/>
                <w:color w:val="auto"/>
              </w:rPr>
              <w:t>315,000</w:t>
            </w:r>
          </w:p>
        </w:tc>
        <w:tc>
          <w:tcPr>
            <w:tcW w:w="1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61,549</w:t>
            </w:r>
          </w:p>
        </w:tc>
        <w:tc>
          <w:tcPr>
            <w:tcW w:w="100" w:type="dxa"/>
            <w:vAlign w:val="bottom"/>
          </w:tcPr>
          <w:p>
            <w:pPr>
              <w:spacing w:after="0"/>
              <w:rPr>
                <w:sz w:val="18"/>
                <w:szCs w:val="18"/>
                <w:color w:val="auto"/>
              </w:rPr>
            </w:pPr>
          </w:p>
        </w:tc>
      </w:tr>
      <w:tr>
        <w:trPr>
          <w:trHeight w:val="219"/>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Loan and bond repayments</w:t>
            </w:r>
          </w:p>
        </w:tc>
        <w:tc>
          <w:tcPr>
            <w:tcW w:w="20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(492,099)</w:t>
            </w:r>
          </w:p>
        </w:tc>
        <w:tc>
          <w:tcPr>
            <w:tcW w:w="1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(330,807)</w:t>
            </w:r>
          </w:p>
        </w:tc>
      </w:tr>
      <w:tr>
        <w:trPr>
          <w:trHeight w:val="213"/>
        </w:trPr>
        <w:tc>
          <w:tcPr>
            <w:tcW w:w="7320" w:type="dxa"/>
            <w:vAlign w:val="bottom"/>
          </w:tcPr>
          <w:p>
            <w:pPr>
              <w:spacing w:after="0"/>
              <w:rPr>
                <w:sz w:val="20"/>
                <w:szCs w:val="20"/>
                <w:color w:val="auto"/>
              </w:rPr>
            </w:pPr>
            <w:r>
              <w:rPr>
                <w:rFonts w:ascii="Arial" w:cs="Arial" w:eastAsia="Arial" w:hAnsi="Arial"/>
                <w:sz w:val="16"/>
                <w:szCs w:val="16"/>
                <w:color w:val="auto"/>
              </w:rPr>
              <w:t>Principal elements of lease payments</w:t>
            </w:r>
          </w:p>
        </w:tc>
        <w:tc>
          <w:tcPr>
            <w:tcW w:w="2020" w:type="dxa"/>
            <w:vAlign w:val="bottom"/>
            <w:gridSpan w:val="3"/>
          </w:tcPr>
          <w:p>
            <w:pPr>
              <w:jc w:val="right"/>
              <w:ind w:right="60"/>
              <w:spacing w:after="0"/>
              <w:rPr>
                <w:sz w:val="20"/>
                <w:szCs w:val="20"/>
                <w:color w:val="auto"/>
              </w:rPr>
            </w:pPr>
            <w:r>
              <w:rPr>
                <w:rFonts w:ascii="Arial" w:cs="Arial" w:eastAsia="Arial" w:hAnsi="Arial"/>
                <w:sz w:val="16"/>
                <w:szCs w:val="16"/>
                <w:color w:val="auto"/>
              </w:rPr>
              <w:t>(7,824)</w:t>
            </w:r>
          </w:p>
        </w:tc>
        <w:tc>
          <w:tcPr>
            <w:tcW w:w="1900" w:type="dxa"/>
            <w:vAlign w:val="bottom"/>
            <w:gridSpan w:val="2"/>
          </w:tcPr>
          <w:p>
            <w:pPr>
              <w:jc w:val="right"/>
              <w:ind w:right="60"/>
              <w:spacing w:after="0"/>
              <w:rPr>
                <w:sz w:val="20"/>
                <w:szCs w:val="20"/>
                <w:color w:val="auto"/>
              </w:rPr>
            </w:pPr>
            <w:r>
              <w:rPr>
                <w:rFonts w:ascii="Arial" w:cs="Arial" w:eastAsia="Arial" w:hAnsi="Arial"/>
                <w:sz w:val="16"/>
                <w:szCs w:val="16"/>
                <w:color w:val="auto"/>
              </w:rPr>
              <w:t>(10,297)</w:t>
            </w:r>
          </w:p>
        </w:tc>
      </w:tr>
      <w:tr>
        <w:trPr>
          <w:trHeight w:val="219"/>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Interest paid</w:t>
            </w:r>
          </w:p>
        </w:tc>
        <w:tc>
          <w:tcPr>
            <w:tcW w:w="20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(45,409)</w:t>
            </w:r>
          </w:p>
        </w:tc>
        <w:tc>
          <w:tcPr>
            <w:tcW w:w="1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(62,510)</w:t>
            </w:r>
          </w:p>
        </w:tc>
      </w:tr>
      <w:tr>
        <w:trPr>
          <w:trHeight w:val="213"/>
        </w:trPr>
        <w:tc>
          <w:tcPr>
            <w:tcW w:w="7320" w:type="dxa"/>
            <w:vAlign w:val="bottom"/>
          </w:tcPr>
          <w:p>
            <w:pPr>
              <w:spacing w:after="0"/>
              <w:rPr>
                <w:sz w:val="20"/>
                <w:szCs w:val="20"/>
                <w:color w:val="auto"/>
              </w:rPr>
            </w:pPr>
            <w:r>
              <w:rPr>
                <w:rFonts w:ascii="Arial" w:cs="Arial" w:eastAsia="Arial" w:hAnsi="Arial"/>
                <w:sz w:val="16"/>
                <w:szCs w:val="16"/>
                <w:color w:val="auto"/>
              </w:rPr>
              <w:t>Release of cash collaterals for swaps</w:t>
            </w:r>
          </w:p>
        </w:tc>
        <w:tc>
          <w:tcPr>
            <w:tcW w:w="1920" w:type="dxa"/>
            <w:vAlign w:val="bottom"/>
            <w:gridSpan w:val="2"/>
          </w:tcPr>
          <w:p>
            <w:pPr>
              <w:jc w:val="right"/>
              <w:ind w:right="20"/>
              <w:spacing w:after="0"/>
              <w:rPr>
                <w:sz w:val="20"/>
                <w:szCs w:val="20"/>
                <w:color w:val="auto"/>
              </w:rPr>
            </w:pPr>
            <w:r>
              <w:rPr>
                <w:rFonts w:ascii="Arial" w:cs="Arial" w:eastAsia="Arial" w:hAnsi="Arial"/>
                <w:sz w:val="16"/>
                <w:szCs w:val="16"/>
                <w:color w:val="auto"/>
              </w:rPr>
              <w:t>990</w:t>
            </w:r>
          </w:p>
        </w:tc>
        <w:tc>
          <w:tcPr>
            <w:tcW w:w="100" w:type="dxa"/>
            <w:vAlign w:val="bottom"/>
          </w:tcPr>
          <w:p>
            <w:pPr>
              <w:spacing w:after="0"/>
              <w:rPr>
                <w:sz w:val="18"/>
                <w:szCs w:val="18"/>
                <w:color w:val="auto"/>
              </w:rPr>
            </w:pPr>
          </w:p>
        </w:tc>
        <w:tc>
          <w:tcPr>
            <w:tcW w:w="1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Payment of loan and bond issuance costs</w:t>
            </w:r>
          </w:p>
        </w:tc>
        <w:tc>
          <w:tcPr>
            <w:tcW w:w="20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(3,637)</w:t>
            </w:r>
          </w:p>
        </w:tc>
        <w:tc>
          <w:tcPr>
            <w:tcW w:w="1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(285)</w:t>
            </w:r>
          </w:p>
        </w:tc>
      </w:tr>
      <w:tr>
        <w:trPr>
          <w:trHeight w:val="213"/>
        </w:trPr>
        <w:tc>
          <w:tcPr>
            <w:tcW w:w="7320" w:type="dxa"/>
            <w:vAlign w:val="bottom"/>
          </w:tcPr>
          <w:p>
            <w:pPr>
              <w:spacing w:after="0"/>
              <w:rPr>
                <w:sz w:val="20"/>
                <w:szCs w:val="20"/>
                <w:color w:val="auto"/>
              </w:rPr>
            </w:pPr>
            <w:r>
              <w:rPr>
                <w:rFonts w:ascii="Arial" w:cs="Arial" w:eastAsia="Arial" w:hAnsi="Arial"/>
                <w:sz w:val="16"/>
                <w:szCs w:val="16"/>
                <w:color w:val="auto"/>
              </w:rPr>
              <w:t>Proceeds from interest rate swaps termination</w:t>
            </w:r>
          </w:p>
        </w:tc>
        <w:tc>
          <w:tcPr>
            <w:tcW w:w="20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3,706</w:t>
            </w:r>
          </w:p>
        </w:tc>
        <w:tc>
          <w:tcPr>
            <w:tcW w:w="100" w:type="dxa"/>
            <w:vAlign w:val="bottom"/>
          </w:tcPr>
          <w:p>
            <w:pPr>
              <w:spacing w:after="0"/>
              <w:rPr>
                <w:sz w:val="18"/>
                <w:szCs w:val="18"/>
                <w:color w:val="auto"/>
              </w:rPr>
            </w:pPr>
          </w:p>
        </w:tc>
      </w:tr>
      <w:tr>
        <w:trPr>
          <w:trHeight w:val="219"/>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Payment of equity raising costs</w:t>
            </w:r>
          </w:p>
        </w:tc>
        <w:tc>
          <w:tcPr>
            <w:tcW w:w="20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(20)</w:t>
            </w: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13"/>
        </w:trPr>
        <w:tc>
          <w:tcPr>
            <w:tcW w:w="7320" w:type="dxa"/>
            <w:vAlign w:val="bottom"/>
          </w:tcPr>
          <w:p>
            <w:pPr>
              <w:spacing w:after="0"/>
              <w:rPr>
                <w:sz w:val="20"/>
                <w:szCs w:val="20"/>
                <w:color w:val="auto"/>
              </w:rPr>
            </w:pPr>
            <w:r>
              <w:rPr>
                <w:rFonts w:ascii="Arial" w:cs="Arial" w:eastAsia="Arial" w:hAnsi="Arial"/>
                <w:sz w:val="16"/>
                <w:szCs w:val="16"/>
                <w:color w:val="auto"/>
              </w:rPr>
              <w:t>Dividends paid (common and preference)</w:t>
            </w:r>
          </w:p>
        </w:tc>
        <w:tc>
          <w:tcPr>
            <w:tcW w:w="2020" w:type="dxa"/>
            <w:vAlign w:val="bottom"/>
            <w:gridSpan w:val="3"/>
          </w:tcPr>
          <w:p>
            <w:pPr>
              <w:jc w:val="right"/>
              <w:ind w:right="60"/>
              <w:spacing w:after="0"/>
              <w:rPr>
                <w:sz w:val="20"/>
                <w:szCs w:val="20"/>
                <w:color w:val="auto"/>
              </w:rPr>
            </w:pPr>
            <w:r>
              <w:rPr>
                <w:rFonts w:ascii="Arial" w:cs="Arial" w:eastAsia="Arial" w:hAnsi="Arial"/>
                <w:sz w:val="16"/>
                <w:szCs w:val="16"/>
                <w:color w:val="auto"/>
              </w:rPr>
              <w:t>(31,318)</w:t>
            </w:r>
          </w:p>
        </w:tc>
        <w:tc>
          <w:tcPr>
            <w:tcW w:w="1900" w:type="dxa"/>
            <w:vAlign w:val="bottom"/>
            <w:gridSpan w:val="2"/>
          </w:tcPr>
          <w:p>
            <w:pPr>
              <w:jc w:val="right"/>
              <w:ind w:right="60"/>
              <w:spacing w:after="0"/>
              <w:rPr>
                <w:sz w:val="20"/>
                <w:szCs w:val="20"/>
                <w:color w:val="auto"/>
              </w:rPr>
            </w:pPr>
            <w:r>
              <w:rPr>
                <w:rFonts w:ascii="Arial" w:cs="Arial" w:eastAsia="Arial" w:hAnsi="Arial"/>
                <w:sz w:val="16"/>
                <w:szCs w:val="16"/>
                <w:color w:val="auto"/>
              </w:rPr>
              <w:t>(20,828)</w:t>
            </w:r>
          </w:p>
        </w:tc>
      </w:tr>
      <w:tr>
        <w:trPr>
          <w:trHeight w:val="219"/>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Repurchase of GasLog Partners’ preference units</w:t>
            </w:r>
          </w:p>
        </w:tc>
        <w:tc>
          <w:tcPr>
            <w:tcW w:w="20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(10,002)</w:t>
            </w: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07"/>
        </w:trPr>
        <w:tc>
          <w:tcPr>
            <w:tcW w:w="732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Net cash used in financing activities</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(274,319)</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(359,472)</w:t>
            </w:r>
          </w:p>
        </w:tc>
        <w:tc>
          <w:tcPr>
            <w:tcW w:w="100" w:type="dxa"/>
            <w:vAlign w:val="bottom"/>
            <w:tcBorders>
              <w:bottom w:val="single" w:sz="8" w:color="CCEEFF"/>
            </w:tcBorders>
          </w:tcPr>
          <w:p>
            <w:pPr>
              <w:spacing w:after="0"/>
              <w:rPr>
                <w:sz w:val="17"/>
                <w:szCs w:val="17"/>
                <w:color w:val="auto"/>
              </w:rPr>
            </w:pPr>
          </w:p>
        </w:tc>
      </w:tr>
      <w:tr>
        <w:trPr>
          <w:trHeight w:val="212"/>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Effects of exchange rate changes on cash and cash equivalents</w:t>
            </w:r>
          </w:p>
        </w:tc>
        <w:tc>
          <w:tcPr>
            <w:tcW w:w="20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(305)</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w:t>
            </w:r>
          </w:p>
        </w:tc>
        <w:tc>
          <w:tcPr>
            <w:tcW w:w="100" w:type="dxa"/>
            <w:vAlign w:val="bottom"/>
            <w:shd w:val="clear" w:color="auto" w:fill="CCEEFF"/>
          </w:tcPr>
          <w:p>
            <w:pPr>
              <w:spacing w:after="0"/>
              <w:rPr>
                <w:sz w:val="18"/>
                <w:szCs w:val="18"/>
                <w:color w:val="auto"/>
              </w:rPr>
            </w:pPr>
          </w:p>
        </w:tc>
      </w:tr>
      <w:tr>
        <w:trPr>
          <w:trHeight w:val="207"/>
        </w:trPr>
        <w:tc>
          <w:tcPr>
            <w:tcW w:w="732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(Decrease)/increase in cash and cash equivalents</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(18,762)</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44,840</w:t>
            </w:r>
          </w:p>
        </w:tc>
        <w:tc>
          <w:tcPr>
            <w:tcW w:w="100" w:type="dxa"/>
            <w:vAlign w:val="bottom"/>
            <w:tcBorders>
              <w:bottom w:val="single" w:sz="8" w:color="CCEEFF"/>
            </w:tcBorders>
          </w:tcPr>
          <w:p>
            <w:pPr>
              <w:spacing w:after="0"/>
              <w:rPr>
                <w:sz w:val="17"/>
                <w:szCs w:val="17"/>
                <w:color w:val="auto"/>
              </w:rPr>
            </w:pPr>
          </w:p>
        </w:tc>
      </w:tr>
      <w:tr>
        <w:trPr>
          <w:trHeight w:val="212"/>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beginning of the period</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282,246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368,286</w:t>
            </w:r>
          </w:p>
        </w:tc>
        <w:tc>
          <w:tcPr>
            <w:tcW w:w="100" w:type="dxa"/>
            <w:vAlign w:val="bottom"/>
            <w:shd w:val="clear" w:color="auto" w:fill="CCEEFF"/>
          </w:tcPr>
          <w:p>
            <w:pPr>
              <w:spacing w:after="0"/>
              <w:rPr>
                <w:sz w:val="18"/>
                <w:szCs w:val="18"/>
                <w:color w:val="auto"/>
              </w:rPr>
            </w:pPr>
          </w:p>
        </w:tc>
      </w:tr>
      <w:tr>
        <w:trPr>
          <w:trHeight w:val="247"/>
        </w:trPr>
        <w:tc>
          <w:tcPr>
            <w:tcW w:w="7320" w:type="dxa"/>
            <w:vAlign w:val="bottom"/>
          </w:tcPr>
          <w:p>
            <w:pPr>
              <w:spacing w:after="0"/>
              <w:rPr>
                <w:sz w:val="20"/>
                <w:szCs w:val="20"/>
                <w:color w:val="auto"/>
              </w:rPr>
            </w:pPr>
            <w:r>
              <w:rPr>
                <w:rFonts w:ascii="Arial" w:cs="Arial" w:eastAsia="Arial" w:hAnsi="Arial"/>
                <w:sz w:val="16"/>
                <w:szCs w:val="16"/>
                <w:b w:val="1"/>
                <w:bCs w:val="1"/>
                <w:color w:val="auto"/>
              </w:rPr>
              <w:t>Cash and cash equivalents, end of the period</w:t>
            </w:r>
          </w:p>
        </w:tc>
        <w:tc>
          <w:tcPr>
            <w:tcW w:w="1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263,484</w:t>
            </w:r>
          </w:p>
        </w:tc>
        <w:tc>
          <w:tcPr>
            <w:tcW w:w="100" w:type="dxa"/>
            <w:vAlign w:val="bottom"/>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413,126</w:t>
            </w:r>
          </w:p>
        </w:tc>
        <w:tc>
          <w:tcPr>
            <w:tcW w:w="100" w:type="dxa"/>
            <w:vAlign w:val="bottom"/>
          </w:tcPr>
          <w:p>
            <w:pPr>
              <w:spacing w:after="0"/>
              <w:rPr>
                <w:sz w:val="21"/>
                <w:szCs w:val="21"/>
                <w:color w:val="auto"/>
              </w:rPr>
            </w:pPr>
          </w:p>
        </w:tc>
      </w:tr>
      <w:tr>
        <w:trPr>
          <w:trHeight w:val="20"/>
        </w:trPr>
        <w:tc>
          <w:tcPr>
            <w:tcW w:w="73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-5777230</wp:posOffset>
            </wp:positionV>
            <wp:extent cx="68580" cy="57607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5760720"/>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auto"/>
        </w:rPr>
        <w:t>EXHIBIT II</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EBITDA, Adjusted EBITDA and Adjusted Profit</w:t>
      </w:r>
    </w:p>
    <w:p>
      <w:pPr>
        <w:spacing w:after="0" w:line="225" w:lineRule="exact"/>
        <w:rPr>
          <w:sz w:val="20"/>
          <w:szCs w:val="20"/>
          <w:color w:val="auto"/>
        </w:rPr>
      </w:pPr>
    </w:p>
    <w:p>
      <w:pPr>
        <w:ind w:right="40"/>
        <w:spacing w:after="0" w:line="284" w:lineRule="auto"/>
        <w:rPr>
          <w:sz w:val="20"/>
          <w:szCs w:val="20"/>
          <w:color w:val="auto"/>
        </w:rPr>
      </w:pPr>
      <w:r>
        <w:rPr>
          <w:rFonts w:ascii="Arial" w:cs="Arial" w:eastAsia="Arial" w:hAnsi="Arial"/>
          <w:sz w:val="15"/>
          <w:szCs w:val="15"/>
          <w:color w:val="auto"/>
        </w:rPr>
        <w:t>EBITDA is defined as earnings before depreciation, amortization, financial income and costs, gain/loss on derivatives and taxes. Adjusted EBITDA is defined as EBITDA before foreign exchange gains/losses, impairment loss, gain/loss on disposal of non-current assets, restructuring costs and the costs relating to the 2022 take-private transaction with BlackRock’s Global Energy &amp; Power Infrastructure team and the Transaction (collectively such costs, the “Transaction Costs”). Adjusted Profit represents earnings before write-off and accelerated amortization of unamortized loan fees/bond fees and premium, foreign exchange gains/losses, unrealized foreign exchange losses on cash and bond, impairment loss, swap optimization costs (with respect to cash collateral amendments), gain/loss on disposal of non-current assets, restructuring costs, Transaction Costs and non-cash gain/loss on derivatives that includes (if any) (a) unrealized gain/loss on derivative financial instruments held for trading, (b) recycled loss of cash flow hedges reclassified to profit or loss and (c) ineffective portion of cash flow hedges. EBITDA, Adjusted EBITDA and Adjusted Profit are non-GAAP financial measures that are used as supplemental financial measures by management and external users of financial statements, such as investors, to assess our financial and operating performance. We believe that these non-GAAP financial measures assist our management and investors by increasing the comparability of our performance from period to period. We believe that including EBITDA, Adjusted EBITDA and Adjusted Profit assists our management and investors in (i) understanding and analyzing the results of our operating and business performance, (ii) selecting between investing in us and other investment alternatives and (iii) monitoring our ongoing financial and operational strength in assessing whether to purchase and/or to continue to hold our common shares. This is achieved by excluding the potentially disparate effects between periods of, in the case of EBITDA and Adjusted EBITDA, financial costs, gain/loss on derivatives, taxes, depreciation and amortization; in the case of Adjusted EBITDA, foreign exchange gains/losses, impairment loss, gain/loss on disposal of non-current assets, restructuring costs and Transaction Costs; and in the case of Adjusted Profit, write-off and accelerated amortization of unamortized loan/bond fees and premium, foreign exchange gains/losses, unrealized foreign exchange losses on cash and bond, impairment loss, swap optimization costs (with respect to cash collateral amendments), gain/loss on disposal of non-current assets, restructuring costs, Transaction Costs and non-cash gain/loss on derivatives, which items are affected by various and possibly changing financing methods, financial market conditions, capital structure and historical cost basis, and which items may significantly affect results of operations between periods.</w:t>
      </w:r>
    </w:p>
    <w:p>
      <w:pPr>
        <w:spacing w:after="0" w:line="187" w:lineRule="exact"/>
        <w:rPr>
          <w:sz w:val="20"/>
          <w:szCs w:val="20"/>
          <w:color w:val="auto"/>
        </w:rPr>
      </w:pPr>
    </w:p>
    <w:p>
      <w:pPr>
        <w:ind w:right="20"/>
        <w:spacing w:after="0" w:line="289" w:lineRule="auto"/>
        <w:rPr>
          <w:sz w:val="20"/>
          <w:szCs w:val="20"/>
          <w:color w:val="auto"/>
        </w:rPr>
      </w:pPr>
      <w:r>
        <w:rPr>
          <w:rFonts w:ascii="Arial" w:cs="Arial" w:eastAsia="Arial" w:hAnsi="Arial"/>
          <w:sz w:val="15"/>
          <w:szCs w:val="15"/>
          <w:color w:val="auto"/>
        </w:rPr>
        <w:t>EBITDA, Adjusted EBITDA and Adjusted Profit have limitations as analytical tools and should not be considered as alternatives to, or as substitutes for, or superior to, profit, profit from operations, or any other measure of operating performance presented in accordance with IFRS. Some of these limitations include the fact that they do not reflect (i) our cash expenditures or future requirements for capital expenditures or contractual commitments, (ii) changes in, or cash requirements for, our working capital needs and (iii) the cash requirements necessary to service interest or principal payments on our debt. Although depreciation and amortization are non-cash charges, the assets being depreciated and amortized will have to be replaced in the future, and EBITDA and Adjusted EBITDA do not reflect any cash requirements for such replacements. EBITDA, Adjusted EBITDA and Adjusted Profit are not adjusted for all non-cash income or expense items that are reflected in our statements of cash flows and other companies in our industry may calculate these measures differently than we do, limiting their usefulness as a comparative measure.</w:t>
      </w:r>
    </w:p>
    <w:p>
      <w:pPr>
        <w:spacing w:after="0" w:line="166"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In evaluating Adjusted EBITDA and Adjusted Profit, you should be aware that in the future we may incur expenses that are the same as, or similar to, some of the adjustments in this presentation. Our presentation of Adjusted EBITDA and Adjusted Profit should not be construed as an inference that our future results will be unaffected by the excluded items. Therefore, the non-GAAP financial measures as presented below may not be comparable to similarly titled measures of other companies in the shipping or other industries.</w:t>
      </w: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Reconciliation of Profit to EBITDA and Adjusted EBITDA:</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expressed in thousands of U.S. Dollars)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20" w:type="dxa"/>
            <w:vAlign w:val="bottom"/>
          </w:tcPr>
          <w:p>
            <w:pPr>
              <w:spacing w:after="0"/>
              <w:rPr>
                <w:sz w:val="18"/>
                <w:szCs w:val="18"/>
                <w:color w:val="auto"/>
              </w:rPr>
            </w:pPr>
          </w:p>
        </w:tc>
        <w:tc>
          <w:tcPr>
            <w:tcW w:w="3820" w:type="dxa"/>
            <w:vAlign w:val="bottom"/>
            <w:gridSpan w:val="5"/>
          </w:tcPr>
          <w:p>
            <w:pPr>
              <w:jc w:val="right"/>
              <w:ind w:right="1060"/>
              <w:spacing w:after="0"/>
              <w:rPr>
                <w:sz w:val="20"/>
                <w:szCs w:val="20"/>
                <w:color w:val="auto"/>
              </w:rPr>
            </w:pPr>
            <w:r>
              <w:rPr>
                <w:rFonts w:ascii="Arial" w:cs="Arial" w:eastAsia="Arial" w:hAnsi="Arial"/>
                <w:sz w:val="16"/>
                <w:szCs w:val="16"/>
                <w:b w:val="1"/>
                <w:bCs w:val="1"/>
                <w:color w:val="auto"/>
              </w:rPr>
              <w:t>For the three months ended</w:t>
            </w:r>
          </w:p>
        </w:tc>
      </w:tr>
      <w:tr>
        <w:trPr>
          <w:trHeight w:val="219"/>
        </w:trPr>
        <w:tc>
          <w:tcPr>
            <w:tcW w:w="7420" w:type="dxa"/>
            <w:vAlign w:val="bottom"/>
          </w:tcPr>
          <w:p>
            <w:pPr>
              <w:spacing w:after="0"/>
              <w:rPr>
                <w:sz w:val="19"/>
                <w:szCs w:val="19"/>
                <w:color w:val="auto"/>
              </w:rPr>
            </w:pPr>
          </w:p>
        </w:tc>
        <w:tc>
          <w:tcPr>
            <w:tcW w:w="1920" w:type="dxa"/>
            <w:vAlign w:val="bottom"/>
            <w:gridSpan w:val="3"/>
          </w:tcPr>
          <w:p>
            <w:pPr>
              <w:jc w:val="right"/>
              <w:ind w:right="540"/>
              <w:spacing w:after="0"/>
              <w:rPr>
                <w:sz w:val="20"/>
                <w:szCs w:val="20"/>
                <w:color w:val="auto"/>
              </w:rPr>
            </w:pPr>
            <w:r>
              <w:rPr>
                <w:rFonts w:ascii="Arial" w:cs="Arial" w:eastAsia="Arial" w:hAnsi="Arial"/>
                <w:sz w:val="16"/>
                <w:szCs w:val="16"/>
                <w:b w:val="1"/>
                <w:bCs w:val="1"/>
                <w:color w:val="auto"/>
              </w:rPr>
              <w:t>March 31, 2022</w:t>
            </w:r>
          </w:p>
        </w:tc>
        <w:tc>
          <w:tcPr>
            <w:tcW w:w="190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March 31, 2023</w:t>
            </w:r>
          </w:p>
        </w:tc>
      </w:tr>
      <w:tr>
        <w:trPr>
          <w:trHeight w:val="199"/>
        </w:trPr>
        <w:tc>
          <w:tcPr>
            <w:tcW w:w="7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Profit for the period</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71,052</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45,024</w:t>
            </w:r>
          </w:p>
        </w:tc>
        <w:tc>
          <w:tcPr>
            <w:tcW w:w="100" w:type="dxa"/>
            <w:vAlign w:val="bottom"/>
            <w:tcBorders>
              <w:top w:val="single" w:sz="8" w:color="CCEEFF"/>
            </w:tcBorders>
            <w:shd w:val="clear" w:color="auto" w:fill="CCEEFF"/>
          </w:tcPr>
          <w:p>
            <w:pPr>
              <w:spacing w:after="0"/>
              <w:rPr>
                <w:sz w:val="17"/>
                <w:szCs w:val="17"/>
                <w:color w:val="auto"/>
              </w:rPr>
            </w:pPr>
          </w:p>
        </w:tc>
      </w:tr>
      <w:tr>
        <w:trPr>
          <w:trHeight w:val="213"/>
        </w:trPr>
        <w:tc>
          <w:tcPr>
            <w:tcW w:w="7420" w:type="dxa"/>
            <w:vAlign w:val="bottom"/>
          </w:tcPr>
          <w:p>
            <w:pPr>
              <w:spacing w:after="0"/>
              <w:rPr>
                <w:sz w:val="20"/>
                <w:szCs w:val="20"/>
                <w:color w:val="auto"/>
              </w:rPr>
            </w:pPr>
            <w:r>
              <w:rPr>
                <w:rFonts w:ascii="Arial" w:cs="Arial" w:eastAsia="Arial" w:hAnsi="Arial"/>
                <w:sz w:val="16"/>
                <w:szCs w:val="16"/>
                <w:color w:val="auto"/>
              </w:rPr>
              <w:t>Depreciation</w:t>
            </w:r>
          </w:p>
        </w:tc>
        <w:tc>
          <w:tcPr>
            <w:tcW w:w="1820" w:type="dxa"/>
            <w:vAlign w:val="bottom"/>
            <w:gridSpan w:val="2"/>
          </w:tcPr>
          <w:p>
            <w:pPr>
              <w:jc w:val="right"/>
              <w:ind w:right="20"/>
              <w:spacing w:after="0"/>
              <w:rPr>
                <w:sz w:val="20"/>
                <w:szCs w:val="20"/>
                <w:color w:val="auto"/>
              </w:rPr>
            </w:pPr>
            <w:r>
              <w:rPr>
                <w:rFonts w:ascii="Arial" w:cs="Arial" w:eastAsia="Arial" w:hAnsi="Arial"/>
                <w:sz w:val="16"/>
                <w:szCs w:val="16"/>
                <w:color w:val="auto"/>
              </w:rPr>
              <w:t>54,833</w:t>
            </w:r>
          </w:p>
        </w:tc>
        <w:tc>
          <w:tcPr>
            <w:tcW w:w="1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56,234</w:t>
            </w:r>
          </w:p>
        </w:tc>
        <w:tc>
          <w:tcPr>
            <w:tcW w:w="100" w:type="dxa"/>
            <w:vAlign w:val="bottom"/>
          </w:tcPr>
          <w:p>
            <w:pPr>
              <w:spacing w:after="0"/>
              <w:rPr>
                <w:sz w:val="18"/>
                <w:szCs w:val="18"/>
                <w:color w:val="auto"/>
              </w:rPr>
            </w:pPr>
          </w:p>
        </w:tc>
      </w:tr>
      <w:tr>
        <w:trPr>
          <w:trHeight w:val="219"/>
        </w:trPr>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Financial costs</w:t>
            </w: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37,369</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64,497</w:t>
            </w:r>
          </w:p>
        </w:tc>
        <w:tc>
          <w:tcPr>
            <w:tcW w:w="100" w:type="dxa"/>
            <w:vAlign w:val="bottom"/>
            <w:shd w:val="clear" w:color="auto" w:fill="CCEEFF"/>
          </w:tcPr>
          <w:p>
            <w:pPr>
              <w:spacing w:after="0"/>
              <w:rPr>
                <w:sz w:val="19"/>
                <w:szCs w:val="19"/>
                <w:color w:val="auto"/>
              </w:rPr>
            </w:pPr>
          </w:p>
        </w:tc>
      </w:tr>
      <w:tr>
        <w:trPr>
          <w:trHeight w:val="213"/>
        </w:trPr>
        <w:tc>
          <w:tcPr>
            <w:tcW w:w="7420" w:type="dxa"/>
            <w:vAlign w:val="bottom"/>
          </w:tcPr>
          <w:p>
            <w:pPr>
              <w:spacing w:after="0"/>
              <w:rPr>
                <w:sz w:val="20"/>
                <w:szCs w:val="20"/>
                <w:color w:val="auto"/>
              </w:rPr>
            </w:pPr>
            <w:r>
              <w:rPr>
                <w:rFonts w:ascii="Arial" w:cs="Arial" w:eastAsia="Arial" w:hAnsi="Arial"/>
                <w:sz w:val="16"/>
                <w:szCs w:val="16"/>
                <w:color w:val="auto"/>
              </w:rPr>
              <w:t>Financial income</w:t>
            </w:r>
          </w:p>
        </w:tc>
        <w:tc>
          <w:tcPr>
            <w:tcW w:w="1920" w:type="dxa"/>
            <w:vAlign w:val="bottom"/>
            <w:gridSpan w:val="3"/>
          </w:tcPr>
          <w:p>
            <w:pPr>
              <w:jc w:val="right"/>
              <w:ind w:right="60"/>
              <w:spacing w:after="0"/>
              <w:rPr>
                <w:sz w:val="20"/>
                <w:szCs w:val="20"/>
                <w:color w:val="auto"/>
              </w:rPr>
            </w:pPr>
            <w:r>
              <w:rPr>
                <w:rFonts w:ascii="Arial" w:cs="Arial" w:eastAsia="Arial" w:hAnsi="Arial"/>
                <w:sz w:val="16"/>
                <w:szCs w:val="16"/>
                <w:color w:val="auto"/>
              </w:rPr>
              <w:t>(59)</w:t>
            </w:r>
          </w:p>
        </w:tc>
        <w:tc>
          <w:tcPr>
            <w:tcW w:w="1900" w:type="dxa"/>
            <w:vAlign w:val="bottom"/>
            <w:gridSpan w:val="2"/>
          </w:tcPr>
          <w:p>
            <w:pPr>
              <w:jc w:val="right"/>
              <w:ind w:right="60"/>
              <w:spacing w:after="0"/>
              <w:rPr>
                <w:sz w:val="20"/>
                <w:szCs w:val="20"/>
                <w:color w:val="auto"/>
              </w:rPr>
            </w:pPr>
            <w:r>
              <w:rPr>
                <w:rFonts w:ascii="Arial" w:cs="Arial" w:eastAsia="Arial" w:hAnsi="Arial"/>
                <w:sz w:val="16"/>
                <w:szCs w:val="16"/>
                <w:color w:val="auto"/>
              </w:rPr>
              <w:t>(4,039)</w:t>
            </w:r>
          </w:p>
        </w:tc>
      </w:tr>
      <w:tr>
        <w:trPr>
          <w:trHeight w:val="219"/>
        </w:trPr>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(Gain)/loss on derivatives</w:t>
            </w:r>
          </w:p>
        </w:tc>
        <w:tc>
          <w:tcPr>
            <w:tcW w:w="19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(37,401)</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3,670</w:t>
            </w:r>
          </w:p>
        </w:tc>
        <w:tc>
          <w:tcPr>
            <w:tcW w:w="100" w:type="dxa"/>
            <w:vAlign w:val="bottom"/>
            <w:shd w:val="clear" w:color="auto" w:fill="CCEEFF"/>
          </w:tcPr>
          <w:p>
            <w:pPr>
              <w:spacing w:after="0"/>
              <w:rPr>
                <w:sz w:val="19"/>
                <w:szCs w:val="19"/>
                <w:color w:val="auto"/>
              </w:rPr>
            </w:pPr>
          </w:p>
        </w:tc>
      </w:tr>
      <w:tr>
        <w:trPr>
          <w:trHeight w:val="196"/>
        </w:trPr>
        <w:tc>
          <w:tcPr>
            <w:tcW w:w="742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EBITDA</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125,794</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165,386</w:t>
            </w:r>
          </w:p>
        </w:tc>
        <w:tc>
          <w:tcPr>
            <w:tcW w:w="100" w:type="dxa"/>
            <w:vAlign w:val="bottom"/>
            <w:tcBorders>
              <w:bottom w:val="single" w:sz="8" w:color="CCEEFF"/>
            </w:tcBorders>
          </w:tcPr>
          <w:p>
            <w:pPr>
              <w:spacing w:after="0"/>
              <w:rPr>
                <w:sz w:val="17"/>
                <w:szCs w:val="17"/>
                <w:color w:val="auto"/>
              </w:rPr>
            </w:pPr>
          </w:p>
        </w:tc>
      </w:tr>
      <w:tr>
        <w:trPr>
          <w:trHeight w:val="196"/>
        </w:trPr>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Foreign exchange losses, net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w:t>
            </w:r>
          </w:p>
        </w:tc>
        <w:tc>
          <w:tcPr>
            <w:tcW w:w="100" w:type="dxa"/>
            <w:vAlign w:val="bottom"/>
            <w:shd w:val="clear" w:color="auto" w:fill="CCEEFF"/>
          </w:tcPr>
          <w:p>
            <w:pPr>
              <w:spacing w:after="0"/>
              <w:rPr>
                <w:sz w:val="17"/>
                <w:szCs w:val="17"/>
                <w:color w:val="auto"/>
              </w:rPr>
            </w:pPr>
          </w:p>
        </w:tc>
      </w:tr>
      <w:tr>
        <w:trPr>
          <w:trHeight w:val="213"/>
        </w:trPr>
        <w:tc>
          <w:tcPr>
            <w:tcW w:w="7420" w:type="dxa"/>
            <w:vAlign w:val="bottom"/>
          </w:tcPr>
          <w:p>
            <w:pPr>
              <w:spacing w:after="0"/>
              <w:rPr>
                <w:sz w:val="20"/>
                <w:szCs w:val="20"/>
                <w:color w:val="auto"/>
              </w:rPr>
            </w:pPr>
            <w:r>
              <w:rPr>
                <w:rFonts w:ascii="Arial" w:cs="Arial" w:eastAsia="Arial" w:hAnsi="Arial"/>
                <w:sz w:val="16"/>
                <w:szCs w:val="16"/>
                <w:color w:val="auto"/>
              </w:rPr>
              <w:t>Restructuring costs</w:t>
            </w:r>
          </w:p>
        </w:tc>
        <w:tc>
          <w:tcPr>
            <w:tcW w:w="1820" w:type="dxa"/>
            <w:vAlign w:val="bottom"/>
            <w:gridSpan w:val="2"/>
          </w:tcPr>
          <w:p>
            <w:pPr>
              <w:jc w:val="right"/>
              <w:ind w:right="20"/>
              <w:spacing w:after="0"/>
              <w:rPr>
                <w:sz w:val="20"/>
                <w:szCs w:val="20"/>
                <w:color w:val="auto"/>
              </w:rPr>
            </w:pPr>
            <w:r>
              <w:rPr>
                <w:rFonts w:ascii="Arial" w:cs="Arial" w:eastAsia="Arial" w:hAnsi="Arial"/>
                <w:sz w:val="16"/>
                <w:szCs w:val="16"/>
                <w:color w:val="auto"/>
              </w:rPr>
              <w:t>1,478</w:t>
            </w:r>
          </w:p>
        </w:tc>
        <w:tc>
          <w:tcPr>
            <w:tcW w:w="1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8"/>
                <w:szCs w:val="18"/>
                <w:color w:val="auto"/>
              </w:rPr>
            </w:pPr>
          </w:p>
        </w:tc>
      </w:tr>
      <w:tr>
        <w:trPr>
          <w:trHeight w:val="219"/>
        </w:trPr>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Transaction Costs</w:t>
            </w: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521</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w:t>
            </w:r>
          </w:p>
        </w:tc>
        <w:tc>
          <w:tcPr>
            <w:tcW w:w="100" w:type="dxa"/>
            <w:vAlign w:val="bottom"/>
            <w:shd w:val="clear" w:color="auto" w:fill="CCEEFF"/>
          </w:tcPr>
          <w:p>
            <w:pPr>
              <w:spacing w:after="0"/>
              <w:rPr>
                <w:sz w:val="19"/>
                <w:szCs w:val="19"/>
                <w:color w:val="auto"/>
              </w:rPr>
            </w:pPr>
          </w:p>
        </w:tc>
      </w:tr>
      <w:tr>
        <w:trPr>
          <w:trHeight w:val="213"/>
        </w:trPr>
        <w:tc>
          <w:tcPr>
            <w:tcW w:w="7420" w:type="dxa"/>
            <w:vAlign w:val="bottom"/>
          </w:tcPr>
          <w:p>
            <w:pPr>
              <w:spacing w:after="0"/>
              <w:rPr>
                <w:sz w:val="20"/>
                <w:szCs w:val="20"/>
                <w:color w:val="auto"/>
              </w:rPr>
            </w:pPr>
            <w:r>
              <w:rPr>
                <w:rFonts w:ascii="Arial" w:cs="Arial" w:eastAsia="Arial" w:hAnsi="Arial"/>
                <w:sz w:val="16"/>
                <w:szCs w:val="16"/>
                <w:color w:val="auto"/>
              </w:rPr>
              <w:t>Impairment loss</w:t>
            </w:r>
          </w:p>
        </w:tc>
        <w:tc>
          <w:tcPr>
            <w:tcW w:w="1820" w:type="dxa"/>
            <w:vAlign w:val="bottom"/>
            <w:gridSpan w:val="2"/>
          </w:tcPr>
          <w:p>
            <w:pPr>
              <w:jc w:val="right"/>
              <w:ind w:right="20"/>
              <w:spacing w:after="0"/>
              <w:rPr>
                <w:sz w:val="20"/>
                <w:szCs w:val="20"/>
                <w:color w:val="auto"/>
              </w:rPr>
            </w:pPr>
            <w:r>
              <w:rPr>
                <w:rFonts w:ascii="Arial" w:cs="Arial" w:eastAsia="Arial" w:hAnsi="Arial"/>
                <w:sz w:val="16"/>
                <w:szCs w:val="16"/>
                <w:color w:val="auto"/>
              </w:rPr>
              <w:t>28,884</w:t>
            </w:r>
          </w:p>
        </w:tc>
        <w:tc>
          <w:tcPr>
            <w:tcW w:w="1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11,740</w:t>
            </w:r>
          </w:p>
        </w:tc>
        <w:tc>
          <w:tcPr>
            <w:tcW w:w="100" w:type="dxa"/>
            <w:vAlign w:val="bottom"/>
          </w:tcPr>
          <w:p>
            <w:pPr>
              <w:spacing w:after="0"/>
              <w:rPr>
                <w:sz w:val="18"/>
                <w:szCs w:val="18"/>
                <w:color w:val="auto"/>
              </w:rPr>
            </w:pPr>
          </w:p>
        </w:tc>
      </w:tr>
      <w:tr>
        <w:trPr>
          <w:trHeight w:val="219"/>
        </w:trPr>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Loss on disposal of non-current assets</w:t>
            </w: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577</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1,309</w:t>
            </w:r>
          </w:p>
        </w:tc>
        <w:tc>
          <w:tcPr>
            <w:tcW w:w="100" w:type="dxa"/>
            <w:vAlign w:val="bottom"/>
            <w:shd w:val="clear" w:color="auto" w:fill="CCEEFF"/>
          </w:tcPr>
          <w:p>
            <w:pPr>
              <w:spacing w:after="0"/>
              <w:rPr>
                <w:sz w:val="19"/>
                <w:szCs w:val="19"/>
                <w:color w:val="auto"/>
              </w:rPr>
            </w:pPr>
          </w:p>
        </w:tc>
      </w:tr>
      <w:tr>
        <w:trPr>
          <w:trHeight w:val="203"/>
        </w:trPr>
        <w:tc>
          <w:tcPr>
            <w:tcW w:w="7420" w:type="dxa"/>
            <w:vAlign w:val="bottom"/>
          </w:tcPr>
          <w:p>
            <w:pPr>
              <w:spacing w:after="0"/>
              <w:rPr>
                <w:sz w:val="20"/>
                <w:szCs w:val="20"/>
                <w:color w:val="auto"/>
              </w:rPr>
            </w:pPr>
            <w:r>
              <w:rPr>
                <w:rFonts w:ascii="Arial" w:cs="Arial" w:eastAsia="Arial" w:hAnsi="Arial"/>
                <w:sz w:val="16"/>
                <w:szCs w:val="16"/>
                <w:b w:val="1"/>
                <w:bCs w:val="1"/>
                <w:color w:val="auto"/>
              </w:rPr>
              <w:t>Adjusted EBITDA</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157,533</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180,088</w:t>
            </w:r>
          </w:p>
        </w:tc>
        <w:tc>
          <w:tcPr>
            <w:tcW w:w="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-1936750</wp:posOffset>
            </wp:positionV>
            <wp:extent cx="68580" cy="19291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929130"/>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auto"/>
        </w:rPr>
        <w:t>Reconciliation of Profit to Adjusted Profit:</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expressed in thousands of U.S. Dollars)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20" w:type="dxa"/>
            <w:vAlign w:val="bottom"/>
          </w:tcPr>
          <w:p>
            <w:pPr>
              <w:spacing w:after="0"/>
              <w:rPr>
                <w:sz w:val="18"/>
                <w:szCs w:val="18"/>
                <w:color w:val="auto"/>
              </w:rPr>
            </w:pPr>
          </w:p>
        </w:tc>
        <w:tc>
          <w:tcPr>
            <w:tcW w:w="3820" w:type="dxa"/>
            <w:vAlign w:val="bottom"/>
            <w:gridSpan w:val="5"/>
          </w:tcPr>
          <w:p>
            <w:pPr>
              <w:jc w:val="right"/>
              <w:ind w:right="1060"/>
              <w:spacing w:after="0"/>
              <w:rPr>
                <w:sz w:val="20"/>
                <w:szCs w:val="20"/>
                <w:color w:val="auto"/>
              </w:rPr>
            </w:pPr>
            <w:r>
              <w:rPr>
                <w:rFonts w:ascii="Arial" w:cs="Arial" w:eastAsia="Arial" w:hAnsi="Arial"/>
                <w:sz w:val="16"/>
                <w:szCs w:val="16"/>
                <w:b w:val="1"/>
                <w:bCs w:val="1"/>
                <w:color w:val="auto"/>
              </w:rPr>
              <w:t>For the three months ended</w:t>
            </w:r>
          </w:p>
        </w:tc>
      </w:tr>
      <w:tr>
        <w:trPr>
          <w:trHeight w:val="219"/>
        </w:trPr>
        <w:tc>
          <w:tcPr>
            <w:tcW w:w="7420" w:type="dxa"/>
            <w:vAlign w:val="bottom"/>
          </w:tcPr>
          <w:p>
            <w:pPr>
              <w:spacing w:after="0"/>
              <w:rPr>
                <w:sz w:val="19"/>
                <w:szCs w:val="19"/>
                <w:color w:val="auto"/>
              </w:rPr>
            </w:pPr>
          </w:p>
        </w:tc>
        <w:tc>
          <w:tcPr>
            <w:tcW w:w="1920" w:type="dxa"/>
            <w:vAlign w:val="bottom"/>
            <w:gridSpan w:val="3"/>
          </w:tcPr>
          <w:p>
            <w:pPr>
              <w:jc w:val="right"/>
              <w:ind w:right="540"/>
              <w:spacing w:after="0"/>
              <w:rPr>
                <w:sz w:val="20"/>
                <w:szCs w:val="20"/>
                <w:color w:val="auto"/>
              </w:rPr>
            </w:pPr>
            <w:r>
              <w:rPr>
                <w:rFonts w:ascii="Arial" w:cs="Arial" w:eastAsia="Arial" w:hAnsi="Arial"/>
                <w:sz w:val="16"/>
                <w:szCs w:val="16"/>
                <w:b w:val="1"/>
                <w:bCs w:val="1"/>
                <w:color w:val="auto"/>
              </w:rPr>
              <w:t>March 31, 2022</w:t>
            </w:r>
          </w:p>
        </w:tc>
        <w:tc>
          <w:tcPr>
            <w:tcW w:w="190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March 31, 2023</w:t>
            </w:r>
          </w:p>
        </w:tc>
      </w:tr>
      <w:tr>
        <w:trPr>
          <w:trHeight w:val="199"/>
        </w:trPr>
        <w:tc>
          <w:tcPr>
            <w:tcW w:w="7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Profit for the period</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71,052</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45,024</w:t>
            </w:r>
          </w:p>
        </w:tc>
        <w:tc>
          <w:tcPr>
            <w:tcW w:w="100" w:type="dxa"/>
            <w:vAlign w:val="bottom"/>
            <w:tcBorders>
              <w:top w:val="single" w:sz="8" w:color="CCEEFF"/>
            </w:tcBorders>
            <w:shd w:val="clear" w:color="auto" w:fill="CCEEFF"/>
          </w:tcPr>
          <w:p>
            <w:pPr>
              <w:spacing w:after="0"/>
              <w:rPr>
                <w:sz w:val="17"/>
                <w:szCs w:val="17"/>
                <w:color w:val="auto"/>
              </w:rPr>
            </w:pPr>
          </w:p>
        </w:tc>
      </w:tr>
      <w:tr>
        <w:trPr>
          <w:trHeight w:val="213"/>
        </w:trPr>
        <w:tc>
          <w:tcPr>
            <w:tcW w:w="7420" w:type="dxa"/>
            <w:vAlign w:val="bottom"/>
          </w:tcPr>
          <w:p>
            <w:pPr>
              <w:spacing w:after="0"/>
              <w:rPr>
                <w:sz w:val="20"/>
                <w:szCs w:val="20"/>
                <w:color w:val="auto"/>
              </w:rPr>
            </w:pPr>
            <w:r>
              <w:rPr>
                <w:rFonts w:ascii="Arial" w:cs="Arial" w:eastAsia="Arial" w:hAnsi="Arial"/>
                <w:sz w:val="16"/>
                <w:szCs w:val="16"/>
                <w:color w:val="auto"/>
              </w:rPr>
              <w:t>Non-cash (gain)/loss on derivatives</w:t>
            </w:r>
          </w:p>
        </w:tc>
        <w:tc>
          <w:tcPr>
            <w:tcW w:w="1920" w:type="dxa"/>
            <w:vAlign w:val="bottom"/>
            <w:gridSpan w:val="3"/>
          </w:tcPr>
          <w:p>
            <w:pPr>
              <w:jc w:val="right"/>
              <w:ind w:right="60"/>
              <w:spacing w:after="0"/>
              <w:rPr>
                <w:sz w:val="20"/>
                <w:szCs w:val="20"/>
                <w:color w:val="auto"/>
              </w:rPr>
            </w:pPr>
            <w:r>
              <w:rPr>
                <w:rFonts w:ascii="Arial" w:cs="Arial" w:eastAsia="Arial" w:hAnsi="Arial"/>
                <w:sz w:val="16"/>
                <w:szCs w:val="16"/>
                <w:color w:val="auto"/>
              </w:rPr>
              <w:t>(46,212)</w:t>
            </w:r>
          </w:p>
        </w:tc>
        <w:tc>
          <w:tcPr>
            <w:tcW w:w="1800" w:type="dxa"/>
            <w:vAlign w:val="bottom"/>
          </w:tcPr>
          <w:p>
            <w:pPr>
              <w:jc w:val="right"/>
              <w:spacing w:after="0"/>
              <w:rPr>
                <w:sz w:val="20"/>
                <w:szCs w:val="20"/>
                <w:color w:val="auto"/>
              </w:rPr>
            </w:pPr>
            <w:r>
              <w:rPr>
                <w:rFonts w:ascii="Arial" w:cs="Arial" w:eastAsia="Arial" w:hAnsi="Arial"/>
                <w:sz w:val="16"/>
                <w:szCs w:val="16"/>
                <w:color w:val="auto"/>
              </w:rPr>
              <w:t>9,221</w:t>
            </w:r>
          </w:p>
        </w:tc>
        <w:tc>
          <w:tcPr>
            <w:tcW w:w="100" w:type="dxa"/>
            <w:vAlign w:val="bottom"/>
          </w:tcPr>
          <w:p>
            <w:pPr>
              <w:spacing w:after="0"/>
              <w:rPr>
                <w:sz w:val="18"/>
                <w:szCs w:val="18"/>
                <w:color w:val="auto"/>
              </w:rPr>
            </w:pPr>
          </w:p>
        </w:tc>
      </w:tr>
      <w:tr>
        <w:trPr>
          <w:trHeight w:val="219"/>
        </w:trPr>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Write-off of unamortized loan fees</w:t>
            </w: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1,150</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1,676</w:t>
            </w:r>
          </w:p>
        </w:tc>
        <w:tc>
          <w:tcPr>
            <w:tcW w:w="100" w:type="dxa"/>
            <w:vAlign w:val="bottom"/>
            <w:shd w:val="clear" w:color="auto" w:fill="CCEEFF"/>
          </w:tcPr>
          <w:p>
            <w:pPr>
              <w:spacing w:after="0"/>
              <w:rPr>
                <w:sz w:val="19"/>
                <w:szCs w:val="19"/>
                <w:color w:val="auto"/>
              </w:rPr>
            </w:pPr>
          </w:p>
        </w:tc>
      </w:tr>
      <w:tr>
        <w:trPr>
          <w:trHeight w:val="213"/>
        </w:trPr>
        <w:tc>
          <w:tcPr>
            <w:tcW w:w="7420" w:type="dxa"/>
            <w:vAlign w:val="bottom"/>
          </w:tcPr>
          <w:p>
            <w:pPr>
              <w:spacing w:after="0"/>
              <w:rPr>
                <w:sz w:val="20"/>
                <w:szCs w:val="20"/>
                <w:color w:val="auto"/>
              </w:rPr>
            </w:pPr>
            <w:r>
              <w:rPr>
                <w:rFonts w:ascii="Arial" w:cs="Arial" w:eastAsia="Arial" w:hAnsi="Arial"/>
                <w:sz w:val="16"/>
                <w:szCs w:val="16"/>
                <w:color w:val="auto"/>
              </w:rPr>
              <w:t>Foreign exchange losses, net</w:t>
            </w:r>
          </w:p>
        </w:tc>
        <w:tc>
          <w:tcPr>
            <w:tcW w:w="1820" w:type="dxa"/>
            <w:vAlign w:val="bottom"/>
            <w:gridSpan w:val="2"/>
          </w:tcPr>
          <w:p>
            <w:pPr>
              <w:jc w:val="right"/>
              <w:ind w:right="20"/>
              <w:spacing w:after="0"/>
              <w:rPr>
                <w:sz w:val="20"/>
                <w:szCs w:val="20"/>
                <w:color w:val="auto"/>
              </w:rPr>
            </w:pPr>
            <w:r>
              <w:rPr>
                <w:rFonts w:ascii="Arial" w:cs="Arial" w:eastAsia="Arial" w:hAnsi="Arial"/>
                <w:sz w:val="16"/>
                <w:szCs w:val="16"/>
                <w:color w:val="auto"/>
              </w:rPr>
              <w:t>279</w:t>
            </w:r>
          </w:p>
        </w:tc>
        <w:tc>
          <w:tcPr>
            <w:tcW w:w="1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693</w:t>
            </w:r>
          </w:p>
        </w:tc>
        <w:tc>
          <w:tcPr>
            <w:tcW w:w="100" w:type="dxa"/>
            <w:vAlign w:val="bottom"/>
          </w:tcPr>
          <w:p>
            <w:pPr>
              <w:spacing w:after="0"/>
              <w:rPr>
                <w:sz w:val="18"/>
                <w:szCs w:val="18"/>
                <w:color w:val="auto"/>
              </w:rPr>
            </w:pPr>
          </w:p>
        </w:tc>
      </w:tr>
      <w:tr>
        <w:trPr>
          <w:trHeight w:val="219"/>
        </w:trPr>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Restructuring costs</w:t>
            </w: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1,478</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00" w:type="dxa"/>
            <w:vAlign w:val="bottom"/>
            <w:shd w:val="clear" w:color="auto" w:fill="CCEEFF"/>
          </w:tcPr>
          <w:p>
            <w:pPr>
              <w:spacing w:after="0"/>
              <w:rPr>
                <w:sz w:val="19"/>
                <w:szCs w:val="19"/>
                <w:color w:val="auto"/>
              </w:rPr>
            </w:pPr>
          </w:p>
        </w:tc>
      </w:tr>
      <w:tr>
        <w:trPr>
          <w:trHeight w:val="213"/>
        </w:trPr>
        <w:tc>
          <w:tcPr>
            <w:tcW w:w="7420" w:type="dxa"/>
            <w:vAlign w:val="bottom"/>
          </w:tcPr>
          <w:p>
            <w:pPr>
              <w:spacing w:after="0"/>
              <w:rPr>
                <w:sz w:val="20"/>
                <w:szCs w:val="20"/>
                <w:color w:val="auto"/>
              </w:rPr>
            </w:pPr>
            <w:r>
              <w:rPr>
                <w:rFonts w:ascii="Arial" w:cs="Arial" w:eastAsia="Arial" w:hAnsi="Arial"/>
                <w:sz w:val="16"/>
                <w:szCs w:val="16"/>
                <w:color w:val="auto"/>
              </w:rPr>
              <w:t>Transaction Costs</w:t>
            </w:r>
          </w:p>
        </w:tc>
        <w:tc>
          <w:tcPr>
            <w:tcW w:w="1820" w:type="dxa"/>
            <w:vAlign w:val="bottom"/>
            <w:gridSpan w:val="2"/>
          </w:tcPr>
          <w:p>
            <w:pPr>
              <w:jc w:val="right"/>
              <w:ind w:right="20"/>
              <w:spacing w:after="0"/>
              <w:rPr>
                <w:sz w:val="20"/>
                <w:szCs w:val="20"/>
                <w:color w:val="auto"/>
              </w:rPr>
            </w:pPr>
            <w:r>
              <w:rPr>
                <w:rFonts w:ascii="Arial" w:cs="Arial" w:eastAsia="Arial" w:hAnsi="Arial"/>
                <w:sz w:val="16"/>
                <w:szCs w:val="16"/>
                <w:color w:val="auto"/>
              </w:rPr>
              <w:t>521</w:t>
            </w:r>
          </w:p>
        </w:tc>
        <w:tc>
          <w:tcPr>
            <w:tcW w:w="1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824</w:t>
            </w:r>
          </w:p>
        </w:tc>
        <w:tc>
          <w:tcPr>
            <w:tcW w:w="100" w:type="dxa"/>
            <w:vAlign w:val="bottom"/>
          </w:tcPr>
          <w:p>
            <w:pPr>
              <w:spacing w:after="0"/>
              <w:rPr>
                <w:sz w:val="18"/>
                <w:szCs w:val="18"/>
                <w:color w:val="auto"/>
              </w:rPr>
            </w:pPr>
          </w:p>
        </w:tc>
      </w:tr>
      <w:tr>
        <w:trPr>
          <w:trHeight w:val="219"/>
        </w:trPr>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Impairment loss</w:t>
            </w: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28,884</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11,740</w:t>
            </w:r>
          </w:p>
        </w:tc>
        <w:tc>
          <w:tcPr>
            <w:tcW w:w="100" w:type="dxa"/>
            <w:vAlign w:val="bottom"/>
            <w:shd w:val="clear" w:color="auto" w:fill="CCEEFF"/>
          </w:tcPr>
          <w:p>
            <w:pPr>
              <w:spacing w:after="0"/>
              <w:rPr>
                <w:sz w:val="19"/>
                <w:szCs w:val="19"/>
                <w:color w:val="auto"/>
              </w:rPr>
            </w:pPr>
          </w:p>
        </w:tc>
      </w:tr>
      <w:tr>
        <w:trPr>
          <w:trHeight w:val="213"/>
        </w:trPr>
        <w:tc>
          <w:tcPr>
            <w:tcW w:w="7420" w:type="dxa"/>
            <w:vAlign w:val="bottom"/>
          </w:tcPr>
          <w:p>
            <w:pPr>
              <w:spacing w:after="0"/>
              <w:rPr>
                <w:sz w:val="20"/>
                <w:szCs w:val="20"/>
                <w:color w:val="auto"/>
              </w:rPr>
            </w:pPr>
            <w:r>
              <w:rPr>
                <w:rFonts w:ascii="Arial" w:cs="Arial" w:eastAsia="Arial" w:hAnsi="Arial"/>
                <w:sz w:val="16"/>
                <w:szCs w:val="16"/>
                <w:color w:val="auto"/>
              </w:rPr>
              <w:t>Loss on disposal of non-current assets</w:t>
            </w:r>
          </w:p>
        </w:tc>
        <w:tc>
          <w:tcPr>
            <w:tcW w:w="1820" w:type="dxa"/>
            <w:vAlign w:val="bottom"/>
            <w:gridSpan w:val="2"/>
          </w:tcPr>
          <w:p>
            <w:pPr>
              <w:jc w:val="right"/>
              <w:ind w:right="20"/>
              <w:spacing w:after="0"/>
              <w:rPr>
                <w:sz w:val="20"/>
                <w:szCs w:val="20"/>
                <w:color w:val="auto"/>
              </w:rPr>
            </w:pPr>
            <w:r>
              <w:rPr>
                <w:rFonts w:ascii="Arial" w:cs="Arial" w:eastAsia="Arial" w:hAnsi="Arial"/>
                <w:sz w:val="16"/>
                <w:szCs w:val="16"/>
                <w:color w:val="auto"/>
              </w:rPr>
              <w:t>577</w:t>
            </w:r>
          </w:p>
        </w:tc>
        <w:tc>
          <w:tcPr>
            <w:tcW w:w="1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1,309</w:t>
            </w:r>
          </w:p>
        </w:tc>
        <w:tc>
          <w:tcPr>
            <w:tcW w:w="100" w:type="dxa"/>
            <w:vAlign w:val="bottom"/>
          </w:tcPr>
          <w:p>
            <w:pPr>
              <w:spacing w:after="0"/>
              <w:rPr>
                <w:sz w:val="18"/>
                <w:szCs w:val="18"/>
                <w:color w:val="auto"/>
              </w:rPr>
            </w:pPr>
          </w:p>
        </w:tc>
      </w:tr>
      <w:tr>
        <w:trPr>
          <w:trHeight w:val="219"/>
        </w:trPr>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Unrealized foreign exchange losses/(gains), net on cash</w:t>
            </w: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305</w:t>
            </w:r>
          </w:p>
        </w:tc>
        <w:tc>
          <w:tcPr>
            <w:tcW w:w="10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(664)</w:t>
            </w:r>
          </w:p>
        </w:tc>
      </w:tr>
      <w:tr>
        <w:trPr>
          <w:trHeight w:val="203"/>
        </w:trPr>
        <w:tc>
          <w:tcPr>
            <w:tcW w:w="7420" w:type="dxa"/>
            <w:vAlign w:val="bottom"/>
          </w:tcPr>
          <w:p>
            <w:pPr>
              <w:spacing w:after="0"/>
              <w:rPr>
                <w:sz w:val="20"/>
                <w:szCs w:val="20"/>
                <w:color w:val="auto"/>
              </w:rPr>
            </w:pPr>
            <w:r>
              <w:rPr>
                <w:rFonts w:ascii="Arial" w:cs="Arial" w:eastAsia="Arial" w:hAnsi="Arial"/>
                <w:sz w:val="16"/>
                <w:szCs w:val="16"/>
                <w:b w:val="1"/>
                <w:bCs w:val="1"/>
                <w:color w:val="auto"/>
              </w:rPr>
              <w:t>Adjusted Profit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58,034</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69,959</w:t>
            </w:r>
          </w:p>
        </w:tc>
        <w:tc>
          <w:tcPr>
            <w:tcW w:w="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-1662430</wp:posOffset>
            </wp:positionV>
            <wp:extent cx="68580" cy="16541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654175"/>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2023-05-11T06:07:44Z</dcterms:created>
  <dcterms:modified xsi:type="dcterms:W3CDTF">2023-05-11T06:07:44Z</dcterms:modified>
</cp:coreProperties>
</file>