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For the month of August 2023</w:t>
            </w:r>
          </w:p>
        </w:tc>
        <w:tc>
          <w:tcPr>
            <w:tcW w:w="1320" w:type="dxa"/>
            <w:vAlign w:val="bottom"/>
          </w:tcPr>
          <w:p>
            <w:pPr>
              <w:spacing w:after="0"/>
              <w:rPr>
                <w:sz w:val="20"/>
                <w:szCs w:val="20"/>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320" w:type="dxa"/>
            <w:vAlign w:val="bottom"/>
          </w:tcPr>
          <w:p>
            <w:pPr>
              <w:spacing w:after="0"/>
              <w:rPr>
                <w:sz w:val="24"/>
                <w:szCs w:val="24"/>
                <w:color w:val="auto"/>
              </w:rPr>
            </w:pPr>
          </w:p>
        </w:tc>
      </w:tr>
      <w:tr>
        <w:trPr>
          <w:trHeight w:val="418"/>
        </w:trPr>
        <w:tc>
          <w:tcPr>
            <w:tcW w:w="9920" w:type="dxa"/>
            <w:vAlign w:val="bottom"/>
          </w:tcPr>
          <w:p>
            <w:pPr>
              <w:jc w:val="center"/>
              <w:ind w:left="1230"/>
              <w:spacing w:after="0"/>
              <w:rPr>
                <w:sz w:val="20"/>
                <w:szCs w:val="20"/>
                <w:color w:val="auto"/>
              </w:rPr>
            </w:pPr>
            <w:r>
              <w:rPr>
                <w:rFonts w:ascii="Arial" w:cs="Arial" w:eastAsia="Arial" w:hAnsi="Arial"/>
                <w:sz w:val="18"/>
                <w:szCs w:val="18"/>
                <w:b w:val="1"/>
                <w:bCs w:val="1"/>
                <w:color w:val="auto"/>
                <w:w w:val="91"/>
              </w:rPr>
              <w:t>GasLog Ltd.</w:t>
            </w:r>
          </w:p>
        </w:tc>
        <w:tc>
          <w:tcPr>
            <w:tcW w:w="1320" w:type="dxa"/>
            <w:vAlign w:val="bottom"/>
          </w:tcPr>
          <w:p>
            <w:pPr>
              <w:spacing w:after="0"/>
              <w:rPr>
                <w:sz w:val="24"/>
                <w:szCs w:val="24"/>
                <w:color w:val="auto"/>
              </w:rPr>
            </w:pPr>
          </w:p>
        </w:tc>
      </w:tr>
      <w:tr>
        <w:trPr>
          <w:trHeight w:val="230"/>
        </w:trPr>
        <w:tc>
          <w:tcPr>
            <w:tcW w:w="9920" w:type="dxa"/>
            <w:vAlign w:val="bottom"/>
          </w:tcPr>
          <w:p>
            <w:pPr>
              <w:jc w:val="center"/>
              <w:ind w:left="1230"/>
              <w:spacing w:after="0"/>
              <w:rPr>
                <w:sz w:val="20"/>
                <w:szCs w:val="20"/>
                <w:color w:val="auto"/>
              </w:rPr>
            </w:pPr>
            <w:r>
              <w:rPr>
                <w:rFonts w:ascii="Arial" w:cs="Arial" w:eastAsia="Arial" w:hAnsi="Arial"/>
                <w:sz w:val="18"/>
                <w:szCs w:val="18"/>
                <w:color w:val="auto"/>
                <w:w w:val="91"/>
              </w:rPr>
              <w:t>(Translation of registrant’s name into English)</w:t>
            </w:r>
          </w:p>
        </w:tc>
        <w:tc>
          <w:tcPr>
            <w:tcW w:w="1320" w:type="dxa"/>
            <w:vAlign w:val="bottom"/>
          </w:tcPr>
          <w:p>
            <w:pPr>
              <w:spacing w:after="0"/>
              <w:rPr>
                <w:sz w:val="20"/>
                <w:szCs w:val="20"/>
                <w:color w:val="auto"/>
              </w:rPr>
            </w:pPr>
          </w:p>
        </w:tc>
      </w:tr>
      <w:tr>
        <w:trPr>
          <w:trHeight w:val="418"/>
        </w:trPr>
        <w:tc>
          <w:tcPr>
            <w:tcW w:w="9920" w:type="dxa"/>
            <w:vAlign w:val="bottom"/>
          </w:tcPr>
          <w:p>
            <w:pPr>
              <w:jc w:val="center"/>
              <w:ind w:left="1230"/>
              <w:spacing w:after="0"/>
              <w:rPr>
                <w:sz w:val="20"/>
                <w:szCs w:val="20"/>
                <w:color w:val="auto"/>
              </w:rPr>
            </w:pPr>
            <w:r>
              <w:rPr>
                <w:rFonts w:ascii="Arial" w:cs="Arial" w:eastAsia="Arial" w:hAnsi="Arial"/>
                <w:sz w:val="18"/>
                <w:szCs w:val="18"/>
                <w:color w:val="auto"/>
                <w:w w:val="92"/>
              </w:rPr>
              <w:t>c/o GasLog LNG Services Ltd.</w:t>
            </w:r>
          </w:p>
        </w:tc>
        <w:tc>
          <w:tcPr>
            <w:tcW w:w="1320" w:type="dxa"/>
            <w:vAlign w:val="bottom"/>
          </w:tcPr>
          <w:p>
            <w:pPr>
              <w:spacing w:after="0"/>
              <w:rPr>
                <w:sz w:val="24"/>
                <w:szCs w:val="24"/>
                <w:color w:val="auto"/>
              </w:rPr>
            </w:pPr>
          </w:p>
        </w:tc>
      </w:tr>
      <w:tr>
        <w:trPr>
          <w:trHeight w:val="216"/>
        </w:trPr>
        <w:tc>
          <w:tcPr>
            <w:tcW w:w="9920" w:type="dxa"/>
            <w:vAlign w:val="bottom"/>
          </w:tcPr>
          <w:p>
            <w:pPr>
              <w:jc w:val="center"/>
              <w:ind w:left="1230"/>
              <w:spacing w:after="0"/>
              <w:rPr>
                <w:sz w:val="20"/>
                <w:szCs w:val="20"/>
                <w:color w:val="auto"/>
              </w:rPr>
            </w:pPr>
            <w:r>
              <w:rPr>
                <w:rFonts w:ascii="Arial" w:cs="Arial" w:eastAsia="Arial" w:hAnsi="Arial"/>
                <w:sz w:val="18"/>
                <w:szCs w:val="18"/>
                <w:color w:val="auto"/>
                <w:w w:val="94"/>
              </w:rPr>
              <w:t>69 Akti Miaouli, 18537</w:t>
            </w:r>
          </w:p>
        </w:tc>
        <w:tc>
          <w:tcPr>
            <w:tcW w:w="1320" w:type="dxa"/>
            <w:vAlign w:val="bottom"/>
          </w:tcPr>
          <w:p>
            <w:pPr>
              <w:spacing w:after="0"/>
              <w:rPr>
                <w:sz w:val="18"/>
                <w:szCs w:val="18"/>
                <w:color w:val="auto"/>
              </w:rPr>
            </w:pPr>
          </w:p>
        </w:tc>
      </w:tr>
      <w:tr>
        <w:trPr>
          <w:trHeight w:val="216"/>
        </w:trPr>
        <w:tc>
          <w:tcPr>
            <w:tcW w:w="9920" w:type="dxa"/>
            <w:vAlign w:val="bottom"/>
          </w:tcPr>
          <w:p>
            <w:pPr>
              <w:jc w:val="center"/>
              <w:ind w:left="1230"/>
              <w:spacing w:after="0"/>
              <w:rPr>
                <w:sz w:val="20"/>
                <w:szCs w:val="20"/>
                <w:color w:val="auto"/>
              </w:rPr>
            </w:pPr>
            <w:r>
              <w:rPr>
                <w:rFonts w:ascii="Arial" w:cs="Arial" w:eastAsia="Arial" w:hAnsi="Arial"/>
                <w:sz w:val="18"/>
                <w:szCs w:val="18"/>
                <w:color w:val="auto"/>
                <w:w w:val="86"/>
              </w:rPr>
              <w:t>Piraeus, Greece</w:t>
            </w:r>
          </w:p>
        </w:tc>
        <w:tc>
          <w:tcPr>
            <w:tcW w:w="1320" w:type="dxa"/>
            <w:vAlign w:val="bottom"/>
          </w:tcPr>
          <w:p>
            <w:pPr>
              <w:spacing w:after="0"/>
              <w:rPr>
                <w:sz w:val="18"/>
                <w:szCs w:val="18"/>
                <w:color w:val="auto"/>
              </w:rPr>
            </w:pPr>
          </w:p>
        </w:tc>
      </w:tr>
      <w:tr>
        <w:trPr>
          <w:trHeight w:val="230"/>
        </w:trPr>
        <w:tc>
          <w:tcPr>
            <w:tcW w:w="9920" w:type="dxa"/>
            <w:vAlign w:val="bottom"/>
          </w:tcPr>
          <w:p>
            <w:pPr>
              <w:jc w:val="center"/>
              <w:ind w:left="1250"/>
              <w:spacing w:after="0"/>
              <w:rPr>
                <w:sz w:val="20"/>
                <w:szCs w:val="20"/>
                <w:color w:val="auto"/>
              </w:rPr>
            </w:pPr>
            <w:r>
              <w:rPr>
                <w:rFonts w:ascii="Arial" w:cs="Arial" w:eastAsia="Arial" w:hAnsi="Arial"/>
                <w:sz w:val="18"/>
                <w:szCs w:val="18"/>
                <w:color w:val="auto"/>
                <w:w w:val="92"/>
              </w:rPr>
              <w:t>(Address of principal executive office)</w:t>
            </w:r>
          </w:p>
        </w:tc>
        <w:tc>
          <w:tcPr>
            <w:tcW w:w="1320" w:type="dxa"/>
            <w:vAlign w:val="bottom"/>
          </w:tcPr>
          <w:p>
            <w:pPr>
              <w:spacing w:after="0"/>
              <w:rPr>
                <w:sz w:val="20"/>
                <w:szCs w:val="20"/>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20" w:type="dxa"/>
            <w:vAlign w:val="bottom"/>
          </w:tcPr>
          <w:p>
            <w:pPr>
              <w:spacing w:after="0"/>
              <w:rPr>
                <w:sz w:val="24"/>
                <w:szCs w:val="24"/>
                <w:color w:val="auto"/>
              </w:rPr>
            </w:pPr>
          </w:p>
        </w:tc>
      </w:tr>
      <w:tr>
        <w:trPr>
          <w:trHeight w:val="460"/>
        </w:trPr>
        <w:tc>
          <w:tcPr>
            <w:tcW w:w="9920" w:type="dxa"/>
            <w:vAlign w:val="bottom"/>
          </w:tcPr>
          <w:p>
            <w:pPr>
              <w:spacing w:after="0" w:line="207" w:lineRule="exact"/>
              <w:rPr>
                <w:sz w:val="20"/>
                <w:szCs w:val="20"/>
                <w:color w:val="auto"/>
              </w:rPr>
            </w:pPr>
            <w:r>
              <w:rPr>
                <w:rFonts w:ascii="Arial" w:cs="Arial" w:eastAsia="Arial" w:hAnsi="Arial"/>
                <w:sz w:val="18"/>
                <w:szCs w:val="18"/>
                <w:color w:val="auto"/>
              </w:rPr>
              <w:t xml:space="preserve">Form 20-F þ  Form 40-F </w:t>
            </w:r>
            <w:r>
              <w:rPr>
                <w:rFonts w:ascii="MS PGothic" w:cs="MS PGothic" w:eastAsia="MS PGothic" w:hAnsi="MS PGothic"/>
                <w:sz w:val="18"/>
                <w:szCs w:val="18"/>
                <w:color w:val="auto"/>
              </w:rPr>
              <w:t>☐</w:t>
            </w:r>
          </w:p>
        </w:tc>
        <w:tc>
          <w:tcPr>
            <w:tcW w:w="1320" w:type="dxa"/>
            <w:vAlign w:val="bottom"/>
          </w:tcPr>
          <w:p>
            <w:pPr>
              <w:spacing w:after="0"/>
              <w:rPr>
                <w:sz w:val="24"/>
                <w:szCs w:val="24"/>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r>
      <w:tr>
        <w:trPr>
          <w:trHeight w:val="647"/>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ind w:firstLine="324"/>
        <w:spacing w:after="0" w:line="293" w:lineRule="auto"/>
        <w:rPr>
          <w:sz w:val="20"/>
          <w:szCs w:val="20"/>
          <w:color w:val="auto"/>
        </w:rPr>
      </w:pPr>
      <w:r>
        <w:rPr>
          <w:rFonts w:ascii="Arial" w:cs="Arial" w:eastAsia="Arial" w:hAnsi="Arial"/>
          <w:sz w:val="16"/>
          <w:szCs w:val="16"/>
          <w:color w:val="auto"/>
        </w:rPr>
        <w:t>The press release issued by GasLog Ltd. on August 3, 2023, relating to its results for the three month period ended June 30, 2023 and the related financial statements are attached hereto as Exhibits 99.1 and 99.2, respectively.</w:t>
      </w:r>
    </w:p>
    <w:p>
      <w:pPr>
        <w:spacing w:after="0" w:line="17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EXHIBIT LIST</w:t>
      </w:r>
    </w:p>
    <w:p>
      <w:pPr>
        <w:spacing w:after="0" w:line="235"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Exhibit</w:t>
      </w:r>
      <w:r>
        <w:rPr>
          <w:sz w:val="20"/>
          <w:szCs w:val="20"/>
          <w:color w:val="auto"/>
        </w:rPr>
        <w:tab/>
      </w:r>
      <w:r>
        <w:rPr>
          <w:rFonts w:ascii="Arial" w:cs="Arial" w:eastAsia="Arial" w:hAnsi="Arial"/>
          <w:sz w:val="16"/>
          <w:szCs w:val="16"/>
          <w:color w:val="auto"/>
        </w:rPr>
        <w:t>Description</w:t>
      </w:r>
    </w:p>
    <w:p>
      <w:pPr>
        <w:spacing w:after="0" w:line="248"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u w:val="single" w:color="auto"/>
          <w:color w:val="0000EE"/>
        </w:rPr>
        <w:t>99.1</w:t>
      </w:r>
      <w:r>
        <w:rPr>
          <w:sz w:val="20"/>
          <w:szCs w:val="20"/>
          <w:color w:val="auto"/>
        </w:rPr>
        <w:tab/>
      </w:r>
      <w:r>
        <w:rPr>
          <w:rFonts w:ascii="Arial" w:cs="Arial" w:eastAsia="Arial" w:hAnsi="Arial"/>
          <w:sz w:val="14"/>
          <w:szCs w:val="14"/>
          <w:u w:val="single" w:color="auto"/>
          <w:color w:val="0000EE"/>
        </w:rPr>
        <w:t>Press Release dated August 3, 2023</w:t>
      </w:r>
    </w:p>
    <w:p>
      <w:pPr>
        <w:spacing w:after="0" w:line="248"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u w:val="single" w:color="auto"/>
          <w:color w:val="0000EE"/>
        </w:rPr>
        <w:t>99.2</w:t>
      </w:r>
      <w:r>
        <w:rPr>
          <w:sz w:val="20"/>
          <w:szCs w:val="20"/>
          <w:color w:val="auto"/>
        </w:rPr>
        <w:tab/>
      </w:r>
      <w:r>
        <w:rPr>
          <w:rFonts w:ascii="Arial" w:cs="Arial" w:eastAsia="Arial" w:hAnsi="Arial"/>
          <w:sz w:val="14"/>
          <w:szCs w:val="14"/>
          <w:u w:val="single" w:color="auto"/>
          <w:color w:val="0000EE"/>
        </w:rPr>
        <w:t>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13" w:right="5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2023</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GASLOG LTD.,</w:t>
      </w:r>
    </w:p>
    <w:p>
      <w:pPr>
        <w:spacing w:after="0" w:line="248" w:lineRule="exact"/>
        <w:rPr>
          <w:sz w:val="20"/>
          <w:szCs w:val="20"/>
          <w:color w:val="auto"/>
        </w:rPr>
      </w:pPr>
    </w:p>
    <w:p>
      <w:pPr>
        <w:ind w:left="5960"/>
        <w:spacing w:after="0"/>
        <w:tabs>
          <w:tab w:leader="none" w:pos="6280" w:val="left"/>
        </w:tabs>
        <w:rPr>
          <w:sz w:val="20"/>
          <w:szCs w:val="20"/>
          <w:color w:val="auto"/>
        </w:rPr>
      </w:pPr>
      <w:r>
        <w:rPr>
          <w:rFonts w:ascii="Arial" w:cs="Arial" w:eastAsia="Arial" w:hAnsi="Arial"/>
          <w:sz w:val="16"/>
          <w:szCs w:val="16"/>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26670</wp:posOffset>
            </wp:positionV>
            <wp:extent cx="2425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6" w:lineRule="exact"/>
        <w:rPr>
          <w:sz w:val="20"/>
          <w:szCs w:val="20"/>
          <w:color w:val="auto"/>
        </w:rPr>
      </w:pPr>
    </w:p>
    <w:p>
      <w:pPr>
        <w:ind w:left="6300"/>
        <w:spacing w:after="0"/>
        <w:tabs>
          <w:tab w:leader="none" w:pos="68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Paolo Enoizi</w:t>
      </w:r>
    </w:p>
    <w:p>
      <w:pPr>
        <w:spacing w:after="0" w:line="22" w:lineRule="exact"/>
        <w:rPr>
          <w:sz w:val="20"/>
          <w:szCs w:val="20"/>
          <w:color w:val="auto"/>
        </w:rPr>
      </w:pPr>
    </w:p>
    <w:p>
      <w:pPr>
        <w:ind w:left="6300"/>
        <w:spacing w:after="0"/>
        <w:tabs>
          <w:tab w:leader="none" w:pos="6840" w:val="left"/>
        </w:tabs>
        <w:rPr>
          <w:sz w:val="20"/>
          <w:szCs w:val="20"/>
          <w:color w:val="auto"/>
        </w:rPr>
      </w:pPr>
      <w:r>
        <w:rPr>
          <w:rFonts w:ascii="Arial" w:cs="Arial" w:eastAsia="Arial" w:hAnsi="Arial"/>
          <w:sz w:val="16"/>
          <w:szCs w:val="16"/>
          <w:color w:val="auto"/>
        </w:rPr>
        <w:t>Title:</w:t>
        <w:tab/>
        <w:t>Chief Executive Officer</w:t>
      </w: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13"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 Reports Financial Results for the Three-Month Period Ended June 30, 2023</w:t>
      </w:r>
    </w:p>
    <w:p>
      <w:pPr>
        <w:spacing w:after="0" w:line="23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b w:val="1"/>
          <w:bCs w:val="1"/>
          <w:color w:val="auto"/>
        </w:rPr>
        <w:t>Hamilton, Bermuda, August 3, 2023, GasLog Ltd. and its subsidiaries (“GasLog”, “Group” or “Company”) (NYSE: GLOG-PA)</w:t>
      </w:r>
      <w:r>
        <w:rPr>
          <w:rFonts w:ascii="Arial" w:cs="Arial" w:eastAsia="Arial" w:hAnsi="Arial"/>
          <w:sz w:val="16"/>
          <w:szCs w:val="16"/>
          <w:color w:val="auto"/>
        </w:rPr>
        <w:t>, an international owner, operator</w:t>
      </w:r>
      <w:r>
        <w:rPr>
          <w:rFonts w:ascii="Arial" w:cs="Arial" w:eastAsia="Arial" w:hAnsi="Arial"/>
          <w:sz w:val="16"/>
          <w:szCs w:val="16"/>
          <w:b w:val="1"/>
          <w:bCs w:val="1"/>
          <w:color w:val="auto"/>
        </w:rPr>
        <w:t xml:space="preserve"> </w:t>
      </w:r>
      <w:r>
        <w:rPr>
          <w:rFonts w:ascii="Arial" w:cs="Arial" w:eastAsia="Arial" w:hAnsi="Arial"/>
          <w:sz w:val="16"/>
          <w:szCs w:val="16"/>
          <w:color w:val="auto"/>
        </w:rPr>
        <w:t>and manager of liquefied natural gas (“LNG”) carriers, today reported its financial results for the quarter ended June 30, 2023.</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Agreement for Sale of </w:t>
      </w:r>
      <w:r>
        <w:rPr>
          <w:rFonts w:ascii="Arial" w:cs="Arial" w:eastAsia="Arial" w:hAnsi="Arial"/>
          <w:sz w:val="16"/>
          <w:szCs w:val="16"/>
          <w:b w:val="1"/>
          <w:bCs w:val="1"/>
          <w:i w:val="1"/>
          <w:iCs w:val="1"/>
          <w:u w:val="single" w:color="auto"/>
          <w:color w:val="auto"/>
        </w:rPr>
        <w:t>GasLog Athens</w:t>
      </w:r>
    </w:p>
    <w:p>
      <w:pPr>
        <w:spacing w:after="0" w:line="239" w:lineRule="exact"/>
        <w:rPr>
          <w:sz w:val="20"/>
          <w:szCs w:val="20"/>
          <w:color w:val="auto"/>
        </w:rPr>
      </w:pPr>
    </w:p>
    <w:p>
      <w:pPr>
        <w:jc w:val="both"/>
        <w:ind w:right="200" w:firstLine="324"/>
        <w:spacing w:after="0" w:line="278" w:lineRule="auto"/>
        <w:rPr>
          <w:sz w:val="20"/>
          <w:szCs w:val="20"/>
          <w:color w:val="auto"/>
        </w:rPr>
      </w:pPr>
      <w:r>
        <w:rPr>
          <w:rFonts w:ascii="Arial" w:cs="Arial" w:eastAsia="Arial" w:hAnsi="Arial"/>
          <w:sz w:val="16"/>
          <w:szCs w:val="16"/>
          <w:color w:val="auto"/>
        </w:rPr>
        <w:t xml:space="preserve">On July 17, 2023, GasLog completed the sale of the </w:t>
      </w:r>
      <w:r>
        <w:rPr>
          <w:rFonts w:ascii="Arial" w:cs="Arial" w:eastAsia="Arial" w:hAnsi="Arial"/>
          <w:sz w:val="16"/>
          <w:szCs w:val="16"/>
          <w:i w:val="1"/>
          <w:iCs w:val="1"/>
          <w:color w:val="auto"/>
        </w:rPr>
        <w:t>GasLog Athens</w:t>
      </w:r>
      <w:r>
        <w:rPr>
          <w:rFonts w:ascii="Arial" w:cs="Arial" w:eastAsia="Arial" w:hAnsi="Arial"/>
          <w:sz w:val="16"/>
          <w:szCs w:val="16"/>
          <w:color w:val="auto"/>
        </w:rPr>
        <w:t>, a 145,000 cubic meter (“cbm”) steam turbine propulsion (“Steam”) LNG carrier to an unrelated third party. When the Memorandum of Agreement was signed, in January 2023, the vessel was reclassified as held for sale and a non-cash impairment loss of $9.3 million was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Merger Agreement with GasLog Partners</w:t>
      </w:r>
    </w:p>
    <w:p>
      <w:pPr>
        <w:spacing w:after="0" w:line="239" w:lineRule="exact"/>
        <w:rPr>
          <w:sz w:val="20"/>
          <w:szCs w:val="20"/>
          <w:color w:val="auto"/>
        </w:rPr>
      </w:pPr>
    </w:p>
    <w:p>
      <w:pPr>
        <w:ind w:right="520" w:firstLine="324"/>
        <w:spacing w:after="0" w:line="303" w:lineRule="auto"/>
        <w:rPr>
          <w:sz w:val="20"/>
          <w:szCs w:val="20"/>
          <w:color w:val="auto"/>
        </w:rPr>
      </w:pPr>
      <w:r>
        <w:rPr>
          <w:rFonts w:ascii="Arial" w:cs="Arial" w:eastAsia="Arial" w:hAnsi="Arial"/>
          <w:sz w:val="14"/>
          <w:szCs w:val="14"/>
          <w:color w:val="auto"/>
        </w:rPr>
        <w:t>On April 6, 2023, GasLog entered into an Agreement and Plan of Merger (the “Merger Agreement”) with GasLog Partners LP (“GasLog Partners” or the “Partnership”), GasLog Partners GP LLC, the general partner of the Partnership and Saturn Merger Sub LLC, a wholly owned subsidiary of GasLog (“Merger Sub”). Pursuant to the Merger Agreement, (i) Merger Sub would merge with and into the Partnership, with the Partnership surviving as a direct subsidiary of GasLog, and</w:t>
      </w:r>
    </w:p>
    <w:p>
      <w:pPr>
        <w:spacing w:after="0" w:line="2" w:lineRule="exact"/>
        <w:rPr>
          <w:sz w:val="20"/>
          <w:szCs w:val="20"/>
          <w:color w:val="auto"/>
        </w:rPr>
      </w:pPr>
    </w:p>
    <w:p>
      <w:pPr>
        <w:ind w:right="120" w:firstLine="8"/>
        <w:spacing w:after="0" w:line="272" w:lineRule="auto"/>
        <w:tabs>
          <w:tab w:leader="none" w:pos="238" w:val="left"/>
        </w:tabs>
        <w:numPr>
          <w:ilvl w:val="0"/>
          <w:numId w:val="1"/>
        </w:numPr>
        <w:rPr>
          <w:rFonts w:ascii="Arial" w:cs="Arial" w:eastAsia="Arial" w:hAnsi="Arial"/>
          <w:sz w:val="16"/>
          <w:szCs w:val="16"/>
          <w:color w:val="auto"/>
        </w:rPr>
      </w:pPr>
      <w:r>
        <w:rPr>
          <w:rFonts w:ascii="Arial" w:cs="Arial" w:eastAsia="Arial" w:hAnsi="Arial"/>
          <w:sz w:val="16"/>
          <w:szCs w:val="16"/>
          <w:color w:val="auto"/>
        </w:rPr>
        <w:t>GasLog would acquire the outstanding common units of the Partnership not beneficially owned by GasLog for overall consideration of $8.65 per common unit in cash (the “Transaction”), consisting in part of a special distribution by the Partnership of $3.28 per common unit in cash (the “Special Distribution”) that would be distributed to the Partnership’s unitholders in connection with the closing of the Transaction and the remainder to be paid by GasLog as merger consideration at the closing of the Transaction.</w:t>
      </w:r>
    </w:p>
    <w:p>
      <w:pPr>
        <w:spacing w:after="0" w:line="188" w:lineRule="exact"/>
        <w:rPr>
          <w:sz w:val="20"/>
          <w:szCs w:val="20"/>
          <w:color w:val="auto"/>
        </w:rPr>
      </w:pPr>
    </w:p>
    <w:p>
      <w:pPr>
        <w:ind w:right="60" w:firstLine="324"/>
        <w:spacing w:after="0" w:line="271" w:lineRule="auto"/>
        <w:rPr>
          <w:sz w:val="20"/>
          <w:szCs w:val="20"/>
          <w:color w:val="auto"/>
        </w:rPr>
      </w:pPr>
      <w:r>
        <w:rPr>
          <w:rFonts w:ascii="Arial" w:cs="Arial" w:eastAsia="Arial" w:hAnsi="Arial"/>
          <w:sz w:val="16"/>
          <w:szCs w:val="16"/>
          <w:color w:val="auto"/>
        </w:rPr>
        <w:t>The conflicts committee (the “Conflicts Committee”) of the Partnership’s board of directors, comprised solely of independent directors and advised by its own independent legal and financial advisors, unanimously recommended that the Partnership’s board of directors approve the Merger Agreement and determined that the Transaction was in the best interests of the Partnership and the holders of its common units unaffiliated with GasLog. Acting upon the recommendation and approval of the Conflicts Committee, the Partnership’s board of directors unanimously approved the Merger Agreement and the Transaction and recommended that the common unitholders of the Partnership vote in favor of the Transaction.</w:t>
      </w:r>
    </w:p>
    <w:p>
      <w:pPr>
        <w:spacing w:after="0" w:line="190" w:lineRule="exact"/>
        <w:rPr>
          <w:sz w:val="20"/>
          <w:szCs w:val="20"/>
          <w:color w:val="auto"/>
        </w:rPr>
      </w:pPr>
    </w:p>
    <w:p>
      <w:pPr>
        <w:ind w:right="20" w:firstLine="324"/>
        <w:spacing w:after="0" w:line="285" w:lineRule="auto"/>
        <w:rPr>
          <w:sz w:val="20"/>
          <w:szCs w:val="20"/>
          <w:color w:val="auto"/>
        </w:rPr>
      </w:pPr>
      <w:r>
        <w:rPr>
          <w:rFonts w:ascii="Arial" w:cs="Arial" w:eastAsia="Arial" w:hAnsi="Arial"/>
          <w:sz w:val="15"/>
          <w:szCs w:val="15"/>
          <w:color w:val="auto"/>
        </w:rPr>
        <w:t>The Transaction was approved at the special meeting of the common unitholders of the Partnership held on July 7, 2023, based on the affirmative vote (in person and in proxy) of the holders of at least a majority of the common units of the Partnership entitled to vote thereon, voting as a single class, subject to a cutback for certain unitholders beneficially owning more than 4.9% of the outstanding common units (as provided for in the Partnership’s Seventh Amended and Restated Agreement of Limited Partnership and described in the proxy statement of the Partnership dated June 5, 2023 as filed with the Securities Exchange Commission (“SEC”)). The payment date for the Special Distribution was July 12, 2023. The Transaction closed on July 13, 2023 at 6:30 a.m. Eastern Time (the “Effective Time”) upon the filing of the certificate of merger with the Marshall Islands Registrar of Corporations. At the Effective Time, each common unit that was issued and outstanding immediately prior to the Effective Time (other than common units that, as of immediately prior to the Effective Time, were held by GasLog) was converted into the right to receive $5.37 in cash, without interest and reduced by any applicable tax withholding, for each common unit. Accordingly,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New York Stock Exchange (“NYSE”) was suspended on July 13, 2023, and delisting of the common units took place on July 24, 2023. The Partnership’s 8.625% Series A Cumulative Redeemable Perpetual Fixed to Floating Rate Preference Units (the “Partnership’s Series A Preference Units”), 8.200% Series B Cumulative Redeemable Perpetual Fixed to Floating Rate Preference Units (the “Partnership’s Series B Preference Units”) and 8.500% Series C Cumulative Redeemable Perpetual Fixed to Floating Rate Preference Units (the “Partnership’s Series C Preference Units”) remain outstanding and continue to trade on the NYSE.</w:t>
      </w:r>
    </w:p>
    <w:p>
      <w:pPr>
        <w:spacing w:after="0" w:line="183" w:lineRule="exact"/>
        <w:rPr>
          <w:sz w:val="20"/>
          <w:szCs w:val="20"/>
          <w:color w:val="auto"/>
        </w:rPr>
      </w:pPr>
    </w:p>
    <w:p>
      <w:pPr>
        <w:ind w:right="120" w:firstLine="324"/>
        <w:spacing w:after="0" w:line="271" w:lineRule="auto"/>
        <w:rPr>
          <w:sz w:val="20"/>
          <w:szCs w:val="20"/>
          <w:color w:val="auto"/>
        </w:rPr>
      </w:pPr>
      <w:r>
        <w:rPr>
          <w:rFonts w:ascii="Arial" w:cs="Arial" w:eastAsia="Arial" w:hAnsi="Arial"/>
          <w:sz w:val="16"/>
          <w:szCs w:val="16"/>
          <w:color w:val="auto"/>
        </w:rPr>
        <w:t>The merger consideration was partially financed by the borrowing of a term loan in an aggregate principal amount of $50.0 million under a Bridge Facility Agreement dated July 3, 2023 (the “Bridge Facility Agreement”), among Merger Sub, as the original borrower, GasLog, as guarantor, DNB (UK) Ltd., as arranger and bookrunner, the lenders party thereto and DNB Bank ASA, London Branch, as agent, with the Partnership succeeding to the obligations of Merger Sub upon the consummation of the Transaction. The aggregate principal amount outstanding under the Bridge Facility Agreement was repaid in full, together with accrued and unpaid interest, on July 26, 2023.</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 Charter Agreements</w:t>
      </w:r>
    </w:p>
    <w:p>
      <w:pPr>
        <w:spacing w:after="0" w:line="23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5"/>
          <w:szCs w:val="15"/>
          <w:color w:val="auto"/>
        </w:rPr>
        <w:t xml:space="preserve">During the second quarter of 2023, we signed a multi-month time charter agreement for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a tri-fuel diesel electric (“TFDE”) LNG carrier, with Pioneer Shipping Limited, a wholly owned subsidiary of Centrica plc (“Centrica”). In addition, the time charter agreement of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a TFDE LNG carrier, with a wholly owned subsidiary of Shell plc (“Shell”) was extended by five years, following the exercise of their extension option, with the contract now set to expire in 2028. Post-quarter end, the time charter agreement of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a Steam LNG carrier, with CNTIC VPower Energy Ltd. (“CNTIC VPower”), an independent Chinese energy company, was also extended by one year, following the exercise of their extension option, with the contract now to expire in 2024. In addition, we agreed to a multi-year time charter agreement for the </w:t>
      </w:r>
      <w:r>
        <w:rPr>
          <w:rFonts w:ascii="Arial" w:cs="Arial" w:eastAsia="Arial" w:hAnsi="Arial"/>
          <w:sz w:val="15"/>
          <w:szCs w:val="15"/>
          <w:i w:val="1"/>
          <w:iCs w:val="1"/>
          <w:color w:val="auto"/>
        </w:rPr>
        <w:t>Solaris</w:t>
      </w:r>
      <w:r>
        <w:rPr>
          <w:rFonts w:ascii="Arial" w:cs="Arial" w:eastAsia="Arial" w:hAnsi="Arial"/>
          <w:sz w:val="15"/>
          <w:szCs w:val="15"/>
          <w:color w:val="auto"/>
        </w:rPr>
        <w:t>, a TFDE LNG carrier, with KE Fuel International Co., Ltd. (“Kansai”).</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auto"/>
        </w:rPr>
        <w:t>Dividend Declarations</w:t>
      </w:r>
    </w:p>
    <w:p>
      <w:pPr>
        <w:spacing w:after="0" w:line="23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On August 2, 2023, the board of directors declared a quarterly cash dividend of $0.15 per common share, or $14.3 million in the aggregate, payable on August 4, 2023, to shareholders of record as of August 3, 2023.</w:t>
      </w:r>
    </w:p>
    <w:p>
      <w:pPr>
        <w:spacing w:after="0" w:line="172"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On August 2, 2023, the board of directors declared a dividend on the Series A Preference Shares of $0.546875 per share, or $2.5 million in the aggregate, payable on October 2, 2023, to holders of record as of September 29, 2023.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20"/>
                <w:szCs w:val="20"/>
                <w:color w:val="auto"/>
              </w:rPr>
            </w:pPr>
            <w:r>
              <w:rPr>
                <w:rFonts w:ascii="Arial" w:cs="Arial" w:eastAsia="Arial" w:hAnsi="Arial"/>
                <w:sz w:val="16"/>
                <w:szCs w:val="16"/>
                <w:b w:val="1"/>
                <w:bCs w:val="1"/>
                <w:color w:val="auto"/>
              </w:rPr>
              <w:t>Financial Summary</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810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38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For the 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8100" w:type="dxa"/>
            <w:vAlign w:val="bottom"/>
          </w:tcPr>
          <w:p>
            <w:pPr>
              <w:spacing w:after="0"/>
              <w:rPr>
                <w:sz w:val="19"/>
                <w:szCs w:val="19"/>
                <w:color w:val="auto"/>
              </w:rPr>
            </w:pPr>
          </w:p>
        </w:tc>
        <w:tc>
          <w:tcPr>
            <w:tcW w:w="13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June 30, 2022</w:t>
            </w:r>
          </w:p>
        </w:tc>
        <w:tc>
          <w:tcPr>
            <w:tcW w:w="340" w:type="dxa"/>
            <w:vAlign w:val="bottom"/>
          </w:tcPr>
          <w:p>
            <w:pPr>
              <w:spacing w:after="0"/>
              <w:rPr>
                <w:sz w:val="19"/>
                <w:szCs w:val="19"/>
                <w:color w:val="auto"/>
              </w:rPr>
            </w:pPr>
          </w:p>
        </w:tc>
        <w:tc>
          <w:tcPr>
            <w:tcW w:w="1460" w:type="dxa"/>
            <w:vAlign w:val="bottom"/>
            <w:gridSpan w:val="3"/>
          </w:tcPr>
          <w:p>
            <w:pPr>
              <w:ind w:left="200"/>
              <w:spacing w:after="0"/>
              <w:rPr>
                <w:sz w:val="20"/>
                <w:szCs w:val="20"/>
                <w:color w:val="auto"/>
              </w:rPr>
            </w:pPr>
            <w:r>
              <w:rPr>
                <w:rFonts w:ascii="Arial" w:cs="Arial" w:eastAsia="Arial" w:hAnsi="Arial"/>
                <w:sz w:val="16"/>
                <w:szCs w:val="16"/>
                <w:b w:val="1"/>
                <w:bCs w:val="1"/>
                <w:color w:val="auto"/>
              </w:rPr>
              <w:t>June 30, 2023</w:t>
            </w:r>
          </w:p>
        </w:tc>
      </w:tr>
      <w:tr>
        <w:trPr>
          <w:trHeight w:val="199"/>
        </w:trPr>
        <w:tc>
          <w:tcPr>
            <w:tcW w:w="8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380" w:type="dxa"/>
            <w:vAlign w:val="bottom"/>
            <w:tcBorders>
              <w:top w:val="single" w:sz="8" w:color="auto"/>
            </w:tcBorders>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216,096</w:t>
            </w:r>
          </w:p>
        </w:tc>
        <w:tc>
          <w:tcPr>
            <w:tcW w:w="340" w:type="dxa"/>
            <w:vAlign w:val="bottom"/>
            <w:tcBorders>
              <w:top w:val="single" w:sz="8" w:color="E5FFFF"/>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right"/>
              <w:ind w:right="49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w w:val="89"/>
              </w:rPr>
              <w:t>227,766</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6"/>
                <w:szCs w:val="16"/>
                <w:color w:val="auto"/>
              </w:rPr>
              <w:t>Profit for the period</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48,369</w:t>
            </w:r>
          </w:p>
        </w:tc>
        <w:tc>
          <w:tcPr>
            <w:tcW w:w="1140" w:type="dxa"/>
            <w:vAlign w:val="bottom"/>
            <w:gridSpan w:val="2"/>
          </w:tcPr>
          <w:p>
            <w:pPr>
              <w:jc w:val="right"/>
              <w:ind w:right="49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73,392</w:t>
            </w:r>
          </w:p>
        </w:tc>
        <w:tc>
          <w:tcPr>
            <w:tcW w:w="100" w:type="dxa"/>
            <w:vAlign w:val="bottom"/>
          </w:tcPr>
          <w:p>
            <w:pPr>
              <w:spacing w:after="0"/>
              <w:rPr>
                <w:sz w:val="17"/>
                <w:szCs w:val="17"/>
                <w:color w:val="auto"/>
              </w:rPr>
            </w:pPr>
          </w:p>
        </w:tc>
      </w:tr>
      <w:tr>
        <w:trPr>
          <w:trHeight w:val="243"/>
        </w:trPr>
        <w:tc>
          <w:tcPr>
            <w:tcW w:w="8100" w:type="dxa"/>
            <w:vAlign w:val="bottom"/>
            <w:shd w:val="clear" w:color="auto" w:fill="E5FFFF"/>
          </w:tcPr>
          <w:p>
            <w:pPr>
              <w:spacing w:after="0" w:line="243"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1</w:t>
            </w:r>
          </w:p>
        </w:tc>
        <w:tc>
          <w:tcPr>
            <w:tcW w:w="38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165,510</w:t>
            </w:r>
          </w:p>
        </w:tc>
        <w:tc>
          <w:tcPr>
            <w:tcW w:w="1140" w:type="dxa"/>
            <w:vAlign w:val="bottom"/>
            <w:gridSpan w:val="2"/>
            <w:shd w:val="clear" w:color="auto" w:fill="E5FFFF"/>
          </w:tcPr>
          <w:p>
            <w:pPr>
              <w:jc w:val="right"/>
              <w:ind w:right="499"/>
              <w:spacing w:after="0"/>
              <w:rPr>
                <w:sz w:val="20"/>
                <w:szCs w:val="20"/>
                <w:color w:val="auto"/>
              </w:rPr>
            </w:pPr>
            <w:r>
              <w:rPr>
                <w:rFonts w:ascii="Arial" w:cs="Arial" w:eastAsia="Arial" w:hAnsi="Arial"/>
                <w:sz w:val="16"/>
                <w:szCs w:val="16"/>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6"/>
                <w:szCs w:val="16"/>
                <w:color w:val="auto"/>
                <w:w w:val="89"/>
              </w:rPr>
              <w:t>178,523</w:t>
            </w:r>
          </w:p>
        </w:tc>
        <w:tc>
          <w:tcPr>
            <w:tcW w:w="100" w:type="dxa"/>
            <w:vAlign w:val="bottom"/>
            <w:shd w:val="clear" w:color="auto" w:fill="E5FFFF"/>
          </w:tcPr>
          <w:p>
            <w:pPr>
              <w:spacing w:after="0"/>
              <w:rPr>
                <w:sz w:val="21"/>
                <w:szCs w:val="21"/>
                <w:color w:val="auto"/>
              </w:rPr>
            </w:pPr>
          </w:p>
        </w:tc>
      </w:tr>
      <w:tr>
        <w:trPr>
          <w:trHeight w:val="258"/>
        </w:trPr>
        <w:tc>
          <w:tcPr>
            <w:tcW w:w="8100" w:type="dxa"/>
            <w:vAlign w:val="bottom"/>
          </w:tcPr>
          <w:p>
            <w:pPr>
              <w:spacing w:after="0" w:line="257" w:lineRule="exact"/>
              <w:rPr>
                <w:sz w:val="20"/>
                <w:szCs w:val="20"/>
                <w:color w:val="auto"/>
              </w:rPr>
            </w:pPr>
            <w:r>
              <w:rPr>
                <w:rFonts w:ascii="Arial" w:cs="Arial" w:eastAsia="Arial" w:hAnsi="Arial"/>
                <w:sz w:val="16"/>
                <w:szCs w:val="16"/>
                <w:color w:val="auto"/>
              </w:rPr>
              <w:t>Adjusted Profit</w:t>
            </w:r>
            <w:r>
              <w:rPr>
                <w:rFonts w:ascii="Arial" w:cs="Arial" w:eastAsia="Arial" w:hAnsi="Arial"/>
                <w:sz w:val="26"/>
                <w:szCs w:val="26"/>
                <w:color w:val="auto"/>
                <w:vertAlign w:val="superscript"/>
              </w:rPr>
              <w:t>1</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62,452</w:t>
            </w:r>
          </w:p>
        </w:tc>
        <w:tc>
          <w:tcPr>
            <w:tcW w:w="1140" w:type="dxa"/>
            <w:vAlign w:val="bottom"/>
            <w:gridSpan w:val="2"/>
          </w:tcPr>
          <w:p>
            <w:pPr>
              <w:jc w:val="right"/>
              <w:ind w:right="49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66,660</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-848995</wp:posOffset>
            </wp:positionV>
            <wp:extent cx="68580" cy="840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40105"/>
                    </a:xfrm>
                    <a:prstGeom prst="rect">
                      <a:avLst/>
                    </a:prstGeom>
                    <a:noFill/>
                  </pic:spPr>
                </pic:pic>
              </a:graphicData>
            </a:graphic>
          </wp:anchor>
        </w:drawing>
      </w:r>
    </w:p>
    <w:p>
      <w:pPr>
        <w:spacing w:after="0" w:line="46" w:lineRule="exact"/>
        <w:rPr>
          <w:sz w:val="20"/>
          <w:szCs w:val="20"/>
          <w:color w:val="auto"/>
        </w:rPr>
      </w:pPr>
    </w:p>
    <w:p>
      <w:pPr>
        <w:jc w:val="both"/>
        <w:ind w:right="20" w:firstLine="48"/>
        <w:spacing w:after="0" w:line="180" w:lineRule="auto"/>
        <w:tabs>
          <w:tab w:leader="none" w:pos="153" w:val="left"/>
        </w:tabs>
        <w:numPr>
          <w:ilvl w:val="0"/>
          <w:numId w:val="2"/>
        </w:numPr>
        <w:rPr>
          <w:rFonts w:ascii="Arial" w:cs="Arial" w:eastAsia="Arial" w:hAnsi="Arial"/>
          <w:sz w:val="27"/>
          <w:szCs w:val="27"/>
          <w:color w:val="auto"/>
          <w:vertAlign w:val="superscript"/>
        </w:rPr>
      </w:pPr>
      <w:r>
        <w:rPr>
          <w:rFonts w:ascii="Arial" w:cs="Arial" w:eastAsia="Arial" w:hAnsi="Arial"/>
          <w:sz w:val="13"/>
          <w:szCs w:val="13"/>
          <w:color w:val="auto"/>
        </w:rPr>
        <w:t>Adjusted EBITDA and Adjusted Profit are non-GAAP financial measures and should not be used in isolation or as substitutes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95" w:lineRule="exact"/>
        <w:rPr>
          <w:sz w:val="20"/>
          <w:szCs w:val="20"/>
          <w:color w:val="auto"/>
        </w:rPr>
      </w:pPr>
    </w:p>
    <w:p>
      <w:pPr>
        <w:ind w:right="40" w:firstLine="324"/>
        <w:spacing w:after="0" w:line="269" w:lineRule="auto"/>
        <w:rPr>
          <w:sz w:val="20"/>
          <w:szCs w:val="20"/>
          <w:color w:val="auto"/>
        </w:rPr>
      </w:pPr>
      <w:r>
        <w:rPr>
          <w:rFonts w:ascii="Arial" w:cs="Arial" w:eastAsia="Arial" w:hAnsi="Arial"/>
          <w:sz w:val="16"/>
          <w:szCs w:val="16"/>
          <w:color w:val="auto"/>
        </w:rPr>
        <w:t xml:space="preserve">There were 2,887 available days for the quarter ended June 30, 2023, as compared to 3,175 available days for the quarter ended June 30, 2022. Available days represent total calendar days in the period after deducting off-hire days where vessels are undergoing dry-dockings and unavailable days (for example, days before and after a dry-docking where the vessel has limited practical ability for chartering opportunities). The decrease in available days was attributable to the increase in off-hire days for scheduled dry-dockings (nil dry-docking off-hire days in the three-month period ended June 30, 2022, compared to 78 dry-docking off-hire days in the three-month period ended June 30, 2023), the sale of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in September 2022, and to the Floating Storage Regasification Unit (“FSRU”) conversion of the </w:t>
      </w:r>
      <w:r>
        <w:rPr>
          <w:rFonts w:ascii="Arial" w:cs="Arial" w:eastAsia="Arial" w:hAnsi="Arial"/>
          <w:sz w:val="16"/>
          <w:szCs w:val="16"/>
          <w:i w:val="1"/>
          <w:iCs w:val="1"/>
          <w:color w:val="auto"/>
        </w:rPr>
        <w:t xml:space="preserve">Alexandroupoli </w:t>
      </w:r>
      <w:r>
        <w:rPr>
          <w:rFonts w:ascii="Arial" w:cs="Arial" w:eastAsia="Arial" w:hAnsi="Arial"/>
          <w:sz w:val="16"/>
          <w:szCs w:val="16"/>
          <w:color w:val="auto"/>
        </w:rPr>
        <w:t>that started in February 2023.</w:t>
      </w:r>
    </w:p>
    <w:p>
      <w:pPr>
        <w:spacing w:after="0" w:line="194" w:lineRule="exact"/>
        <w:rPr>
          <w:sz w:val="20"/>
          <w:szCs w:val="20"/>
          <w:color w:val="auto"/>
        </w:rPr>
      </w:pPr>
    </w:p>
    <w:p>
      <w:pPr>
        <w:jc w:val="both"/>
        <w:ind w:right="40" w:firstLine="324"/>
        <w:spacing w:after="0" w:line="278" w:lineRule="auto"/>
        <w:rPr>
          <w:sz w:val="20"/>
          <w:szCs w:val="20"/>
          <w:color w:val="auto"/>
        </w:rPr>
      </w:pPr>
      <w:r>
        <w:rPr>
          <w:rFonts w:ascii="Arial" w:cs="Arial" w:eastAsia="Arial" w:hAnsi="Arial"/>
          <w:sz w:val="16"/>
          <w:szCs w:val="16"/>
          <w:color w:val="auto"/>
        </w:rPr>
        <w:t>Revenues were $227.8 million for the quarter ended June 30, 2023 ($216.1 million for the quarter ended June 30, 2022). The increase in revenues is mainly attributable to a net increase in revenues from our vessels operating in the spot and short-term markets in the second quarter of 2023. This net increase was partially offset by a decrease in available days explained above.</w:t>
      </w:r>
    </w:p>
    <w:p>
      <w:pPr>
        <w:spacing w:after="0" w:line="184" w:lineRule="exact"/>
        <w:rPr>
          <w:sz w:val="20"/>
          <w:szCs w:val="20"/>
          <w:color w:val="auto"/>
        </w:rPr>
      </w:pPr>
    </w:p>
    <w:p>
      <w:pPr>
        <w:ind w:right="140" w:firstLine="324"/>
        <w:spacing w:after="0" w:line="318" w:lineRule="auto"/>
        <w:rPr>
          <w:sz w:val="20"/>
          <w:szCs w:val="20"/>
          <w:color w:val="auto"/>
        </w:rPr>
      </w:pPr>
      <w:r>
        <w:rPr>
          <w:rFonts w:ascii="Arial" w:cs="Arial" w:eastAsia="Arial" w:hAnsi="Arial"/>
          <w:sz w:val="14"/>
          <w:szCs w:val="14"/>
          <w:color w:val="auto"/>
        </w:rPr>
        <w:t>Profit for the period was $73.4 million for the quarter ended June 30, 2023 ($48.4 million for the quarter ended June 30, 2022). The increase in profit is mainly attributable to the non-cash impairment loss recognized in the second quarter of 2022 (nil in the second quarter of 2023), the increase in revenues, as discussed above, the increase in realized gain from derivatives held for trading and the increase in financial income, partially offset by the decrease in gain from the marked-to-market valuation of our derivative financial instruments carried at fair value through profit or loss due to changes in the forward yield curve and the increase in financial costs, mainly attributable to the increase in interest expense on loans, all as a result of the increased interest rates in the second quarter of 2023 as compared to the same period in 2022.</w:t>
      </w:r>
    </w:p>
    <w:p>
      <w:pPr>
        <w:spacing w:after="0" w:line="162" w:lineRule="exact"/>
        <w:rPr>
          <w:sz w:val="20"/>
          <w:szCs w:val="20"/>
          <w:color w:val="auto"/>
        </w:rPr>
      </w:pPr>
    </w:p>
    <w:p>
      <w:pPr>
        <w:ind w:firstLine="324"/>
        <w:spacing w:after="0" w:line="305" w:lineRule="auto"/>
        <w:rPr>
          <w:sz w:val="20"/>
          <w:szCs w:val="20"/>
          <w:color w:val="auto"/>
        </w:rPr>
      </w:pPr>
      <w:r>
        <w:rPr>
          <w:rFonts w:ascii="Arial" w:cs="Arial" w:eastAsia="Arial" w:hAnsi="Arial"/>
          <w:sz w:val="15"/>
          <w:szCs w:val="15"/>
          <w:color w:val="auto"/>
        </w:rPr>
        <w:t>Adjusted EBITDA was $178.5 million for the quarter ended June 30, 2023 ($165.5 million for the quarter ended June 30, 2022). The increase in Adjusted EBITDA is mainly attributable to the increase in revenues of $11.7 million, as discussed above, and the decrease of $4.0 million in vessel operating and supervision costs, largely related to cost savings in 2023 following the relaxation of our COVID-19 enhanced protocols, partially offset by an increase in voyage expenses of $3.0 million.</w:t>
      </w:r>
    </w:p>
    <w:p>
      <w:pPr>
        <w:spacing w:after="0" w:line="166" w:lineRule="exact"/>
        <w:rPr>
          <w:sz w:val="20"/>
          <w:szCs w:val="20"/>
          <w:color w:val="auto"/>
        </w:rPr>
      </w:pPr>
    </w:p>
    <w:p>
      <w:pPr>
        <w:jc w:val="both"/>
        <w:ind w:right="220" w:firstLine="324"/>
        <w:spacing w:after="0" w:line="305" w:lineRule="auto"/>
        <w:rPr>
          <w:sz w:val="20"/>
          <w:szCs w:val="20"/>
          <w:color w:val="auto"/>
        </w:rPr>
      </w:pPr>
      <w:r>
        <w:rPr>
          <w:rFonts w:ascii="Arial" w:cs="Arial" w:eastAsia="Arial" w:hAnsi="Arial"/>
          <w:sz w:val="15"/>
          <w:szCs w:val="15"/>
          <w:color w:val="auto"/>
        </w:rPr>
        <w:t>Adjusted Profit was $66.7 million for the quarter ended June 30, 2023 ($62.5 million for the quarter ended June 30, 2022). The increase in Adjusted Profit is mainly attributable to the increase in Adjusted EBITDA, the increase in realized gain from derivatives held for trading and the increase in financial income, partially offset by the increase in financial costs, all as a result of the increase in interest rates in the second quarter of 2023 as compared to the same period in 2022.</w:t>
      </w:r>
    </w:p>
    <w:p>
      <w:pPr>
        <w:spacing w:after="0" w:line="166"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As of June 30, 2023, GasLog had $488.1 million of cash and cash equivalents. An additional amount of $41.0 million of time deposits with an original duration greater than three months was classified under short-term cash deposits.</w:t>
      </w:r>
    </w:p>
    <w:p>
      <w:pPr>
        <w:spacing w:after="0" w:line="172" w:lineRule="exact"/>
        <w:rPr>
          <w:sz w:val="20"/>
          <w:szCs w:val="20"/>
          <w:color w:val="auto"/>
        </w:rPr>
      </w:pPr>
    </w:p>
    <w:p>
      <w:pPr>
        <w:ind w:right="240" w:firstLine="324"/>
        <w:spacing w:after="0" w:line="291" w:lineRule="auto"/>
        <w:rPr>
          <w:sz w:val="20"/>
          <w:szCs w:val="20"/>
          <w:color w:val="auto"/>
        </w:rPr>
      </w:pPr>
      <w:r>
        <w:rPr>
          <w:rFonts w:ascii="Arial" w:cs="Arial" w:eastAsia="Arial" w:hAnsi="Arial"/>
          <w:sz w:val="15"/>
          <w:szCs w:val="15"/>
          <w:color w:val="auto"/>
        </w:rPr>
        <w:t xml:space="preserve">As of June 30, 2023, GasLog had an aggregate of $3.0 billion of indebtedness outstanding under its credit facilities and bond agreements, of which $382.4 million is repayable within one year. Current bank borrowings include an amount of a) $152.5 million with respect to the credit facility of up to $450.0 million of GAS-four Ltd., GAS-sixteen Ltd. and GAS-seventeen Ltd. with Credit Suisse AG, Nordea Bank Abp, filial I Norge, Iyo Bank Ltd., Singapore Branch and the Development Bank of Japan, Inc. which matures in February 2024, b) $31.6 million with respect to the associated debt of </w:t>
      </w:r>
      <w:r>
        <w:rPr>
          <w:rFonts w:ascii="Arial" w:cs="Arial" w:eastAsia="Arial" w:hAnsi="Arial"/>
          <w:sz w:val="15"/>
          <w:szCs w:val="15"/>
          <w:i w:val="1"/>
          <w:iCs w:val="1"/>
          <w:color w:val="auto"/>
        </w:rPr>
        <w:t>GasLog Athens</w:t>
      </w:r>
      <w:r>
        <w:rPr>
          <w:rFonts w:ascii="Arial" w:cs="Arial" w:eastAsia="Arial" w:hAnsi="Arial"/>
          <w:sz w:val="15"/>
          <w:szCs w:val="15"/>
          <w:color w:val="auto"/>
        </w:rPr>
        <w:t xml:space="preserve"> classified as held for sale as of June 30, 2023 and c) $15.0 million with respect to a prepayment effected in July 2023 in accordance with the 7.75% Notes due in 2029. Furthermore, as of June 30, 2023, we also had an aggregate of $418.3 million of lease liabilities</w:t>
      </w:r>
      <w:r>
        <w:rPr>
          <w:rFonts w:ascii="Arial" w:cs="Arial" w:eastAsia="Arial" w:hAnsi="Arial"/>
          <w:sz w:val="15"/>
          <w:szCs w:val="15"/>
          <w:i w:val="1"/>
          <w:iCs w:val="1"/>
          <w:color w:val="auto"/>
        </w:rPr>
        <w:t>,</w:t>
      </w:r>
      <w:r>
        <w:rPr>
          <w:rFonts w:ascii="Arial" w:cs="Arial" w:eastAsia="Arial" w:hAnsi="Arial"/>
          <w:sz w:val="15"/>
          <w:szCs w:val="15"/>
          <w:color w:val="auto"/>
        </w:rPr>
        <w:t xml:space="preserve"> of which $70.2 million is payable within one year.</w:t>
      </w:r>
    </w:p>
    <w:p>
      <w:pPr>
        <w:spacing w:after="0" w:line="176" w:lineRule="exact"/>
        <w:rPr>
          <w:sz w:val="20"/>
          <w:szCs w:val="20"/>
          <w:color w:val="auto"/>
        </w:rPr>
      </w:pPr>
    </w:p>
    <w:p>
      <w:pPr>
        <w:ind w:right="220" w:firstLine="324"/>
        <w:spacing w:after="0" w:line="328" w:lineRule="auto"/>
        <w:rPr>
          <w:sz w:val="20"/>
          <w:szCs w:val="20"/>
          <w:color w:val="auto"/>
        </w:rPr>
      </w:pPr>
      <w:r>
        <w:rPr>
          <w:rFonts w:ascii="Arial" w:cs="Arial" w:eastAsia="Arial" w:hAnsi="Arial"/>
          <w:sz w:val="15"/>
          <w:szCs w:val="15"/>
          <w:color w:val="auto"/>
        </w:rPr>
        <w:t>As of June 30, 2023, the total remaining balance of the contract prices of the four LNG carriers on order was $618.1 million, of which $82.4 million is due within 12 months and will be funded by the four sale and leaseback agreements entered into on July 6, 2022 with CMB Financial Leasing Co., Ltd. (“CMBFL”).</w:t>
      </w:r>
    </w:p>
    <w:p>
      <w:pPr>
        <w:spacing w:after="0" w:line="150"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As of June 30, 2023, GasLog’s current assets totaled $657.6 million, while current liabilities totaled $659.2 million, resulting in a negative working capital position of $1.6 million. Current liabilities include $73.6 million of unearned revenue in relation to hires received in advance of June 30, 2023 (which represents a non-cash liability that will be recognized as revenue in July 2023 as the services are rendered).</w:t>
      </w:r>
    </w:p>
    <w:p>
      <w:pPr>
        <w:spacing w:after="0" w:line="184" w:lineRule="exact"/>
        <w:rPr>
          <w:sz w:val="20"/>
          <w:szCs w:val="20"/>
          <w:color w:val="auto"/>
        </w:rPr>
      </w:pPr>
    </w:p>
    <w:p>
      <w:pPr>
        <w:ind w:right="180" w:firstLine="324"/>
        <w:spacing w:after="0" w:line="273" w:lineRule="auto"/>
        <w:rPr>
          <w:sz w:val="20"/>
          <w:szCs w:val="20"/>
          <w:color w:val="auto"/>
        </w:rPr>
      </w:pPr>
      <w:r>
        <w:rPr>
          <w:rFonts w:ascii="Arial" w:cs="Arial" w:eastAsia="Arial" w:hAnsi="Arial"/>
          <w:sz w:val="16"/>
          <w:szCs w:val="16"/>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We anticipate that our primary sources of funds for at least twelve months from the date of this report will be available cash, cash from operations, existing and future borrowings and future sale and lease-back transactions. We believe that these anticipated sources of funds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5" w:name="page6"/>
    <w:bookmarkEnd w:id="5"/>
    <w:p>
      <w:pPr>
        <w:spacing w:after="0" w:line="1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will be sufficient to meet our liquidity needs and to comply with our financial covenants for at least twelve months from the date of this report and therefore it is appropriate to prepare the financial statements on a going concern basis.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Partners Preference Unit Repurchase Programme</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quarter ended June 30, 2023, there were no repurchases of preference units, due to an extended blackout period in relation to the Transaction.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Preference Shares Repurchase Programme</w:t>
      </w:r>
    </w:p>
    <w:p>
      <w:pPr>
        <w:spacing w:after="0" w:line="23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5"/>
          <w:szCs w:val="15"/>
          <w:color w:val="auto"/>
        </w:rPr>
        <w:t>On August 2, 2023, the board of directors approved a preference share repurchase programme of up to $35.0 million of the Company's Preference Shares, effective immediately. Under the terms of the preference repurchase programme, the Company may repurchase Preference Shares from time to time, at the Company's discretion, on the open market, in privately negotiated transactions or through redemptions. Any repurchases are subject to market conditions, applicable legal requirements and other considerations. The Company is not obligated under the preference repurchase programme to repurchase any specific dollar amount or number of Preference Shares, and the preference repurchase programme may be modified, suspended or discontinued at any time or never utilized.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Fleet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August 3, 2023, our wholly owned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5"/>
              </w:rPr>
              <w:t>Cargo</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Charter</w:t>
            </w:r>
          </w:p>
        </w:tc>
        <w:tc>
          <w:tcPr>
            <w:tcW w:w="10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Optional</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ind w:left="400"/>
              <w:spacing w:after="0" w:line="163" w:lineRule="exact"/>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4"/>
                <w:szCs w:val="14"/>
                <w:color w:val="auto"/>
              </w:rPr>
            </w:pPr>
          </w:p>
        </w:tc>
        <w:tc>
          <w:tcPr>
            <w:tcW w:w="134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2"/>
              </w:rPr>
              <w:t>Capacity</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Vessel Name</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Built</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Propulsion</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6"/>
                <w:szCs w:val="26"/>
                <w:b w:val="1"/>
                <w:bCs w:val="1"/>
                <w:color w:val="auto"/>
                <w:w w:val="90"/>
                <w:vertAlign w:val="superscript"/>
              </w:rPr>
              <w:t>(1)</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7"/>
              </w:rPr>
              <w:t>Period</w:t>
            </w:r>
            <w:r>
              <w:rPr>
                <w:rFonts w:ascii="Arial" w:cs="Arial" w:eastAsia="Arial" w:hAnsi="Arial"/>
                <w:sz w:val="26"/>
                <w:szCs w:val="26"/>
                <w:b w:val="1"/>
                <w:bCs w:val="1"/>
                <w:color w:val="auto"/>
                <w:w w:val="87"/>
                <w:vertAlign w:val="superscript"/>
              </w:rPr>
              <w:t>(2)</w:t>
            </w:r>
          </w:p>
        </w:tc>
        <w:tc>
          <w:tcPr>
            <w:tcW w:w="0" w:type="dxa"/>
            <w:vAlign w:val="bottom"/>
          </w:tcPr>
          <w:p>
            <w:pPr>
              <w:spacing w:after="0"/>
              <w:rPr>
                <w:sz w:val="1"/>
                <w:szCs w:val="1"/>
                <w:color w:val="auto"/>
              </w:rPr>
            </w:pPr>
          </w:p>
        </w:tc>
      </w:tr>
      <w:tr>
        <w:trPr>
          <w:trHeight w:val="237"/>
        </w:trPr>
        <w:tc>
          <w:tcPr>
            <w:tcW w:w="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440" w:type="dxa"/>
            <w:vAlign w:val="bottom"/>
            <w:shd w:val="clear" w:color="auto" w:fill="E5FFFF"/>
          </w:tcPr>
          <w:p>
            <w:pPr>
              <w:ind w:left="80"/>
              <w:spacing w:after="0" w:line="236" w:lineRule="exact"/>
              <w:rPr>
                <w:sz w:val="20"/>
                <w:szCs w:val="20"/>
                <w:color w:val="auto"/>
              </w:rPr>
            </w:pPr>
            <w:r>
              <w:rPr>
                <w:rFonts w:ascii="Arial" w:cs="Arial" w:eastAsia="Arial" w:hAnsi="Arial"/>
                <w:sz w:val="16"/>
                <w:szCs w:val="16"/>
                <w:i w:val="1"/>
                <w:iCs w:val="1"/>
                <w:color w:val="auto"/>
              </w:rPr>
              <w:t xml:space="preserve">Alexandroupoli </w:t>
            </w:r>
            <w:r>
              <w:rPr>
                <w:rFonts w:ascii="Arial" w:cs="Arial" w:eastAsia="Arial" w:hAnsi="Arial"/>
                <w:sz w:val="26"/>
                <w:szCs w:val="26"/>
                <w:i w:val="1"/>
                <w:iCs w:val="1"/>
                <w:color w:val="auto"/>
                <w:vertAlign w:val="superscript"/>
              </w:rPr>
              <w:t>(3)</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2010</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153,600</w:t>
            </w:r>
          </w:p>
        </w:tc>
        <w:tc>
          <w:tcPr>
            <w:tcW w:w="120" w:type="dxa"/>
            <w:vAlign w:val="bottom"/>
            <w:shd w:val="clear" w:color="auto" w:fill="E5FFFF"/>
          </w:tcPr>
          <w:p>
            <w:pPr>
              <w:spacing w:after="0"/>
              <w:rPr>
                <w:sz w:val="20"/>
                <w:szCs w:val="20"/>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n/a</w:t>
            </w:r>
          </w:p>
        </w:tc>
        <w:tc>
          <w:tcPr>
            <w:tcW w:w="120" w:type="dxa"/>
            <w:vAlign w:val="bottom"/>
            <w:shd w:val="clear" w:color="auto" w:fill="E5FFFF"/>
          </w:tcPr>
          <w:p>
            <w:pPr>
              <w:spacing w:after="0"/>
              <w:rPr>
                <w:sz w:val="20"/>
                <w:szCs w:val="20"/>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shd w:val="clear" w:color="auto" w:fill="E5FFFF"/>
          </w:tcPr>
          <w:p>
            <w:pPr>
              <w:spacing w:after="0"/>
              <w:rPr>
                <w:sz w:val="20"/>
                <w:szCs w:val="20"/>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n/a</w:t>
            </w:r>
          </w:p>
        </w:tc>
        <w:tc>
          <w:tcPr>
            <w:tcW w:w="100" w:type="dxa"/>
            <w:vAlign w:val="bottom"/>
            <w:shd w:val="clear" w:color="auto" w:fill="E5FFFF"/>
          </w:tcPr>
          <w:p>
            <w:pPr>
              <w:spacing w:after="0"/>
              <w:rPr>
                <w:sz w:val="20"/>
                <w:szCs w:val="20"/>
                <w:color w:val="auto"/>
              </w:rPr>
            </w:pP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193"/>
        </w:trPr>
        <w:tc>
          <w:tcPr>
            <w:tcW w:w="260" w:type="dxa"/>
            <w:vAlign w:val="bottom"/>
            <w:vMerge w:val="restart"/>
          </w:tcPr>
          <w:p>
            <w:pPr>
              <w:spacing w:after="0"/>
              <w:rPr>
                <w:sz w:val="20"/>
                <w:szCs w:val="20"/>
                <w:color w:val="auto"/>
              </w:rPr>
            </w:pPr>
            <w:r>
              <w:rPr>
                <w:rFonts w:ascii="Arial" w:cs="Arial" w:eastAsia="Arial" w:hAnsi="Arial"/>
                <w:sz w:val="16"/>
                <w:szCs w:val="16"/>
                <w:b w:val="1"/>
                <w:bCs w:val="1"/>
                <w:color w:val="auto"/>
              </w:rPr>
              <w:t>2</w:t>
            </w: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Multinational Oil</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4"/>
              </w:rPr>
              <w:t xml:space="preserve">2025 </w:t>
            </w:r>
            <w:r>
              <w:rPr>
                <w:rFonts w:ascii="Arial" w:cs="Arial" w:eastAsia="Arial" w:hAnsi="Arial"/>
                <w:sz w:val="26"/>
                <w:szCs w:val="26"/>
                <w:color w:val="auto"/>
                <w:w w:val="84"/>
                <w:vertAlign w:val="superscript"/>
              </w:rPr>
              <w:t>(4)</w:t>
            </w:r>
          </w:p>
        </w:tc>
        <w:tc>
          <w:tcPr>
            <w:tcW w:w="0" w:type="dxa"/>
            <w:vAlign w:val="bottom"/>
          </w:tcPr>
          <w:p>
            <w:pPr>
              <w:spacing w:after="0"/>
              <w:rPr>
                <w:sz w:val="1"/>
                <w:szCs w:val="1"/>
                <w:color w:val="auto"/>
              </w:rPr>
            </w:pPr>
          </w:p>
        </w:tc>
      </w:tr>
      <w:tr>
        <w:trPr>
          <w:trHeight w:val="212"/>
        </w:trPr>
        <w:tc>
          <w:tcPr>
            <w:tcW w:w="260" w:type="dxa"/>
            <w:vAlign w:val="bottom"/>
            <w:vMerge w:val="continue"/>
          </w:tcPr>
          <w:p>
            <w:pPr>
              <w:spacing w:after="0"/>
              <w:rPr>
                <w:sz w:val="18"/>
                <w:szCs w:val="18"/>
                <w:color w:val="auto"/>
              </w:rPr>
            </w:pP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Savannah</w:t>
            </w:r>
          </w:p>
        </w:tc>
        <w:tc>
          <w:tcPr>
            <w:tcW w:w="1240" w:type="dxa"/>
            <w:vAlign w:val="bottom"/>
            <w:gridSpan w:val="2"/>
          </w:tcPr>
          <w:p>
            <w:pPr>
              <w:ind w:left="520"/>
              <w:spacing w:after="0"/>
              <w:rPr>
                <w:sz w:val="20"/>
                <w:szCs w:val="20"/>
                <w:color w:val="auto"/>
              </w:rPr>
            </w:pPr>
            <w:r>
              <w:rPr>
                <w:rFonts w:ascii="Arial" w:cs="Arial" w:eastAsia="Arial" w:hAnsi="Arial"/>
                <w:sz w:val="16"/>
                <w:szCs w:val="16"/>
                <w:color w:val="auto"/>
              </w:rPr>
              <w:t>2010</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and Gas Company</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July 2024</w:t>
            </w: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60" w:type="dxa"/>
            <w:vAlign w:val="bottom"/>
            <w:shd w:val="clear" w:color="auto" w:fill="E5FFFF"/>
          </w:tcPr>
          <w:p>
            <w:pPr>
              <w:spacing w:after="0"/>
              <w:rPr>
                <w:sz w:val="16"/>
                <w:szCs w:val="16"/>
                <w:color w:val="auto"/>
              </w:rPr>
            </w:pPr>
          </w:p>
        </w:tc>
        <w:tc>
          <w:tcPr>
            <w:tcW w:w="24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1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NFE Transport</w:t>
            </w:r>
          </w:p>
        </w:tc>
        <w:tc>
          <w:tcPr>
            <w:tcW w:w="12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3</w:t>
            </w:r>
          </w:p>
        </w:tc>
        <w:tc>
          <w:tcPr>
            <w:tcW w:w="2440" w:type="dxa"/>
            <w:vAlign w:val="bottom"/>
            <w:shd w:val="clear" w:color="auto" w:fill="E5FFFF"/>
          </w:tcPr>
          <w:p>
            <w:pPr>
              <w:ind w:left="80"/>
              <w:spacing w:after="0"/>
              <w:rPr>
                <w:sz w:val="20"/>
                <w:szCs w:val="20"/>
                <w:color w:val="auto"/>
              </w:rPr>
            </w:pPr>
            <w:r>
              <w:rPr>
                <w:rFonts w:ascii="Arial" w:cs="Arial" w:eastAsia="Arial" w:hAnsi="Arial"/>
                <w:sz w:val="16"/>
                <w:szCs w:val="16"/>
                <w:i w:val="1"/>
                <w:iCs w:val="1"/>
                <w:color w:val="auto"/>
              </w:rPr>
              <w:t>GasLog Singapore</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2010</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22"/>
                <w:szCs w:val="22"/>
                <w:color w:val="auto"/>
              </w:rPr>
            </w:pPr>
          </w:p>
        </w:tc>
        <w:tc>
          <w:tcPr>
            <w:tcW w:w="1340" w:type="dxa"/>
            <w:vAlign w:val="bottom"/>
            <w:shd w:val="clear" w:color="auto" w:fill="E5FFFF"/>
          </w:tcPr>
          <w:p>
            <w:pPr>
              <w:jc w:val="center"/>
              <w:spacing w:after="0" w:line="253" w:lineRule="exact"/>
              <w:rPr>
                <w:sz w:val="20"/>
                <w:szCs w:val="20"/>
                <w:color w:val="auto"/>
              </w:rPr>
            </w:pPr>
            <w:r>
              <w:rPr>
                <w:rFonts w:ascii="Arial" w:cs="Arial" w:eastAsia="Arial" w:hAnsi="Arial"/>
                <w:sz w:val="16"/>
                <w:szCs w:val="16"/>
                <w:color w:val="auto"/>
                <w:w w:val="90"/>
              </w:rPr>
              <w:t xml:space="preserve">Partners LLC </w:t>
            </w:r>
            <w:r>
              <w:rPr>
                <w:rFonts w:ascii="Arial" w:cs="Arial" w:eastAsia="Arial" w:hAnsi="Arial"/>
                <w:sz w:val="26"/>
                <w:szCs w:val="26"/>
                <w:color w:val="auto"/>
                <w:w w:val="90"/>
                <w:vertAlign w:val="superscript"/>
              </w:rPr>
              <w:t>(5)</w:t>
            </w:r>
          </w:p>
        </w:tc>
        <w:tc>
          <w:tcPr>
            <w:tcW w:w="120" w:type="dxa"/>
            <w:vAlign w:val="bottom"/>
            <w:shd w:val="clear" w:color="auto" w:fill="E5FFFF"/>
          </w:tcPr>
          <w:p>
            <w:pPr>
              <w:spacing w:after="0"/>
              <w:rPr>
                <w:sz w:val="22"/>
                <w:szCs w:val="22"/>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shd w:val="clear" w:color="auto" w:fill="E5FFFF"/>
          </w:tcPr>
          <w:p>
            <w:pPr>
              <w:spacing w:after="0"/>
              <w:rPr>
                <w:sz w:val="22"/>
                <w:szCs w:val="22"/>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March 2025</w:t>
            </w:r>
          </w:p>
        </w:tc>
        <w:tc>
          <w:tcPr>
            <w:tcW w:w="100" w:type="dxa"/>
            <w:vAlign w:val="bottom"/>
            <w:shd w:val="clear" w:color="auto" w:fill="E5FFFF"/>
          </w:tcPr>
          <w:p>
            <w:pPr>
              <w:spacing w:after="0"/>
              <w:rPr>
                <w:sz w:val="22"/>
                <w:szCs w:val="22"/>
                <w:color w:val="auto"/>
              </w:rPr>
            </w:pPr>
          </w:p>
        </w:tc>
        <w:tc>
          <w:tcPr>
            <w:tcW w:w="1360" w:type="dxa"/>
            <w:vAlign w:val="bottom"/>
            <w:shd w:val="clear" w:color="auto" w:fill="E5FFFF"/>
          </w:tcPr>
          <w:p>
            <w:pPr>
              <w:jc w:val="center"/>
              <w:spacing w:after="0" w:line="253" w:lineRule="exact"/>
              <w:rPr>
                <w:sz w:val="20"/>
                <w:szCs w:val="20"/>
                <w:color w:val="auto"/>
              </w:rPr>
            </w:pPr>
            <w:r>
              <w:rPr>
                <w:rFonts w:ascii="Arial" w:cs="Arial" w:eastAsia="Arial" w:hAnsi="Arial"/>
                <w:sz w:val="16"/>
                <w:szCs w:val="16"/>
                <w:color w:val="auto"/>
                <w:w w:val="85"/>
              </w:rPr>
              <w:t xml:space="preserve">June 2025 </w:t>
            </w:r>
            <w:r>
              <w:rPr>
                <w:rFonts w:ascii="Arial" w:cs="Arial" w:eastAsia="Arial" w:hAnsi="Arial"/>
                <w:sz w:val="26"/>
                <w:szCs w:val="26"/>
                <w:color w:val="auto"/>
                <w:w w:val="85"/>
                <w:vertAlign w:val="superscript"/>
              </w:rPr>
              <w:t>(5)</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5"/>
              </w:rPr>
              <w:t>Dual-fuel medium</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 w:type="dxa"/>
            <w:vAlign w:val="bottom"/>
            <w:vMerge w:val="restart"/>
          </w:tcPr>
          <w:p>
            <w:pPr>
              <w:spacing w:after="0"/>
              <w:rPr>
                <w:sz w:val="20"/>
                <w:szCs w:val="20"/>
                <w:color w:val="auto"/>
              </w:rPr>
            </w:pPr>
            <w:r>
              <w:rPr>
                <w:rFonts w:ascii="Arial" w:cs="Arial" w:eastAsia="Arial" w:hAnsi="Arial"/>
                <w:sz w:val="16"/>
                <w:szCs w:val="16"/>
                <w:b w:val="1"/>
                <w:bCs w:val="1"/>
                <w:color w:val="auto"/>
              </w:rPr>
              <w:t>4</w:t>
            </w: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0"/>
              </w:rPr>
              <w:t>speed propulsion</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 xml:space="preserve">2030-2033 </w:t>
            </w:r>
            <w:r>
              <w:rPr>
                <w:rFonts w:ascii="Arial" w:cs="Arial" w:eastAsia="Arial" w:hAnsi="Arial"/>
                <w:sz w:val="26"/>
                <w:szCs w:val="26"/>
                <w:color w:val="auto"/>
                <w:w w:val="88"/>
                <w:vertAlign w:val="superscript"/>
              </w:rPr>
              <w:t>(6)</w:t>
            </w:r>
          </w:p>
        </w:tc>
        <w:tc>
          <w:tcPr>
            <w:tcW w:w="0" w:type="dxa"/>
            <w:vAlign w:val="bottom"/>
          </w:tcPr>
          <w:p>
            <w:pPr>
              <w:spacing w:after="0"/>
              <w:rPr>
                <w:sz w:val="1"/>
                <w:szCs w:val="1"/>
                <w:color w:val="auto"/>
              </w:rPr>
            </w:pPr>
          </w:p>
        </w:tc>
      </w:tr>
      <w:tr>
        <w:trPr>
          <w:trHeight w:val="212"/>
        </w:trPr>
        <w:tc>
          <w:tcPr>
            <w:tcW w:w="260" w:type="dxa"/>
            <w:vAlign w:val="bottom"/>
            <w:vMerge w:val="continue"/>
          </w:tcPr>
          <w:p>
            <w:pPr>
              <w:spacing w:after="0"/>
              <w:rPr>
                <w:sz w:val="18"/>
                <w:szCs w:val="18"/>
                <w:color w:val="auto"/>
              </w:rPr>
            </w:pP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Genoa</w:t>
            </w:r>
          </w:p>
        </w:tc>
        <w:tc>
          <w:tcPr>
            <w:tcW w:w="1240" w:type="dxa"/>
            <w:vAlign w:val="bottom"/>
            <w:gridSpan w:val="2"/>
          </w:tcPr>
          <w:p>
            <w:pPr>
              <w:ind w:left="520"/>
              <w:spacing w:after="0"/>
              <w:rPr>
                <w:sz w:val="20"/>
                <w:szCs w:val="20"/>
                <w:color w:val="auto"/>
              </w:rPr>
            </w:pPr>
            <w:r>
              <w:rPr>
                <w:rFonts w:ascii="Arial" w:cs="Arial" w:eastAsia="Arial" w:hAnsi="Arial"/>
                <w:sz w:val="16"/>
                <w:szCs w:val="16"/>
                <w:color w:val="auto"/>
              </w:rPr>
              <w:t>2018</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5"/>
              </w:rPr>
              <w:t>Shell</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(“X-DF”)</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2"/>
              </w:rPr>
              <w:t>March 2027</w:t>
            </w: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5</w:t>
            </w:r>
          </w:p>
        </w:tc>
        <w:tc>
          <w:tcPr>
            <w:tcW w:w="2440" w:type="dxa"/>
            <w:vAlign w:val="bottom"/>
            <w:shd w:val="clear" w:color="auto" w:fill="E5FFFF"/>
          </w:tcPr>
          <w:p>
            <w:pPr>
              <w:ind w:left="80"/>
              <w:spacing w:after="0"/>
              <w:rPr>
                <w:sz w:val="20"/>
                <w:szCs w:val="20"/>
                <w:color w:val="auto"/>
              </w:rPr>
            </w:pPr>
            <w:r>
              <w:rPr>
                <w:rFonts w:ascii="Arial" w:cs="Arial" w:eastAsia="Arial" w:hAnsi="Arial"/>
                <w:sz w:val="16"/>
                <w:szCs w:val="16"/>
                <w:i w:val="1"/>
                <w:iCs w:val="1"/>
                <w:color w:val="auto"/>
              </w:rPr>
              <w:t>GasLog Windsor</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2020</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6"/>
                <w:szCs w:val="26"/>
                <w:color w:val="auto"/>
                <w:w w:val="86"/>
                <w:vertAlign w:val="superscript"/>
              </w:rPr>
              <w:t>(7)</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7"/>
              </w:rPr>
              <w:t>April 2027</w:t>
            </w:r>
          </w:p>
        </w:tc>
        <w:tc>
          <w:tcPr>
            <w:tcW w:w="1460" w:type="dxa"/>
            <w:vAlign w:val="bottom"/>
            <w:gridSpan w:val="2"/>
            <w:shd w:val="clear" w:color="auto" w:fill="E5FFFF"/>
          </w:tcPr>
          <w:p>
            <w:pPr>
              <w:jc w:val="center"/>
              <w:spacing w:after="0" w:line="243" w:lineRule="exact"/>
              <w:rPr>
                <w:sz w:val="20"/>
                <w:szCs w:val="20"/>
                <w:color w:val="auto"/>
              </w:rPr>
            </w:pPr>
            <w:r>
              <w:rPr>
                <w:rFonts w:ascii="Arial" w:cs="Arial" w:eastAsia="Arial" w:hAnsi="Arial"/>
                <w:sz w:val="16"/>
                <w:szCs w:val="16"/>
                <w:color w:val="auto"/>
                <w:w w:val="88"/>
              </w:rPr>
              <w:t xml:space="preserve">2029-2033 </w:t>
            </w:r>
            <w:r>
              <w:rPr>
                <w:rFonts w:ascii="Arial" w:cs="Arial" w:eastAsia="Arial" w:hAnsi="Arial"/>
                <w:sz w:val="26"/>
                <w:szCs w:val="26"/>
                <w:color w:val="auto"/>
                <w:w w:val="88"/>
                <w:vertAlign w:val="superscript"/>
              </w:rPr>
              <w:t>(7)</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6</w:t>
            </w: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Westminster</w:t>
            </w:r>
          </w:p>
        </w:tc>
        <w:tc>
          <w:tcPr>
            <w:tcW w:w="1240" w:type="dxa"/>
            <w:vAlign w:val="bottom"/>
            <w:gridSpan w:val="2"/>
          </w:tcPr>
          <w:p>
            <w:pPr>
              <w:ind w:left="520"/>
              <w:spacing w:after="0"/>
              <w:rPr>
                <w:sz w:val="20"/>
                <w:szCs w:val="20"/>
                <w:color w:val="auto"/>
              </w:rPr>
            </w:pPr>
            <w:r>
              <w:rPr>
                <w:rFonts w:ascii="Arial" w:cs="Arial" w:eastAsia="Arial" w:hAnsi="Arial"/>
                <w:sz w:val="16"/>
                <w:szCs w:val="16"/>
                <w:color w:val="auto"/>
              </w:rPr>
              <w:t>2020</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0"/>
              </w:rPr>
              <w:t>Centrica</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X-DF</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July 2027</w:t>
            </w:r>
          </w:p>
        </w:tc>
        <w:tc>
          <w:tcPr>
            <w:tcW w:w="1460" w:type="dxa"/>
            <w:vAlign w:val="bottom"/>
            <w:gridSpan w:val="2"/>
          </w:tcPr>
          <w:p>
            <w:pPr>
              <w:jc w:val="center"/>
              <w:spacing w:after="0" w:line="243" w:lineRule="exact"/>
              <w:rPr>
                <w:sz w:val="20"/>
                <w:szCs w:val="20"/>
                <w:color w:val="auto"/>
              </w:rPr>
            </w:pPr>
            <w:r>
              <w:rPr>
                <w:rFonts w:ascii="Arial" w:cs="Arial" w:eastAsia="Arial" w:hAnsi="Arial"/>
                <w:sz w:val="16"/>
                <w:szCs w:val="16"/>
                <w:color w:val="auto"/>
                <w:w w:val="88"/>
              </w:rPr>
              <w:t xml:space="preserve">2029-2033 </w:t>
            </w:r>
            <w:r>
              <w:rPr>
                <w:rFonts w:ascii="Arial" w:cs="Arial" w:eastAsia="Arial" w:hAnsi="Arial"/>
                <w:sz w:val="26"/>
                <w:szCs w:val="26"/>
                <w:color w:val="auto"/>
                <w:w w:val="88"/>
                <w:vertAlign w:val="superscript"/>
              </w:rPr>
              <w:t>(7)</w:t>
            </w:r>
          </w:p>
        </w:tc>
        <w:tc>
          <w:tcPr>
            <w:tcW w:w="0" w:type="dxa"/>
            <w:vAlign w:val="bottom"/>
          </w:tcPr>
          <w:p>
            <w:pPr>
              <w:spacing w:after="0"/>
              <w:rPr>
                <w:sz w:val="1"/>
                <w:szCs w:val="1"/>
                <w:color w:val="auto"/>
              </w:rPr>
            </w:pPr>
          </w:p>
        </w:tc>
      </w:tr>
      <w:tr>
        <w:trPr>
          <w:trHeight w:val="243"/>
        </w:trPr>
        <w:tc>
          <w:tcPr>
            <w:tcW w:w="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7</w:t>
            </w:r>
          </w:p>
        </w:tc>
        <w:tc>
          <w:tcPr>
            <w:tcW w:w="2440" w:type="dxa"/>
            <w:vAlign w:val="bottom"/>
            <w:shd w:val="clear" w:color="auto" w:fill="E5FFFF"/>
          </w:tcPr>
          <w:p>
            <w:pPr>
              <w:ind w:left="80"/>
              <w:spacing w:after="0"/>
              <w:rPr>
                <w:sz w:val="20"/>
                <w:szCs w:val="20"/>
                <w:color w:val="auto"/>
              </w:rPr>
            </w:pPr>
            <w:r>
              <w:rPr>
                <w:rFonts w:ascii="Arial" w:cs="Arial" w:eastAsia="Arial" w:hAnsi="Arial"/>
                <w:sz w:val="16"/>
                <w:szCs w:val="16"/>
                <w:i w:val="1"/>
                <w:iCs w:val="1"/>
                <w:color w:val="auto"/>
              </w:rPr>
              <w:t>GasLog Georgetown</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2020</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6"/>
              </w:rPr>
              <w:t xml:space="preserve">Cheniere </w:t>
            </w:r>
            <w:r>
              <w:rPr>
                <w:rFonts w:ascii="Arial" w:cs="Arial" w:eastAsia="Arial" w:hAnsi="Arial"/>
                <w:sz w:val="26"/>
                <w:szCs w:val="26"/>
                <w:color w:val="auto"/>
                <w:w w:val="86"/>
                <w:vertAlign w:val="superscript"/>
              </w:rPr>
              <w:t>(8)</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November 2027</w:t>
            </w:r>
          </w:p>
        </w:tc>
        <w:tc>
          <w:tcPr>
            <w:tcW w:w="1460" w:type="dxa"/>
            <w:vAlign w:val="bottom"/>
            <w:gridSpan w:val="2"/>
            <w:shd w:val="clear" w:color="auto" w:fill="E5FFFF"/>
          </w:tcPr>
          <w:p>
            <w:pPr>
              <w:jc w:val="center"/>
              <w:spacing w:after="0" w:line="243" w:lineRule="exact"/>
              <w:rPr>
                <w:sz w:val="20"/>
                <w:szCs w:val="20"/>
                <w:color w:val="auto"/>
              </w:rPr>
            </w:pPr>
            <w:r>
              <w:rPr>
                <w:rFonts w:ascii="Arial" w:cs="Arial" w:eastAsia="Arial" w:hAnsi="Arial"/>
                <w:sz w:val="16"/>
                <w:szCs w:val="16"/>
                <w:color w:val="auto"/>
                <w:w w:val="88"/>
              </w:rPr>
              <w:t xml:space="preserve">2030-2034 </w:t>
            </w:r>
            <w:r>
              <w:rPr>
                <w:rFonts w:ascii="Arial" w:cs="Arial" w:eastAsia="Arial" w:hAnsi="Arial"/>
                <w:sz w:val="26"/>
                <w:szCs w:val="26"/>
                <w:color w:val="auto"/>
                <w:w w:val="88"/>
                <w:vertAlign w:val="superscript"/>
              </w:rPr>
              <w:t>(8)</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8</w:t>
            </w: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Galveston</w:t>
            </w:r>
          </w:p>
        </w:tc>
        <w:tc>
          <w:tcPr>
            <w:tcW w:w="1240" w:type="dxa"/>
            <w:vAlign w:val="bottom"/>
            <w:gridSpan w:val="2"/>
          </w:tcPr>
          <w:p>
            <w:pPr>
              <w:ind w:left="520"/>
              <w:spacing w:after="0"/>
              <w:rPr>
                <w:sz w:val="20"/>
                <w:szCs w:val="20"/>
                <w:color w:val="auto"/>
              </w:rPr>
            </w:pPr>
            <w:r>
              <w:rPr>
                <w:rFonts w:ascii="Arial" w:cs="Arial" w:eastAsia="Arial" w:hAnsi="Arial"/>
                <w:sz w:val="16"/>
                <w:szCs w:val="16"/>
                <w:color w:val="auto"/>
              </w:rPr>
              <w:t>2021</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Cheniere</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X-DF</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8"/>
              </w:rPr>
              <w:t>January 2028</w:t>
            </w:r>
          </w:p>
        </w:tc>
        <w:tc>
          <w:tcPr>
            <w:tcW w:w="1460" w:type="dxa"/>
            <w:vAlign w:val="bottom"/>
            <w:gridSpan w:val="2"/>
          </w:tcPr>
          <w:p>
            <w:pPr>
              <w:jc w:val="center"/>
              <w:spacing w:after="0" w:line="243" w:lineRule="exact"/>
              <w:rPr>
                <w:sz w:val="20"/>
                <w:szCs w:val="20"/>
                <w:color w:val="auto"/>
              </w:rPr>
            </w:pPr>
            <w:r>
              <w:rPr>
                <w:rFonts w:ascii="Arial" w:cs="Arial" w:eastAsia="Arial" w:hAnsi="Arial"/>
                <w:sz w:val="16"/>
                <w:szCs w:val="16"/>
                <w:color w:val="auto"/>
                <w:w w:val="88"/>
              </w:rPr>
              <w:t xml:space="preserve">2031-2035 </w:t>
            </w:r>
            <w:r>
              <w:rPr>
                <w:rFonts w:ascii="Arial" w:cs="Arial" w:eastAsia="Arial" w:hAnsi="Arial"/>
                <w:sz w:val="26"/>
                <w:szCs w:val="26"/>
                <w:color w:val="auto"/>
                <w:w w:val="88"/>
                <w:vertAlign w:val="superscript"/>
              </w:rPr>
              <w:t>(8)</w:t>
            </w:r>
          </w:p>
        </w:tc>
        <w:tc>
          <w:tcPr>
            <w:tcW w:w="0" w:type="dxa"/>
            <w:vAlign w:val="bottom"/>
          </w:tcPr>
          <w:p>
            <w:pPr>
              <w:spacing w:after="0"/>
              <w:rPr>
                <w:sz w:val="1"/>
                <w:szCs w:val="1"/>
                <w:color w:val="auto"/>
              </w:rPr>
            </w:pPr>
          </w:p>
        </w:tc>
      </w:tr>
      <w:tr>
        <w:trPr>
          <w:trHeight w:val="243"/>
        </w:trPr>
        <w:tc>
          <w:tcPr>
            <w:tcW w:w="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9</w:t>
            </w:r>
          </w:p>
        </w:tc>
        <w:tc>
          <w:tcPr>
            <w:tcW w:w="2440" w:type="dxa"/>
            <w:vAlign w:val="bottom"/>
            <w:shd w:val="clear" w:color="auto" w:fill="E5FFFF"/>
          </w:tcPr>
          <w:p>
            <w:pPr>
              <w:ind w:left="80"/>
              <w:spacing w:after="0"/>
              <w:rPr>
                <w:sz w:val="20"/>
                <w:szCs w:val="20"/>
                <w:color w:val="auto"/>
              </w:rPr>
            </w:pPr>
            <w:r>
              <w:rPr>
                <w:rFonts w:ascii="Arial" w:cs="Arial" w:eastAsia="Arial" w:hAnsi="Arial"/>
                <w:sz w:val="16"/>
                <w:szCs w:val="16"/>
                <w:i w:val="1"/>
                <w:iCs w:val="1"/>
                <w:color w:val="auto"/>
              </w:rPr>
              <w:t>GasLog Wellington</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2021</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Cheniere</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June 2028</w:t>
            </w:r>
          </w:p>
        </w:tc>
        <w:tc>
          <w:tcPr>
            <w:tcW w:w="1460" w:type="dxa"/>
            <w:vAlign w:val="bottom"/>
            <w:gridSpan w:val="2"/>
            <w:shd w:val="clear" w:color="auto" w:fill="E5FFFF"/>
          </w:tcPr>
          <w:p>
            <w:pPr>
              <w:jc w:val="center"/>
              <w:spacing w:after="0" w:line="243" w:lineRule="exact"/>
              <w:rPr>
                <w:sz w:val="20"/>
                <w:szCs w:val="20"/>
                <w:color w:val="auto"/>
              </w:rPr>
            </w:pPr>
            <w:r>
              <w:rPr>
                <w:rFonts w:ascii="Arial" w:cs="Arial" w:eastAsia="Arial" w:hAnsi="Arial"/>
                <w:sz w:val="16"/>
                <w:szCs w:val="16"/>
                <w:color w:val="auto"/>
                <w:w w:val="88"/>
              </w:rPr>
              <w:t xml:space="preserve">2031-2035 </w:t>
            </w:r>
            <w:r>
              <w:rPr>
                <w:rFonts w:ascii="Arial" w:cs="Arial" w:eastAsia="Arial" w:hAnsi="Arial"/>
                <w:sz w:val="26"/>
                <w:szCs w:val="26"/>
                <w:color w:val="auto"/>
                <w:w w:val="88"/>
                <w:vertAlign w:val="superscript"/>
              </w:rPr>
              <w:t>(8)</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10</w:t>
            </w: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Winchester</w:t>
            </w:r>
          </w:p>
        </w:tc>
        <w:tc>
          <w:tcPr>
            <w:tcW w:w="1240" w:type="dxa"/>
            <w:vAlign w:val="bottom"/>
            <w:gridSpan w:val="2"/>
          </w:tcPr>
          <w:p>
            <w:pPr>
              <w:ind w:left="520"/>
              <w:spacing w:after="0"/>
              <w:rPr>
                <w:sz w:val="20"/>
                <w:szCs w:val="20"/>
                <w:color w:val="auto"/>
              </w:rPr>
            </w:pPr>
            <w:r>
              <w:rPr>
                <w:rFonts w:ascii="Arial" w:cs="Arial" w:eastAsia="Arial" w:hAnsi="Arial"/>
                <w:sz w:val="16"/>
                <w:szCs w:val="16"/>
                <w:color w:val="auto"/>
              </w:rPr>
              <w:t>2021</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Cheniere</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X-DF</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August 2028</w:t>
            </w:r>
          </w:p>
        </w:tc>
        <w:tc>
          <w:tcPr>
            <w:tcW w:w="1460" w:type="dxa"/>
            <w:vAlign w:val="bottom"/>
            <w:gridSpan w:val="2"/>
          </w:tcPr>
          <w:p>
            <w:pPr>
              <w:jc w:val="center"/>
              <w:spacing w:after="0" w:line="243" w:lineRule="exact"/>
              <w:rPr>
                <w:sz w:val="20"/>
                <w:szCs w:val="20"/>
                <w:color w:val="auto"/>
              </w:rPr>
            </w:pPr>
            <w:r>
              <w:rPr>
                <w:rFonts w:ascii="Arial" w:cs="Arial" w:eastAsia="Arial" w:hAnsi="Arial"/>
                <w:sz w:val="16"/>
                <w:szCs w:val="16"/>
                <w:color w:val="auto"/>
                <w:w w:val="88"/>
              </w:rPr>
              <w:t xml:space="preserve">2031-2035 </w:t>
            </w:r>
            <w:r>
              <w:rPr>
                <w:rFonts w:ascii="Arial" w:cs="Arial" w:eastAsia="Arial" w:hAnsi="Arial"/>
                <w:sz w:val="26"/>
                <w:szCs w:val="26"/>
                <w:color w:val="auto"/>
                <w:w w:val="88"/>
                <w:vertAlign w:val="superscript"/>
              </w:rPr>
              <w:t>(8)</w:t>
            </w:r>
          </w:p>
        </w:tc>
        <w:tc>
          <w:tcPr>
            <w:tcW w:w="0" w:type="dxa"/>
            <w:vAlign w:val="bottom"/>
          </w:tcPr>
          <w:p>
            <w:pPr>
              <w:spacing w:after="0"/>
              <w:rPr>
                <w:sz w:val="1"/>
                <w:szCs w:val="1"/>
                <w:color w:val="auto"/>
              </w:rPr>
            </w:pPr>
          </w:p>
        </w:tc>
      </w:tr>
      <w:tr>
        <w:trPr>
          <w:trHeight w:val="243"/>
        </w:trPr>
        <w:tc>
          <w:tcPr>
            <w:tcW w:w="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11</w:t>
            </w:r>
          </w:p>
        </w:tc>
        <w:tc>
          <w:tcPr>
            <w:tcW w:w="2440" w:type="dxa"/>
            <w:vAlign w:val="bottom"/>
            <w:shd w:val="clear" w:color="auto" w:fill="E5FFFF"/>
          </w:tcPr>
          <w:p>
            <w:pPr>
              <w:ind w:left="80"/>
              <w:spacing w:after="0"/>
              <w:rPr>
                <w:sz w:val="20"/>
                <w:szCs w:val="20"/>
                <w:color w:val="auto"/>
              </w:rPr>
            </w:pPr>
            <w:r>
              <w:rPr>
                <w:rFonts w:ascii="Arial" w:cs="Arial" w:eastAsia="Arial" w:hAnsi="Arial"/>
                <w:sz w:val="16"/>
                <w:szCs w:val="16"/>
                <w:i w:val="1"/>
                <w:iCs w:val="1"/>
                <w:color w:val="auto"/>
              </w:rPr>
              <w:t>GasLog Gladstone</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2019</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January 2029</w:t>
            </w:r>
          </w:p>
        </w:tc>
        <w:tc>
          <w:tcPr>
            <w:tcW w:w="1460" w:type="dxa"/>
            <w:vAlign w:val="bottom"/>
            <w:gridSpan w:val="2"/>
            <w:shd w:val="clear" w:color="auto" w:fill="E5FFFF"/>
          </w:tcPr>
          <w:p>
            <w:pPr>
              <w:jc w:val="center"/>
              <w:spacing w:after="0" w:line="243" w:lineRule="exact"/>
              <w:rPr>
                <w:sz w:val="20"/>
                <w:szCs w:val="20"/>
                <w:color w:val="auto"/>
              </w:rPr>
            </w:pPr>
            <w:r>
              <w:rPr>
                <w:rFonts w:ascii="Arial" w:cs="Arial" w:eastAsia="Arial" w:hAnsi="Arial"/>
                <w:sz w:val="16"/>
                <w:szCs w:val="16"/>
                <w:color w:val="auto"/>
                <w:w w:val="88"/>
              </w:rPr>
              <w:t xml:space="preserve">2032-2035 </w:t>
            </w:r>
            <w:r>
              <w:rPr>
                <w:rFonts w:ascii="Arial" w:cs="Arial" w:eastAsia="Arial" w:hAnsi="Arial"/>
                <w:sz w:val="26"/>
                <w:szCs w:val="26"/>
                <w:color w:val="auto"/>
                <w:w w:val="88"/>
                <w:vertAlign w:val="superscript"/>
              </w:rPr>
              <w:t>(6)</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12</w:t>
            </w: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Warsaw</w:t>
            </w:r>
          </w:p>
        </w:tc>
        <w:tc>
          <w:tcPr>
            <w:tcW w:w="1240" w:type="dxa"/>
            <w:vAlign w:val="bottom"/>
            <w:gridSpan w:val="2"/>
          </w:tcPr>
          <w:p>
            <w:pPr>
              <w:ind w:left="520"/>
              <w:spacing w:after="0"/>
              <w:rPr>
                <w:sz w:val="20"/>
                <w:szCs w:val="20"/>
                <w:color w:val="auto"/>
              </w:rPr>
            </w:pPr>
            <w:r>
              <w:rPr>
                <w:rFonts w:ascii="Arial" w:cs="Arial" w:eastAsia="Arial" w:hAnsi="Arial"/>
                <w:sz w:val="16"/>
                <w:szCs w:val="16"/>
                <w:color w:val="auto"/>
              </w:rPr>
              <w:t>2019</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21"/>
                <w:szCs w:val="21"/>
                <w:color w:val="auto"/>
              </w:rPr>
            </w:pPr>
          </w:p>
        </w:tc>
        <w:tc>
          <w:tcPr>
            <w:tcW w:w="1340" w:type="dxa"/>
            <w:vAlign w:val="bottom"/>
          </w:tcPr>
          <w:p>
            <w:pPr>
              <w:jc w:val="center"/>
              <w:spacing w:after="0" w:line="243" w:lineRule="exact"/>
              <w:rPr>
                <w:sz w:val="20"/>
                <w:szCs w:val="20"/>
                <w:color w:val="auto"/>
              </w:rPr>
            </w:pPr>
            <w:r>
              <w:rPr>
                <w:rFonts w:ascii="Arial" w:cs="Arial" w:eastAsia="Arial" w:hAnsi="Arial"/>
                <w:sz w:val="16"/>
                <w:szCs w:val="16"/>
                <w:color w:val="auto"/>
                <w:w w:val="82"/>
              </w:rPr>
              <w:t xml:space="preserve">Endesa </w:t>
            </w:r>
            <w:r>
              <w:rPr>
                <w:rFonts w:ascii="Arial" w:cs="Arial" w:eastAsia="Arial" w:hAnsi="Arial"/>
                <w:sz w:val="26"/>
                <w:szCs w:val="26"/>
                <w:color w:val="auto"/>
                <w:w w:val="82"/>
                <w:vertAlign w:val="superscript"/>
              </w:rPr>
              <w:t>(9)</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X-DF</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May 2029</w:t>
            </w:r>
          </w:p>
        </w:tc>
        <w:tc>
          <w:tcPr>
            <w:tcW w:w="1460" w:type="dxa"/>
            <w:vAlign w:val="bottom"/>
            <w:gridSpan w:val="2"/>
          </w:tcPr>
          <w:p>
            <w:pPr>
              <w:jc w:val="center"/>
              <w:spacing w:after="0" w:line="243" w:lineRule="exact"/>
              <w:rPr>
                <w:sz w:val="20"/>
                <w:szCs w:val="20"/>
                <w:color w:val="auto"/>
              </w:rPr>
            </w:pPr>
            <w:r>
              <w:rPr>
                <w:rFonts w:ascii="Arial" w:cs="Arial" w:eastAsia="Arial" w:hAnsi="Arial"/>
                <w:sz w:val="16"/>
                <w:szCs w:val="16"/>
                <w:color w:val="auto"/>
                <w:w w:val="88"/>
              </w:rPr>
              <w:t xml:space="preserve">2035-2041 </w:t>
            </w:r>
            <w:r>
              <w:rPr>
                <w:rFonts w:ascii="Arial" w:cs="Arial" w:eastAsia="Arial" w:hAnsi="Arial"/>
                <w:sz w:val="26"/>
                <w:szCs w:val="26"/>
                <w:color w:val="auto"/>
                <w:w w:val="88"/>
                <w:vertAlign w:val="superscript"/>
              </w:rPr>
              <w:t>(9)</w:t>
            </w:r>
          </w:p>
        </w:tc>
        <w:tc>
          <w:tcPr>
            <w:tcW w:w="0" w:type="dxa"/>
            <w:vAlign w:val="bottom"/>
          </w:tcPr>
          <w:p>
            <w:pPr>
              <w:spacing w:after="0"/>
              <w:rPr>
                <w:sz w:val="1"/>
                <w:szCs w:val="1"/>
                <w:color w:val="auto"/>
              </w:rPr>
            </w:pPr>
          </w:p>
        </w:tc>
      </w:tr>
      <w:tr>
        <w:trPr>
          <w:trHeight w:val="243"/>
        </w:trPr>
        <w:tc>
          <w:tcPr>
            <w:tcW w:w="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13</w:t>
            </w:r>
          </w:p>
        </w:tc>
        <w:tc>
          <w:tcPr>
            <w:tcW w:w="2440" w:type="dxa"/>
            <w:vAlign w:val="bottom"/>
            <w:shd w:val="clear" w:color="auto" w:fill="E5FFFF"/>
          </w:tcPr>
          <w:p>
            <w:pPr>
              <w:ind w:left="80"/>
              <w:spacing w:after="0"/>
              <w:rPr>
                <w:sz w:val="20"/>
                <w:szCs w:val="20"/>
                <w:color w:val="auto"/>
              </w:rPr>
            </w:pPr>
            <w:r>
              <w:rPr>
                <w:rFonts w:ascii="Arial" w:cs="Arial" w:eastAsia="Arial" w:hAnsi="Arial"/>
                <w:sz w:val="16"/>
                <w:szCs w:val="16"/>
                <w:i w:val="1"/>
                <w:iCs w:val="1"/>
                <w:color w:val="auto"/>
              </w:rPr>
              <w:t>GasLog Wales</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2020</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78"/>
              </w:rPr>
              <w:t xml:space="preserve">Jera </w:t>
            </w:r>
            <w:r>
              <w:rPr>
                <w:rFonts w:ascii="Arial" w:cs="Arial" w:eastAsia="Arial" w:hAnsi="Arial"/>
                <w:sz w:val="26"/>
                <w:szCs w:val="26"/>
                <w:color w:val="auto"/>
                <w:w w:val="78"/>
                <w:vertAlign w:val="superscript"/>
              </w:rPr>
              <w:t>(10)</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March 2032</w:t>
            </w:r>
          </w:p>
        </w:tc>
        <w:tc>
          <w:tcPr>
            <w:tcW w:w="1460" w:type="dxa"/>
            <w:vAlign w:val="bottom"/>
            <w:gridSpan w:val="2"/>
            <w:shd w:val="clear" w:color="auto" w:fill="E5FFFF"/>
          </w:tcPr>
          <w:p>
            <w:pPr>
              <w:jc w:val="center"/>
              <w:spacing w:after="0" w:line="243" w:lineRule="exact"/>
              <w:rPr>
                <w:sz w:val="20"/>
                <w:szCs w:val="20"/>
                <w:color w:val="auto"/>
              </w:rPr>
            </w:pPr>
            <w:r>
              <w:rPr>
                <w:rFonts w:ascii="Arial" w:cs="Arial" w:eastAsia="Arial" w:hAnsi="Arial"/>
                <w:sz w:val="16"/>
                <w:szCs w:val="16"/>
                <w:color w:val="auto"/>
                <w:w w:val="85"/>
              </w:rPr>
              <w:t xml:space="preserve">2035-2038 </w:t>
            </w:r>
            <w:r>
              <w:rPr>
                <w:rFonts w:ascii="Arial" w:cs="Arial" w:eastAsia="Arial" w:hAnsi="Arial"/>
                <w:sz w:val="26"/>
                <w:szCs w:val="26"/>
                <w:color w:val="auto"/>
                <w:w w:val="85"/>
                <w:vertAlign w:val="superscript"/>
              </w:rPr>
              <w:t>(10)</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As of August 3, 2023, the Partnership’s owned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5"/>
              </w:rPr>
              <w:t>Cargo</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Charter</w:t>
            </w:r>
          </w:p>
        </w:tc>
        <w:tc>
          <w:tcPr>
            <w:tcW w:w="10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Optional</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ind w:left="400"/>
              <w:spacing w:after="0" w:line="163" w:lineRule="exact"/>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4"/>
                <w:szCs w:val="14"/>
                <w:color w:val="auto"/>
              </w:rPr>
            </w:pPr>
          </w:p>
        </w:tc>
        <w:tc>
          <w:tcPr>
            <w:tcW w:w="134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2"/>
              </w:rPr>
              <w:t>Capacity</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Vessel Name</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Built</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Propulsion</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6"/>
                <w:szCs w:val="26"/>
                <w:b w:val="1"/>
                <w:bCs w:val="1"/>
                <w:color w:val="auto"/>
                <w:w w:val="90"/>
                <w:vertAlign w:val="superscript"/>
              </w:rPr>
              <w:t>(1)</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7"/>
              </w:rPr>
              <w:t>Period</w:t>
            </w:r>
            <w:r>
              <w:rPr>
                <w:rFonts w:ascii="Arial" w:cs="Arial" w:eastAsia="Arial" w:hAnsi="Arial"/>
                <w:sz w:val="26"/>
                <w:szCs w:val="26"/>
                <w:b w:val="1"/>
                <w:bCs w:val="1"/>
                <w:color w:val="auto"/>
                <w:w w:val="87"/>
                <w:vertAlign w:val="superscript"/>
              </w:rPr>
              <w:t>(2)</w:t>
            </w:r>
          </w:p>
        </w:tc>
        <w:tc>
          <w:tcPr>
            <w:tcW w:w="0" w:type="dxa"/>
            <w:vAlign w:val="bottom"/>
          </w:tcPr>
          <w:p>
            <w:pPr>
              <w:spacing w:after="0"/>
              <w:rPr>
                <w:sz w:val="1"/>
                <w:szCs w:val="1"/>
                <w:color w:val="auto"/>
              </w:rPr>
            </w:pPr>
          </w:p>
        </w:tc>
      </w:tr>
      <w:tr>
        <w:trPr>
          <w:trHeight w:val="209"/>
        </w:trPr>
        <w:tc>
          <w:tcPr>
            <w:tcW w:w="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440" w:type="dxa"/>
            <w:vAlign w:val="bottom"/>
            <w:shd w:val="clear" w:color="auto" w:fill="E5FFFF"/>
          </w:tcPr>
          <w:p>
            <w:pPr>
              <w:ind w:left="80"/>
              <w:spacing w:after="0"/>
              <w:rPr>
                <w:sz w:val="20"/>
                <w:szCs w:val="20"/>
                <w:color w:val="auto"/>
              </w:rPr>
            </w:pPr>
            <w:r>
              <w:rPr>
                <w:rFonts w:ascii="Arial" w:cs="Arial" w:eastAsia="Arial" w:hAnsi="Arial"/>
                <w:sz w:val="16"/>
                <w:szCs w:val="16"/>
                <w:i w:val="1"/>
                <w:iCs w:val="1"/>
                <w:color w:val="auto"/>
              </w:rPr>
              <w:t>Methane Rita Andrea</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2006</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4"/>
              </w:rPr>
              <w:t>Energy Major</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6"/>
              </w:rPr>
              <w:t>Steam</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0"/>
              </w:rPr>
              <w:t>October 2023</w:t>
            </w:r>
          </w:p>
        </w:tc>
        <w:tc>
          <w:tcPr>
            <w:tcW w:w="100" w:type="dxa"/>
            <w:vAlign w:val="bottom"/>
            <w:shd w:val="clear" w:color="auto" w:fill="E5FFFF"/>
          </w:tcPr>
          <w:p>
            <w:pPr>
              <w:spacing w:after="0"/>
              <w:rPr>
                <w:sz w:val="18"/>
                <w:szCs w:val="18"/>
                <w:color w:val="auto"/>
              </w:rPr>
            </w:pP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20"/>
                <w:szCs w:val="20"/>
                <w:color w:val="auto"/>
              </w:rPr>
            </w:pPr>
            <w:r>
              <w:rPr>
                <w:rFonts w:ascii="Arial" w:cs="Arial" w:eastAsia="Arial" w:hAnsi="Arial"/>
                <w:sz w:val="16"/>
                <w:szCs w:val="16"/>
                <w:b w:val="1"/>
                <w:bCs w:val="1"/>
                <w:color w:val="auto"/>
              </w:rPr>
              <w:t>2</w:t>
            </w: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Solaris</w:t>
            </w:r>
          </w:p>
        </w:tc>
        <w:tc>
          <w:tcPr>
            <w:tcW w:w="1240" w:type="dxa"/>
            <w:vAlign w:val="bottom"/>
            <w:gridSpan w:val="2"/>
          </w:tcPr>
          <w:p>
            <w:pPr>
              <w:ind w:left="520"/>
              <w:spacing w:after="0"/>
              <w:rPr>
                <w:sz w:val="20"/>
                <w:szCs w:val="20"/>
                <w:color w:val="auto"/>
              </w:rPr>
            </w:pPr>
            <w:r>
              <w:rPr>
                <w:rFonts w:ascii="Arial" w:cs="Arial" w:eastAsia="Arial" w:hAnsi="Arial"/>
                <w:sz w:val="16"/>
                <w:szCs w:val="16"/>
                <w:color w:val="auto"/>
              </w:rPr>
              <w:t>2014</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4"/>
              </w:rPr>
              <w:t>Energy Major</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0"/>
              </w:rPr>
              <w:t>October 2023</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Kansai</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2"/>
              </w:rPr>
              <w:t>March 2030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6"/>
        </w:trPr>
        <w:tc>
          <w:tcPr>
            <w:tcW w:w="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3</w:t>
            </w:r>
          </w:p>
        </w:tc>
        <w:tc>
          <w:tcPr>
            <w:tcW w:w="2440" w:type="dxa"/>
            <w:vAlign w:val="bottom"/>
            <w:shd w:val="clear" w:color="auto" w:fill="E5FFFF"/>
          </w:tcPr>
          <w:p>
            <w:pPr>
              <w:ind w:left="80"/>
              <w:spacing w:after="0"/>
              <w:rPr>
                <w:sz w:val="20"/>
                <w:szCs w:val="20"/>
                <w:color w:val="auto"/>
              </w:rPr>
            </w:pPr>
            <w:r>
              <w:rPr>
                <w:rFonts w:ascii="Arial" w:cs="Arial" w:eastAsia="Arial" w:hAnsi="Arial"/>
                <w:sz w:val="16"/>
                <w:szCs w:val="16"/>
                <w:i w:val="1"/>
                <w:iCs w:val="1"/>
                <w:color w:val="auto"/>
              </w:rPr>
              <w:t>GasLog Santiago</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2013</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line="246" w:lineRule="exact"/>
              <w:rPr>
                <w:sz w:val="20"/>
                <w:szCs w:val="20"/>
                <w:color w:val="auto"/>
              </w:rPr>
            </w:pPr>
            <w:r>
              <w:rPr>
                <w:rFonts w:ascii="Arial" w:cs="Arial" w:eastAsia="Arial" w:hAnsi="Arial"/>
                <w:sz w:val="16"/>
                <w:szCs w:val="16"/>
                <w:color w:val="auto"/>
                <w:w w:val="88"/>
              </w:rPr>
              <w:t xml:space="preserve">Trafigura </w:t>
            </w:r>
            <w:r>
              <w:rPr>
                <w:rFonts w:ascii="Arial" w:cs="Arial" w:eastAsia="Arial" w:hAnsi="Arial"/>
                <w:sz w:val="26"/>
                <w:szCs w:val="26"/>
                <w:color w:val="auto"/>
                <w:w w:val="88"/>
                <w:vertAlign w:val="superscript"/>
              </w:rPr>
              <w:t>(12)</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December 2023</w:t>
            </w:r>
          </w:p>
        </w:tc>
        <w:tc>
          <w:tcPr>
            <w:tcW w:w="1460" w:type="dxa"/>
            <w:vAlign w:val="bottom"/>
            <w:gridSpan w:val="2"/>
            <w:shd w:val="clear" w:color="auto" w:fill="E5FFFF"/>
          </w:tcPr>
          <w:p>
            <w:pPr>
              <w:jc w:val="center"/>
              <w:spacing w:after="0" w:line="246" w:lineRule="exact"/>
              <w:rPr>
                <w:sz w:val="20"/>
                <w:szCs w:val="20"/>
                <w:color w:val="auto"/>
              </w:rPr>
            </w:pPr>
            <w:r>
              <w:rPr>
                <w:rFonts w:ascii="Arial" w:cs="Arial" w:eastAsia="Arial" w:hAnsi="Arial"/>
                <w:sz w:val="16"/>
                <w:szCs w:val="16"/>
                <w:color w:val="auto"/>
                <w:w w:val="81"/>
              </w:rPr>
              <w:t xml:space="preserve">2028 </w:t>
            </w:r>
            <w:r>
              <w:rPr>
                <w:rFonts w:ascii="Arial" w:cs="Arial" w:eastAsia="Arial" w:hAnsi="Arial"/>
                <w:sz w:val="26"/>
                <w:szCs w:val="26"/>
                <w:color w:val="auto"/>
                <w:w w:val="81"/>
                <w:vertAlign w:val="superscript"/>
              </w:rPr>
              <w:t>(12)</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Energy Trading</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60" w:type="dxa"/>
            <w:vAlign w:val="bottom"/>
          </w:tcPr>
          <w:p>
            <w:pPr>
              <w:spacing w:after="0"/>
              <w:rPr>
                <w:sz w:val="20"/>
                <w:szCs w:val="20"/>
                <w:color w:val="auto"/>
              </w:rPr>
            </w:pPr>
            <w:r>
              <w:rPr>
                <w:rFonts w:ascii="Arial" w:cs="Arial" w:eastAsia="Arial" w:hAnsi="Arial"/>
                <w:sz w:val="16"/>
                <w:szCs w:val="16"/>
                <w:b w:val="1"/>
                <w:bCs w:val="1"/>
                <w:color w:val="auto"/>
              </w:rPr>
              <w:t>4</w:t>
            </w: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Seattle</w:t>
            </w:r>
          </w:p>
        </w:tc>
        <w:tc>
          <w:tcPr>
            <w:tcW w:w="1240" w:type="dxa"/>
            <w:vAlign w:val="bottom"/>
            <w:gridSpan w:val="2"/>
          </w:tcPr>
          <w:p>
            <w:pPr>
              <w:ind w:left="520"/>
              <w:spacing w:after="0"/>
              <w:rPr>
                <w:sz w:val="20"/>
                <w:szCs w:val="20"/>
                <w:color w:val="auto"/>
              </w:rPr>
            </w:pPr>
            <w:r>
              <w:rPr>
                <w:rFonts w:ascii="Arial" w:cs="Arial" w:eastAsia="Arial" w:hAnsi="Arial"/>
                <w:sz w:val="16"/>
                <w:szCs w:val="16"/>
                <w:color w:val="auto"/>
              </w:rPr>
              <w:t>2013</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22"/>
                <w:szCs w:val="22"/>
                <w:color w:val="auto"/>
              </w:rPr>
            </w:pPr>
          </w:p>
        </w:tc>
        <w:tc>
          <w:tcPr>
            <w:tcW w:w="1340" w:type="dxa"/>
            <w:vAlign w:val="bottom"/>
          </w:tcPr>
          <w:p>
            <w:pPr>
              <w:jc w:val="center"/>
              <w:spacing w:after="0" w:line="253" w:lineRule="exact"/>
              <w:rPr>
                <w:sz w:val="20"/>
                <w:szCs w:val="20"/>
                <w:color w:val="auto"/>
              </w:rPr>
            </w:pPr>
            <w:r>
              <w:rPr>
                <w:rFonts w:ascii="Arial" w:cs="Arial" w:eastAsia="Arial" w:hAnsi="Arial"/>
                <w:sz w:val="16"/>
                <w:szCs w:val="16"/>
                <w:color w:val="auto"/>
                <w:w w:val="86"/>
              </w:rPr>
              <w:t xml:space="preserve">Company </w:t>
            </w:r>
            <w:r>
              <w:rPr>
                <w:rFonts w:ascii="Arial" w:cs="Arial" w:eastAsia="Arial" w:hAnsi="Arial"/>
                <w:sz w:val="26"/>
                <w:szCs w:val="26"/>
                <w:color w:val="auto"/>
                <w:w w:val="86"/>
                <w:vertAlign w:val="superscript"/>
              </w:rPr>
              <w:t>(13)</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2"/>
              </w:rPr>
              <w:t>March 2024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5</w:t>
            </w:r>
          </w:p>
        </w:tc>
        <w:tc>
          <w:tcPr>
            <w:tcW w:w="2440" w:type="dxa"/>
            <w:vAlign w:val="bottom"/>
            <w:shd w:val="clear" w:color="auto" w:fill="E5FFFF"/>
          </w:tcPr>
          <w:p>
            <w:pPr>
              <w:ind w:left="80"/>
              <w:spacing w:after="0"/>
              <w:rPr>
                <w:sz w:val="20"/>
                <w:szCs w:val="20"/>
                <w:color w:val="auto"/>
              </w:rPr>
            </w:pPr>
            <w:r>
              <w:rPr>
                <w:rFonts w:ascii="Arial" w:cs="Arial" w:eastAsia="Arial" w:hAnsi="Arial"/>
                <w:sz w:val="16"/>
                <w:szCs w:val="16"/>
                <w:i w:val="1"/>
                <w:iCs w:val="1"/>
                <w:color w:val="auto"/>
              </w:rPr>
              <w:t>Methane Jane Elizabeth</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2006</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Cheniere</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6"/>
              </w:rPr>
              <w:t>Steam</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March 2024</w:t>
            </w:r>
          </w:p>
        </w:tc>
        <w:tc>
          <w:tcPr>
            <w:tcW w:w="1460" w:type="dxa"/>
            <w:vAlign w:val="bottom"/>
            <w:gridSpan w:val="2"/>
            <w:shd w:val="clear" w:color="auto" w:fill="E5FFFF"/>
          </w:tcPr>
          <w:p>
            <w:pPr>
              <w:jc w:val="center"/>
              <w:spacing w:after="0" w:line="243" w:lineRule="exact"/>
              <w:rPr>
                <w:sz w:val="20"/>
                <w:szCs w:val="20"/>
                <w:color w:val="auto"/>
              </w:rPr>
            </w:pPr>
            <w:r>
              <w:rPr>
                <w:rFonts w:ascii="Arial" w:cs="Arial" w:eastAsia="Arial" w:hAnsi="Arial"/>
                <w:sz w:val="16"/>
                <w:szCs w:val="16"/>
                <w:color w:val="auto"/>
                <w:w w:val="84"/>
              </w:rPr>
              <w:t xml:space="preserve">2025 </w:t>
            </w:r>
            <w:r>
              <w:rPr>
                <w:rFonts w:ascii="Arial" w:cs="Arial" w:eastAsia="Arial" w:hAnsi="Arial"/>
                <w:sz w:val="26"/>
                <w:szCs w:val="26"/>
                <w:color w:val="auto"/>
                <w:w w:val="84"/>
                <w:vertAlign w:val="superscript"/>
              </w:rPr>
              <w:t>(8)</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6</w:t>
            </w: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Methane Alison Victoria</w:t>
            </w:r>
          </w:p>
        </w:tc>
        <w:tc>
          <w:tcPr>
            <w:tcW w:w="1240" w:type="dxa"/>
            <w:vAlign w:val="bottom"/>
            <w:gridSpan w:val="2"/>
          </w:tcPr>
          <w:p>
            <w:pPr>
              <w:ind w:left="520"/>
              <w:spacing w:after="0"/>
              <w:rPr>
                <w:sz w:val="20"/>
                <w:szCs w:val="20"/>
                <w:color w:val="auto"/>
              </w:rPr>
            </w:pPr>
            <w:r>
              <w:rPr>
                <w:rFonts w:ascii="Arial" w:cs="Arial" w:eastAsia="Arial" w:hAnsi="Arial"/>
                <w:sz w:val="16"/>
                <w:szCs w:val="16"/>
                <w:color w:val="auto"/>
              </w:rPr>
              <w:t>2007</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6"/>
              </w:rPr>
              <w:t>CNTIC VPower</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6"/>
              </w:rPr>
              <w:t>Steam</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0"/>
              </w:rPr>
              <w:t>October 2024</w:t>
            </w:r>
          </w:p>
        </w:tc>
        <w:tc>
          <w:tcPr>
            <w:tcW w:w="1460" w:type="dxa"/>
            <w:vAlign w:val="bottom"/>
            <w:gridSpan w:val="2"/>
          </w:tcPr>
          <w:p>
            <w:pPr>
              <w:jc w:val="center"/>
              <w:spacing w:after="0" w:line="243" w:lineRule="exact"/>
              <w:rPr>
                <w:sz w:val="20"/>
                <w:szCs w:val="20"/>
                <w:color w:val="auto"/>
              </w:rPr>
            </w:pPr>
            <w:r>
              <w:rPr>
                <w:rFonts w:ascii="Arial" w:cs="Arial" w:eastAsia="Arial" w:hAnsi="Arial"/>
                <w:sz w:val="16"/>
                <w:szCs w:val="16"/>
                <w:color w:val="auto"/>
                <w:w w:val="81"/>
              </w:rPr>
              <w:t xml:space="preserve">2025 </w:t>
            </w:r>
            <w:r>
              <w:rPr>
                <w:rFonts w:ascii="Arial" w:cs="Arial" w:eastAsia="Arial" w:hAnsi="Arial"/>
                <w:sz w:val="26"/>
                <w:szCs w:val="26"/>
                <w:color w:val="auto"/>
                <w:w w:val="81"/>
                <w:vertAlign w:val="superscript"/>
              </w:rPr>
              <w:t>(11)</w:t>
            </w:r>
          </w:p>
        </w:tc>
        <w:tc>
          <w:tcPr>
            <w:tcW w:w="0" w:type="dxa"/>
            <w:vAlign w:val="bottom"/>
          </w:tcPr>
          <w:p>
            <w:pPr>
              <w:spacing w:after="0"/>
              <w:rPr>
                <w:sz w:val="1"/>
                <w:szCs w:val="1"/>
                <w:color w:val="auto"/>
              </w:rPr>
            </w:pPr>
          </w:p>
        </w:tc>
      </w:tr>
      <w:tr>
        <w:trPr>
          <w:trHeight w:val="243"/>
        </w:trPr>
        <w:tc>
          <w:tcPr>
            <w:tcW w:w="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7</w:t>
            </w:r>
          </w:p>
        </w:tc>
        <w:tc>
          <w:tcPr>
            <w:tcW w:w="2440" w:type="dxa"/>
            <w:vAlign w:val="bottom"/>
            <w:shd w:val="clear" w:color="auto" w:fill="E5FFFF"/>
          </w:tcPr>
          <w:p>
            <w:pPr>
              <w:ind w:left="80"/>
              <w:spacing w:after="0"/>
              <w:rPr>
                <w:sz w:val="20"/>
                <w:szCs w:val="20"/>
                <w:color w:val="auto"/>
              </w:rPr>
            </w:pPr>
            <w:r>
              <w:rPr>
                <w:rFonts w:ascii="Arial" w:cs="Arial" w:eastAsia="Arial" w:hAnsi="Arial"/>
                <w:sz w:val="16"/>
                <w:szCs w:val="16"/>
                <w:i w:val="1"/>
                <w:iCs w:val="1"/>
                <w:color w:val="auto"/>
              </w:rPr>
              <w:t>GasLog Greece</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2016</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March 2026</w:t>
            </w:r>
          </w:p>
        </w:tc>
        <w:tc>
          <w:tcPr>
            <w:tcW w:w="1460" w:type="dxa"/>
            <w:vAlign w:val="bottom"/>
            <w:gridSpan w:val="2"/>
            <w:shd w:val="clear" w:color="auto" w:fill="E5FFFF"/>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(6)</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8</w:t>
            </w: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Glasgow</w:t>
            </w:r>
          </w:p>
        </w:tc>
        <w:tc>
          <w:tcPr>
            <w:tcW w:w="1240" w:type="dxa"/>
            <w:vAlign w:val="bottom"/>
            <w:gridSpan w:val="2"/>
          </w:tcPr>
          <w:p>
            <w:pPr>
              <w:ind w:left="520"/>
              <w:spacing w:after="0"/>
              <w:rPr>
                <w:sz w:val="20"/>
                <w:szCs w:val="20"/>
                <w:color w:val="auto"/>
              </w:rPr>
            </w:pPr>
            <w:r>
              <w:rPr>
                <w:rFonts w:ascii="Arial" w:cs="Arial" w:eastAsia="Arial" w:hAnsi="Arial"/>
                <w:sz w:val="16"/>
                <w:szCs w:val="16"/>
                <w:color w:val="auto"/>
              </w:rPr>
              <w:t>2016</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5"/>
              </w:rPr>
              <w:t>Shell</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8"/>
              </w:rPr>
              <w:t>June 2026</w:t>
            </w:r>
          </w:p>
        </w:tc>
        <w:tc>
          <w:tcPr>
            <w:tcW w:w="1460" w:type="dxa"/>
            <w:vAlign w:val="bottom"/>
            <w:gridSpan w:val="2"/>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(6)</w:t>
            </w:r>
          </w:p>
        </w:tc>
        <w:tc>
          <w:tcPr>
            <w:tcW w:w="0" w:type="dxa"/>
            <w:vAlign w:val="bottom"/>
          </w:tcPr>
          <w:p>
            <w:pPr>
              <w:spacing w:after="0"/>
              <w:rPr>
                <w:sz w:val="1"/>
                <w:szCs w:val="1"/>
                <w:color w:val="auto"/>
              </w:rPr>
            </w:pPr>
          </w:p>
        </w:tc>
      </w:tr>
      <w:tr>
        <w:trPr>
          <w:trHeight w:val="243"/>
        </w:trPr>
        <w:tc>
          <w:tcPr>
            <w:tcW w:w="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9</w:t>
            </w:r>
          </w:p>
        </w:tc>
        <w:tc>
          <w:tcPr>
            <w:tcW w:w="2440" w:type="dxa"/>
            <w:vAlign w:val="bottom"/>
            <w:shd w:val="clear" w:color="auto" w:fill="E5FFFF"/>
          </w:tcPr>
          <w:p>
            <w:pPr>
              <w:ind w:left="80"/>
              <w:spacing w:after="0"/>
              <w:rPr>
                <w:sz w:val="20"/>
                <w:szCs w:val="20"/>
                <w:color w:val="auto"/>
              </w:rPr>
            </w:pPr>
            <w:r>
              <w:rPr>
                <w:rFonts w:ascii="Arial" w:cs="Arial" w:eastAsia="Arial" w:hAnsi="Arial"/>
                <w:sz w:val="16"/>
                <w:szCs w:val="16"/>
                <w:i w:val="1"/>
                <w:iCs w:val="1"/>
                <w:color w:val="auto"/>
              </w:rPr>
              <w:t>GasLog Geneva</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2016</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September 2028</w:t>
            </w:r>
          </w:p>
        </w:tc>
        <w:tc>
          <w:tcPr>
            <w:tcW w:w="1460" w:type="dxa"/>
            <w:vAlign w:val="bottom"/>
            <w:gridSpan w:val="2"/>
            <w:shd w:val="clear" w:color="auto" w:fill="E5FFFF"/>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(6)</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10</w:t>
            </w: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Gibraltar</w:t>
            </w:r>
          </w:p>
        </w:tc>
        <w:tc>
          <w:tcPr>
            <w:tcW w:w="1240" w:type="dxa"/>
            <w:vAlign w:val="bottom"/>
            <w:gridSpan w:val="2"/>
          </w:tcPr>
          <w:p>
            <w:pPr>
              <w:ind w:left="520"/>
              <w:spacing w:after="0"/>
              <w:rPr>
                <w:sz w:val="20"/>
                <w:szCs w:val="20"/>
                <w:color w:val="auto"/>
              </w:rPr>
            </w:pPr>
            <w:r>
              <w:rPr>
                <w:rFonts w:ascii="Arial" w:cs="Arial" w:eastAsia="Arial" w:hAnsi="Arial"/>
                <w:sz w:val="16"/>
                <w:szCs w:val="16"/>
                <w:color w:val="auto"/>
              </w:rPr>
              <w:t>2016</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5"/>
              </w:rPr>
              <w:t>Shell</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0"/>
              </w:rPr>
              <w:t>October 2028</w:t>
            </w:r>
          </w:p>
        </w:tc>
        <w:tc>
          <w:tcPr>
            <w:tcW w:w="1460" w:type="dxa"/>
            <w:vAlign w:val="bottom"/>
            <w:gridSpan w:val="2"/>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(6)</w:t>
            </w:r>
          </w:p>
        </w:tc>
        <w:tc>
          <w:tcPr>
            <w:tcW w:w="0" w:type="dxa"/>
            <w:vAlign w:val="bottom"/>
          </w:tcPr>
          <w:p>
            <w:pPr>
              <w:spacing w:after="0"/>
              <w:rPr>
                <w:sz w:val="1"/>
                <w:szCs w:val="1"/>
                <w:color w:val="auto"/>
              </w:rPr>
            </w:pPr>
          </w:p>
        </w:tc>
      </w:tr>
      <w:tr>
        <w:trPr>
          <w:trHeight w:val="216"/>
        </w:trPr>
        <w:tc>
          <w:tcPr>
            <w:tcW w:w="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11</w:t>
            </w:r>
          </w:p>
        </w:tc>
        <w:tc>
          <w:tcPr>
            <w:tcW w:w="2440" w:type="dxa"/>
            <w:vAlign w:val="bottom"/>
            <w:shd w:val="clear" w:color="auto" w:fill="E5FFFF"/>
          </w:tcPr>
          <w:p>
            <w:pPr>
              <w:ind w:left="80"/>
              <w:spacing w:after="0"/>
              <w:rPr>
                <w:sz w:val="20"/>
                <w:szCs w:val="20"/>
                <w:color w:val="auto"/>
              </w:rPr>
            </w:pPr>
            <w:r>
              <w:rPr>
                <w:rFonts w:ascii="Arial" w:cs="Arial" w:eastAsia="Arial" w:hAnsi="Arial"/>
                <w:sz w:val="16"/>
                <w:szCs w:val="16"/>
                <w:i w:val="1"/>
                <w:iCs w:val="1"/>
                <w:color w:val="auto"/>
              </w:rPr>
              <w:t>Methane Becki Anne</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2010</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170,000</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March 2029</w:t>
            </w:r>
          </w:p>
        </w:tc>
        <w:tc>
          <w:tcPr>
            <w:tcW w:w="100" w:type="dxa"/>
            <w:vAlign w:val="bottom"/>
            <w:shd w:val="clear" w:color="auto" w:fill="E5FFFF"/>
          </w:tcPr>
          <w:p>
            <w:pPr>
              <w:spacing w:after="0"/>
              <w:rPr>
                <w:sz w:val="18"/>
                <w:szCs w:val="18"/>
                <w:color w:val="auto"/>
              </w:rPr>
            </w:pP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Bareboat Vessels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As of August 3, 2023, our bareboat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5"/>
              </w:rPr>
              <w:t>Cargo</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Charter</w:t>
            </w:r>
          </w:p>
        </w:tc>
        <w:tc>
          <w:tcPr>
            <w:tcW w:w="10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Optional</w:t>
            </w:r>
          </w:p>
        </w:tc>
        <w:tc>
          <w:tcPr>
            <w:tcW w:w="0" w:type="dxa"/>
            <w:vAlign w:val="bottom"/>
          </w:tcPr>
          <w:p>
            <w:pPr>
              <w:spacing w:after="0"/>
              <w:rPr>
                <w:sz w:val="1"/>
                <w:szCs w:val="1"/>
                <w:color w:val="auto"/>
              </w:rPr>
            </w:pPr>
          </w:p>
        </w:tc>
      </w:tr>
      <w:tr>
        <w:trPr>
          <w:trHeight w:val="163"/>
        </w:trPr>
        <w:tc>
          <w:tcPr>
            <w:tcW w:w="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ind w:left="400"/>
              <w:spacing w:after="0" w:line="163" w:lineRule="exact"/>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4"/>
                <w:szCs w:val="14"/>
                <w:color w:val="auto"/>
              </w:rPr>
            </w:pPr>
          </w:p>
        </w:tc>
        <w:tc>
          <w:tcPr>
            <w:tcW w:w="134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2"/>
              </w:rPr>
              <w:t>Capacity</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Vessel Name</w:t>
            </w:r>
          </w:p>
        </w:tc>
        <w:tc>
          <w:tcPr>
            <w:tcW w:w="120" w:type="dxa"/>
            <w:vAlign w:val="bottom"/>
            <w:tcBorders>
              <w:bottom w:val="single" w:sz="8" w:color="E5FFFF"/>
            </w:tcBorders>
          </w:tcPr>
          <w:p>
            <w:pPr>
              <w:spacing w:after="0"/>
              <w:rPr>
                <w:sz w:val="22"/>
                <w:szCs w:val="22"/>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Built</w:t>
            </w:r>
          </w:p>
        </w:tc>
        <w:tc>
          <w:tcPr>
            <w:tcW w:w="120" w:type="dxa"/>
            <w:vAlign w:val="bottom"/>
            <w:tcBorders>
              <w:bottom w:val="single" w:sz="8" w:color="E5FF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20" w:type="dxa"/>
            <w:vAlign w:val="bottom"/>
            <w:tcBorders>
              <w:bottom w:val="single" w:sz="8" w:color="E5FF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120" w:type="dxa"/>
            <w:vAlign w:val="bottom"/>
            <w:tcBorders>
              <w:bottom w:val="single" w:sz="8" w:color="E5FF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Propulsion</w:t>
            </w:r>
          </w:p>
        </w:tc>
        <w:tc>
          <w:tcPr>
            <w:tcW w:w="120" w:type="dxa"/>
            <w:vAlign w:val="bottom"/>
            <w:tcBorders>
              <w:bottom w:val="single" w:sz="8" w:color="E5FFFF"/>
            </w:tcBorders>
          </w:tcPr>
          <w:p>
            <w:pPr>
              <w:spacing w:after="0"/>
              <w:rPr>
                <w:sz w:val="22"/>
                <w:szCs w:val="22"/>
                <w:color w:val="auto"/>
              </w:rPr>
            </w:pPr>
          </w:p>
        </w:tc>
        <w:tc>
          <w:tcPr>
            <w:tcW w:w="134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6"/>
                <w:szCs w:val="26"/>
                <w:b w:val="1"/>
                <w:bCs w:val="1"/>
                <w:color w:val="auto"/>
                <w:w w:val="90"/>
                <w:vertAlign w:val="superscript"/>
              </w:rPr>
              <w:t>(1)</w:t>
            </w:r>
          </w:p>
        </w:tc>
        <w:tc>
          <w:tcPr>
            <w:tcW w:w="100" w:type="dxa"/>
            <w:vAlign w:val="bottom"/>
            <w:tcBorders>
              <w:bottom w:val="single" w:sz="8" w:color="E5FFFF"/>
            </w:tcBorders>
          </w:tcPr>
          <w:p>
            <w:pPr>
              <w:spacing w:after="0"/>
              <w:rPr>
                <w:sz w:val="22"/>
                <w:szCs w:val="22"/>
                <w:color w:val="auto"/>
              </w:rPr>
            </w:pPr>
          </w:p>
        </w:tc>
        <w:tc>
          <w:tcPr>
            <w:tcW w:w="136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7"/>
              </w:rPr>
              <w:t>Period</w:t>
            </w:r>
            <w:r>
              <w:rPr>
                <w:rFonts w:ascii="Arial" w:cs="Arial" w:eastAsia="Arial" w:hAnsi="Arial"/>
                <w:sz w:val="26"/>
                <w:szCs w:val="26"/>
                <w:b w:val="1"/>
                <w:bCs w:val="1"/>
                <w:color w:val="auto"/>
                <w:w w:val="87"/>
                <w:vertAlign w:val="superscript"/>
              </w:rPr>
              <w:t>(2)</w:t>
            </w:r>
          </w:p>
        </w:tc>
        <w:tc>
          <w:tcPr>
            <w:tcW w:w="0" w:type="dxa"/>
            <w:vAlign w:val="bottom"/>
          </w:tcPr>
          <w:p>
            <w:pPr>
              <w:spacing w:after="0"/>
              <w:rPr>
                <w:sz w:val="1"/>
                <w:szCs w:val="1"/>
                <w:color w:val="auto"/>
              </w:rPr>
            </w:pPr>
          </w:p>
        </w:tc>
      </w:tr>
      <w:tr>
        <w:trPr>
          <w:trHeight w:val="237"/>
        </w:trPr>
        <w:tc>
          <w:tcPr>
            <w:tcW w:w="220" w:type="dxa"/>
            <w:vAlign w:val="bottom"/>
            <w:shd w:val="clear" w:color="auto" w:fill="E5FFFF"/>
          </w:tcPr>
          <w:p>
            <w:pPr>
              <w:jc w:val="right"/>
              <w:ind w:right="64"/>
              <w:spacing w:after="0"/>
              <w:rPr>
                <w:sz w:val="20"/>
                <w:szCs w:val="20"/>
                <w:color w:val="auto"/>
              </w:rPr>
            </w:pPr>
            <w:r>
              <w:rPr>
                <w:rFonts w:ascii="Arial" w:cs="Arial" w:eastAsia="Arial" w:hAnsi="Arial"/>
                <w:sz w:val="15"/>
                <w:szCs w:val="15"/>
                <w:b w:val="1"/>
                <w:bCs w:val="1"/>
                <w:color w:val="auto"/>
                <w:w w:val="71"/>
              </w:rPr>
              <w:t>1</w:t>
            </w:r>
          </w:p>
        </w:tc>
        <w:tc>
          <w:tcPr>
            <w:tcW w:w="2480" w:type="dxa"/>
            <w:vAlign w:val="bottom"/>
            <w:shd w:val="clear" w:color="auto" w:fill="E5FFFF"/>
          </w:tcPr>
          <w:p>
            <w:pPr>
              <w:ind w:left="120"/>
              <w:spacing w:after="0"/>
              <w:rPr>
                <w:sz w:val="20"/>
                <w:szCs w:val="20"/>
                <w:color w:val="auto"/>
              </w:rPr>
            </w:pPr>
            <w:r>
              <w:rPr>
                <w:rFonts w:ascii="Arial" w:cs="Arial" w:eastAsia="Arial" w:hAnsi="Arial"/>
                <w:sz w:val="16"/>
                <w:szCs w:val="16"/>
                <w:i w:val="1"/>
                <w:iCs w:val="1"/>
                <w:color w:val="auto"/>
              </w:rPr>
              <w:t>GasLog Skagen</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2013</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20"/>
                <w:szCs w:val="20"/>
                <w:color w:val="auto"/>
              </w:rPr>
            </w:pPr>
          </w:p>
        </w:tc>
        <w:tc>
          <w:tcPr>
            <w:tcW w:w="1340" w:type="dxa"/>
            <w:vAlign w:val="bottom"/>
            <w:shd w:val="clear" w:color="auto" w:fill="E5FFFF"/>
          </w:tcPr>
          <w:p>
            <w:pPr>
              <w:jc w:val="center"/>
              <w:spacing w:after="0" w:line="236" w:lineRule="exact"/>
              <w:rPr>
                <w:sz w:val="20"/>
                <w:szCs w:val="20"/>
                <w:color w:val="auto"/>
              </w:rPr>
            </w:pPr>
            <w:r>
              <w:rPr>
                <w:rFonts w:ascii="Arial" w:cs="Arial" w:eastAsia="Arial" w:hAnsi="Arial"/>
                <w:sz w:val="16"/>
                <w:szCs w:val="16"/>
                <w:color w:val="auto"/>
                <w:w w:val="91"/>
              </w:rPr>
              <w:t xml:space="preserve">Tokyo LNG </w:t>
            </w:r>
            <w:r>
              <w:rPr>
                <w:rFonts w:ascii="Arial" w:cs="Arial" w:eastAsia="Arial" w:hAnsi="Arial"/>
                <w:sz w:val="26"/>
                <w:szCs w:val="26"/>
                <w:color w:val="auto"/>
                <w:w w:val="91"/>
                <w:vertAlign w:val="superscript"/>
              </w:rPr>
              <w:t>(14)</w:t>
            </w:r>
          </w:p>
        </w:tc>
        <w:tc>
          <w:tcPr>
            <w:tcW w:w="120" w:type="dxa"/>
            <w:vAlign w:val="bottom"/>
            <w:shd w:val="clear" w:color="auto" w:fill="E5FFFF"/>
          </w:tcPr>
          <w:p>
            <w:pPr>
              <w:spacing w:after="0"/>
              <w:rPr>
                <w:sz w:val="20"/>
                <w:szCs w:val="20"/>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shd w:val="clear" w:color="auto" w:fill="E5FFFF"/>
          </w:tcPr>
          <w:p>
            <w:pPr>
              <w:spacing w:after="0"/>
              <w:rPr>
                <w:sz w:val="20"/>
                <w:szCs w:val="20"/>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September 2024</w:t>
            </w:r>
          </w:p>
        </w:tc>
        <w:tc>
          <w:tcPr>
            <w:tcW w:w="100" w:type="dxa"/>
            <w:vAlign w:val="bottom"/>
            <w:shd w:val="clear" w:color="auto" w:fill="E5FFFF"/>
          </w:tcPr>
          <w:p>
            <w:pPr>
              <w:spacing w:after="0"/>
              <w:rPr>
                <w:sz w:val="20"/>
                <w:szCs w:val="20"/>
                <w:color w:val="auto"/>
              </w:rPr>
            </w:pP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2</w:t>
            </w:r>
          </w:p>
        </w:tc>
        <w:tc>
          <w:tcPr>
            <w:tcW w:w="2480" w:type="dxa"/>
            <w:vAlign w:val="bottom"/>
          </w:tcPr>
          <w:p>
            <w:pPr>
              <w:ind w:left="120"/>
              <w:spacing w:after="0" w:line="243" w:lineRule="exact"/>
              <w:rPr>
                <w:sz w:val="20"/>
                <w:szCs w:val="20"/>
                <w:color w:val="auto"/>
              </w:rPr>
            </w:pPr>
            <w:r>
              <w:rPr>
                <w:rFonts w:ascii="Arial" w:cs="Arial" w:eastAsia="Arial" w:hAnsi="Arial"/>
                <w:sz w:val="16"/>
                <w:szCs w:val="16"/>
                <w:i w:val="1"/>
                <w:iCs w:val="1"/>
                <w:color w:val="auto"/>
              </w:rPr>
              <w:t xml:space="preserve">GasLog Saratoga </w:t>
            </w:r>
            <w:r>
              <w:rPr>
                <w:rFonts w:ascii="Arial" w:cs="Arial" w:eastAsia="Arial" w:hAnsi="Arial"/>
                <w:sz w:val="26"/>
                <w:szCs w:val="26"/>
                <w:i w:val="1"/>
                <w:iCs w:val="1"/>
                <w:color w:val="auto"/>
                <w:vertAlign w:val="superscript"/>
              </w:rPr>
              <w:t>(15)</w:t>
            </w:r>
          </w:p>
        </w:tc>
        <w:tc>
          <w:tcPr>
            <w:tcW w:w="1240" w:type="dxa"/>
            <w:vAlign w:val="bottom"/>
            <w:gridSpan w:val="2"/>
          </w:tcPr>
          <w:p>
            <w:pPr>
              <w:ind w:left="520"/>
              <w:spacing w:after="0"/>
              <w:rPr>
                <w:sz w:val="20"/>
                <w:szCs w:val="20"/>
                <w:color w:val="auto"/>
              </w:rPr>
            </w:pPr>
            <w:r>
              <w:rPr>
                <w:rFonts w:ascii="Arial" w:cs="Arial" w:eastAsia="Arial" w:hAnsi="Arial"/>
                <w:sz w:val="16"/>
                <w:szCs w:val="16"/>
                <w:color w:val="auto"/>
              </w:rPr>
              <w:t>2014</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21"/>
                <w:szCs w:val="21"/>
                <w:color w:val="auto"/>
              </w:rPr>
            </w:pPr>
          </w:p>
        </w:tc>
        <w:tc>
          <w:tcPr>
            <w:tcW w:w="1340" w:type="dxa"/>
            <w:vAlign w:val="bottom"/>
          </w:tcPr>
          <w:p>
            <w:pPr>
              <w:jc w:val="center"/>
              <w:spacing w:after="0" w:line="243" w:lineRule="exact"/>
              <w:rPr>
                <w:sz w:val="20"/>
                <w:szCs w:val="20"/>
                <w:color w:val="auto"/>
              </w:rPr>
            </w:pPr>
            <w:r>
              <w:rPr>
                <w:rFonts w:ascii="Arial" w:cs="Arial" w:eastAsia="Arial" w:hAnsi="Arial"/>
                <w:sz w:val="16"/>
                <w:szCs w:val="16"/>
                <w:color w:val="auto"/>
                <w:w w:val="88"/>
              </w:rPr>
              <w:t xml:space="preserve">Mitsui </w:t>
            </w:r>
            <w:r>
              <w:rPr>
                <w:rFonts w:ascii="Arial" w:cs="Arial" w:eastAsia="Arial" w:hAnsi="Arial"/>
                <w:sz w:val="26"/>
                <w:szCs w:val="26"/>
                <w:color w:val="auto"/>
                <w:w w:val="88"/>
                <w:vertAlign w:val="superscript"/>
              </w:rPr>
              <w:t>(16)</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September 2024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20" w:type="dxa"/>
            <w:vAlign w:val="bottom"/>
            <w:shd w:val="clear" w:color="auto" w:fill="E5FFFF"/>
          </w:tcPr>
          <w:p>
            <w:pPr>
              <w:jc w:val="right"/>
              <w:ind w:right="64"/>
              <w:spacing w:after="0"/>
              <w:rPr>
                <w:sz w:val="20"/>
                <w:szCs w:val="20"/>
                <w:color w:val="auto"/>
              </w:rPr>
            </w:pPr>
            <w:r>
              <w:rPr>
                <w:rFonts w:ascii="Arial" w:cs="Arial" w:eastAsia="Arial" w:hAnsi="Arial"/>
                <w:sz w:val="15"/>
                <w:szCs w:val="15"/>
                <w:b w:val="1"/>
                <w:bCs w:val="1"/>
                <w:color w:val="auto"/>
                <w:w w:val="71"/>
              </w:rPr>
              <w:t>3</w:t>
            </w:r>
          </w:p>
        </w:tc>
        <w:tc>
          <w:tcPr>
            <w:tcW w:w="2480" w:type="dxa"/>
            <w:vAlign w:val="bottom"/>
            <w:shd w:val="clear" w:color="auto" w:fill="E5FFFF"/>
          </w:tcPr>
          <w:p>
            <w:pPr>
              <w:ind w:left="120"/>
              <w:spacing w:after="0"/>
              <w:rPr>
                <w:sz w:val="20"/>
                <w:szCs w:val="20"/>
                <w:color w:val="auto"/>
              </w:rPr>
            </w:pPr>
            <w:r>
              <w:rPr>
                <w:rFonts w:ascii="Arial" w:cs="Arial" w:eastAsia="Arial" w:hAnsi="Arial"/>
                <w:sz w:val="16"/>
                <w:szCs w:val="16"/>
                <w:i w:val="1"/>
                <w:iCs w:val="1"/>
                <w:color w:val="auto"/>
              </w:rPr>
              <w:t>GasLog Hong Kong</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2018</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6"/>
              </w:rPr>
              <w:t xml:space="preserve">TotalEnergies </w:t>
            </w:r>
            <w:r>
              <w:rPr>
                <w:rFonts w:ascii="Arial" w:cs="Arial" w:eastAsia="Arial" w:hAnsi="Arial"/>
                <w:sz w:val="26"/>
                <w:szCs w:val="26"/>
                <w:color w:val="auto"/>
                <w:w w:val="86"/>
                <w:vertAlign w:val="superscript"/>
              </w:rPr>
              <w:t>(17)</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December 2025</w:t>
            </w:r>
          </w:p>
        </w:tc>
        <w:tc>
          <w:tcPr>
            <w:tcW w:w="1460" w:type="dxa"/>
            <w:vAlign w:val="bottom"/>
            <w:gridSpan w:val="2"/>
            <w:shd w:val="clear" w:color="auto" w:fill="E5FFFF"/>
          </w:tcPr>
          <w:p>
            <w:pPr>
              <w:jc w:val="center"/>
              <w:spacing w:after="0" w:line="243" w:lineRule="exact"/>
              <w:rPr>
                <w:sz w:val="20"/>
                <w:szCs w:val="20"/>
                <w:color w:val="auto"/>
              </w:rPr>
            </w:pPr>
            <w:r>
              <w:rPr>
                <w:rFonts w:ascii="Arial" w:cs="Arial" w:eastAsia="Arial" w:hAnsi="Arial"/>
                <w:sz w:val="16"/>
                <w:szCs w:val="16"/>
                <w:color w:val="auto"/>
                <w:w w:val="81"/>
              </w:rPr>
              <w:t xml:space="preserve">2028 </w:t>
            </w:r>
            <w:r>
              <w:rPr>
                <w:rFonts w:ascii="Arial" w:cs="Arial" w:eastAsia="Arial" w:hAnsi="Arial"/>
                <w:sz w:val="26"/>
                <w:szCs w:val="26"/>
                <w:color w:val="auto"/>
                <w:w w:val="81"/>
                <w:vertAlign w:val="superscript"/>
              </w:rPr>
              <w:t>(17)</w:t>
            </w:r>
          </w:p>
        </w:tc>
        <w:tc>
          <w:tcPr>
            <w:tcW w:w="0" w:type="dxa"/>
            <w:vAlign w:val="bottom"/>
          </w:tcPr>
          <w:p>
            <w:pPr>
              <w:spacing w:after="0"/>
              <w:rPr>
                <w:sz w:val="1"/>
                <w:szCs w:val="1"/>
                <w:color w:val="auto"/>
              </w:rPr>
            </w:pPr>
          </w:p>
        </w:tc>
      </w:tr>
      <w:tr>
        <w:trPr>
          <w:trHeight w:val="353"/>
        </w:trPr>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4</w:t>
            </w:r>
          </w:p>
        </w:tc>
        <w:tc>
          <w:tcPr>
            <w:tcW w:w="2480" w:type="dxa"/>
            <w:vAlign w:val="bottom"/>
          </w:tcPr>
          <w:p>
            <w:pPr>
              <w:ind w:left="120"/>
              <w:spacing w:after="0"/>
              <w:rPr>
                <w:sz w:val="20"/>
                <w:szCs w:val="20"/>
                <w:color w:val="auto"/>
              </w:rPr>
            </w:pPr>
            <w:r>
              <w:rPr>
                <w:rFonts w:ascii="Arial" w:cs="Arial" w:eastAsia="Arial" w:hAnsi="Arial"/>
                <w:sz w:val="16"/>
                <w:szCs w:val="16"/>
                <w:i w:val="1"/>
                <w:iCs w:val="1"/>
                <w:color w:val="auto"/>
              </w:rPr>
              <w:t>GasLog Salem</w:t>
            </w:r>
          </w:p>
        </w:tc>
        <w:tc>
          <w:tcPr>
            <w:tcW w:w="1240" w:type="dxa"/>
            <w:vAlign w:val="bottom"/>
            <w:gridSpan w:val="2"/>
          </w:tcPr>
          <w:p>
            <w:pPr>
              <w:ind w:left="520"/>
              <w:spacing w:after="0"/>
              <w:rPr>
                <w:sz w:val="20"/>
                <w:szCs w:val="20"/>
                <w:color w:val="auto"/>
              </w:rPr>
            </w:pPr>
            <w:r>
              <w:rPr>
                <w:rFonts w:ascii="Arial" w:cs="Arial" w:eastAsia="Arial" w:hAnsi="Arial"/>
                <w:sz w:val="16"/>
                <w:szCs w:val="16"/>
                <w:color w:val="auto"/>
              </w:rPr>
              <w:t>2015</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6"/>
              </w:rPr>
              <w:t xml:space="preserve">Gunvor </w:t>
            </w:r>
            <w:r>
              <w:rPr>
                <w:rFonts w:ascii="Arial" w:cs="Arial" w:eastAsia="Arial" w:hAnsi="Arial"/>
                <w:sz w:val="26"/>
                <w:szCs w:val="26"/>
                <w:color w:val="auto"/>
                <w:w w:val="86"/>
                <w:vertAlign w:val="superscript"/>
              </w:rPr>
              <w:t>(18)</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2"/>
              </w:rPr>
              <w:t>March 2026</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ectPr>
          <w:pgSz w:w="11900" w:h="17001" w:orient="portrait"/>
          <w:cols w:equalWidth="0" w:num="1">
            <w:col w:w="11240"/>
          </w:cols>
          <w:pgMar w:left="320" w:top="913"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20" w:type="dxa"/>
            <w:vAlign w:val="bottom"/>
            <w:shd w:val="clear" w:color="auto" w:fill="E5FFFF"/>
          </w:tcPr>
          <w:p>
            <w:pPr>
              <w:jc w:val="right"/>
              <w:ind w:right="64"/>
              <w:spacing w:after="0"/>
              <w:rPr>
                <w:sz w:val="20"/>
                <w:szCs w:val="20"/>
                <w:color w:val="auto"/>
              </w:rPr>
            </w:pPr>
            <w:r>
              <w:rPr>
                <w:rFonts w:ascii="Arial" w:cs="Arial" w:eastAsia="Arial" w:hAnsi="Arial"/>
                <w:sz w:val="15"/>
                <w:szCs w:val="15"/>
                <w:b w:val="1"/>
                <w:bCs w:val="1"/>
                <w:color w:val="auto"/>
                <w:w w:val="71"/>
              </w:rPr>
              <w:t>5</w:t>
            </w:r>
          </w:p>
        </w:tc>
        <w:tc>
          <w:tcPr>
            <w:tcW w:w="2260" w:type="dxa"/>
            <w:vAlign w:val="bottom"/>
            <w:shd w:val="clear" w:color="auto" w:fill="E5FFFF"/>
          </w:tcPr>
          <w:p>
            <w:pPr>
              <w:ind w:left="120"/>
              <w:spacing w:after="0"/>
              <w:rPr>
                <w:sz w:val="20"/>
                <w:szCs w:val="20"/>
                <w:color w:val="auto"/>
              </w:rPr>
            </w:pPr>
            <w:r>
              <w:rPr>
                <w:rFonts w:ascii="Arial" w:cs="Arial" w:eastAsia="Arial" w:hAnsi="Arial"/>
                <w:sz w:val="16"/>
                <w:szCs w:val="16"/>
                <w:i w:val="1"/>
                <w:iCs w:val="1"/>
                <w:color w:val="auto"/>
              </w:rPr>
              <w:t>Methane Julia Louise</w:t>
            </w:r>
          </w:p>
        </w:tc>
        <w:tc>
          <w:tcPr>
            <w:tcW w:w="152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2010</w:t>
            </w:r>
          </w:p>
        </w:tc>
        <w:tc>
          <w:tcPr>
            <w:tcW w:w="128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170,000</w:t>
            </w:r>
          </w:p>
        </w:tc>
        <w:tc>
          <w:tcPr>
            <w:tcW w:w="1620" w:type="dxa"/>
            <w:vAlign w:val="bottom"/>
            <w:shd w:val="clear" w:color="auto" w:fill="E5FFFF"/>
          </w:tcPr>
          <w:p>
            <w:pPr>
              <w:ind w:left="740"/>
              <w:spacing w:after="0"/>
              <w:rPr>
                <w:sz w:val="20"/>
                <w:szCs w:val="20"/>
                <w:color w:val="auto"/>
              </w:rPr>
            </w:pPr>
            <w:r>
              <w:rPr>
                <w:rFonts w:ascii="Arial" w:cs="Arial" w:eastAsia="Arial" w:hAnsi="Arial"/>
                <w:sz w:val="16"/>
                <w:szCs w:val="16"/>
                <w:color w:val="auto"/>
              </w:rPr>
              <w:t>Shell</w:t>
            </w:r>
          </w:p>
        </w:tc>
        <w:tc>
          <w:tcPr>
            <w:tcW w:w="1380" w:type="dxa"/>
            <w:vAlign w:val="bottom"/>
            <w:shd w:val="clear" w:color="auto" w:fill="E5FFFF"/>
          </w:tcPr>
          <w:p>
            <w:pPr>
              <w:ind w:left="540"/>
              <w:spacing w:after="0"/>
              <w:rPr>
                <w:sz w:val="20"/>
                <w:szCs w:val="20"/>
                <w:color w:val="auto"/>
              </w:rPr>
            </w:pPr>
            <w:r>
              <w:rPr>
                <w:rFonts w:ascii="Arial" w:cs="Arial" w:eastAsia="Arial" w:hAnsi="Arial"/>
                <w:sz w:val="16"/>
                <w:szCs w:val="16"/>
                <w:color w:val="auto"/>
              </w:rPr>
              <w:t>TFDE</w:t>
            </w:r>
          </w:p>
        </w:tc>
        <w:tc>
          <w:tcPr>
            <w:tcW w:w="1520" w:type="dxa"/>
            <w:vAlign w:val="bottom"/>
            <w:shd w:val="clear" w:color="auto" w:fill="E5FFFF"/>
          </w:tcPr>
          <w:p>
            <w:pPr>
              <w:jc w:val="center"/>
              <w:ind w:left="59"/>
              <w:spacing w:after="0"/>
              <w:rPr>
                <w:sz w:val="20"/>
                <w:szCs w:val="20"/>
                <w:color w:val="auto"/>
              </w:rPr>
            </w:pPr>
            <w:r>
              <w:rPr>
                <w:rFonts w:ascii="Arial" w:cs="Arial" w:eastAsia="Arial" w:hAnsi="Arial"/>
                <w:sz w:val="16"/>
                <w:szCs w:val="16"/>
                <w:color w:val="auto"/>
                <w:w w:val="92"/>
              </w:rPr>
              <w:t>March 2026</w:t>
            </w:r>
          </w:p>
        </w:tc>
        <w:tc>
          <w:tcPr>
            <w:tcW w:w="144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 xml:space="preserve">2029-2031 </w:t>
            </w:r>
            <w:r>
              <w:rPr>
                <w:rFonts w:ascii="Arial" w:cs="Arial" w:eastAsia="Arial" w:hAnsi="Arial"/>
                <w:sz w:val="26"/>
                <w:szCs w:val="26"/>
                <w:color w:val="auto"/>
                <w:vertAlign w:val="superscript"/>
              </w:rPr>
              <w:t>(6)</w:t>
            </w:r>
          </w:p>
        </w:tc>
      </w:tr>
      <w:tr>
        <w:trPr>
          <w:trHeight w:val="353"/>
        </w:trPr>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6</w:t>
            </w:r>
          </w:p>
        </w:tc>
        <w:tc>
          <w:tcPr>
            <w:tcW w:w="2260" w:type="dxa"/>
            <w:vAlign w:val="bottom"/>
          </w:tcPr>
          <w:p>
            <w:pPr>
              <w:ind w:left="120"/>
              <w:spacing w:after="0"/>
              <w:rPr>
                <w:sz w:val="20"/>
                <w:szCs w:val="20"/>
                <w:color w:val="auto"/>
              </w:rPr>
            </w:pPr>
            <w:r>
              <w:rPr>
                <w:rFonts w:ascii="Arial" w:cs="Arial" w:eastAsia="Arial" w:hAnsi="Arial"/>
                <w:sz w:val="16"/>
                <w:szCs w:val="16"/>
                <w:i w:val="1"/>
                <w:iCs w:val="1"/>
                <w:color w:val="auto"/>
              </w:rPr>
              <w:t>GasLog Houston</w:t>
            </w:r>
          </w:p>
        </w:tc>
        <w:tc>
          <w:tcPr>
            <w:tcW w:w="1520" w:type="dxa"/>
            <w:vAlign w:val="bottom"/>
          </w:tcPr>
          <w:p>
            <w:pPr>
              <w:jc w:val="right"/>
              <w:ind w:right="379"/>
              <w:spacing w:after="0"/>
              <w:rPr>
                <w:sz w:val="20"/>
                <w:szCs w:val="20"/>
                <w:color w:val="auto"/>
              </w:rPr>
            </w:pPr>
            <w:r>
              <w:rPr>
                <w:rFonts w:ascii="Arial" w:cs="Arial" w:eastAsia="Arial" w:hAnsi="Arial"/>
                <w:sz w:val="16"/>
                <w:szCs w:val="16"/>
                <w:color w:val="auto"/>
              </w:rPr>
              <w:t>2018</w:t>
            </w: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174,000</w:t>
            </w:r>
          </w:p>
        </w:tc>
        <w:tc>
          <w:tcPr>
            <w:tcW w:w="1620" w:type="dxa"/>
            <w:vAlign w:val="bottom"/>
          </w:tcPr>
          <w:p>
            <w:pPr>
              <w:ind w:left="740"/>
              <w:spacing w:after="0"/>
              <w:rPr>
                <w:sz w:val="20"/>
                <w:szCs w:val="20"/>
                <w:color w:val="auto"/>
              </w:rPr>
            </w:pPr>
            <w:r>
              <w:rPr>
                <w:rFonts w:ascii="Arial" w:cs="Arial" w:eastAsia="Arial" w:hAnsi="Arial"/>
                <w:sz w:val="16"/>
                <w:szCs w:val="16"/>
                <w:color w:val="auto"/>
              </w:rPr>
              <w:t>Shell</w:t>
            </w:r>
          </w:p>
        </w:tc>
        <w:tc>
          <w:tcPr>
            <w:tcW w:w="1380" w:type="dxa"/>
            <w:vAlign w:val="bottom"/>
          </w:tcPr>
          <w:p>
            <w:pPr>
              <w:ind w:left="560"/>
              <w:spacing w:after="0"/>
              <w:rPr>
                <w:sz w:val="20"/>
                <w:szCs w:val="20"/>
                <w:color w:val="auto"/>
              </w:rPr>
            </w:pPr>
            <w:r>
              <w:rPr>
                <w:rFonts w:ascii="Arial" w:cs="Arial" w:eastAsia="Arial" w:hAnsi="Arial"/>
                <w:sz w:val="16"/>
                <w:szCs w:val="16"/>
                <w:color w:val="auto"/>
              </w:rPr>
              <w:t>X-DF</w:t>
            </w:r>
          </w:p>
        </w:tc>
        <w:tc>
          <w:tcPr>
            <w:tcW w:w="1520" w:type="dxa"/>
            <w:vAlign w:val="bottom"/>
          </w:tcPr>
          <w:p>
            <w:pPr>
              <w:jc w:val="center"/>
              <w:ind w:left="59"/>
              <w:spacing w:after="0"/>
              <w:rPr>
                <w:sz w:val="20"/>
                <w:szCs w:val="20"/>
                <w:color w:val="auto"/>
              </w:rPr>
            </w:pPr>
            <w:r>
              <w:rPr>
                <w:rFonts w:ascii="Arial" w:cs="Arial" w:eastAsia="Arial" w:hAnsi="Arial"/>
                <w:sz w:val="16"/>
                <w:szCs w:val="16"/>
                <w:color w:val="auto"/>
                <w:w w:val="93"/>
              </w:rPr>
              <w:t>May 2028</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 xml:space="preserve">2031-2034 </w:t>
            </w:r>
            <w:r>
              <w:rPr>
                <w:rFonts w:ascii="Arial" w:cs="Arial" w:eastAsia="Arial" w:hAnsi="Arial"/>
                <w:sz w:val="26"/>
                <w:szCs w:val="26"/>
                <w:color w:val="auto"/>
                <w:vertAlign w:val="superscript"/>
              </w:rPr>
              <w:t>(6)</w:t>
            </w:r>
          </w:p>
        </w:tc>
      </w:tr>
      <w:tr>
        <w:trPr>
          <w:trHeight w:val="471"/>
        </w:trPr>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162"/>
              <w:spacing w:after="0"/>
              <w:rPr>
                <w:sz w:val="20"/>
                <w:szCs w:val="20"/>
                <w:color w:val="auto"/>
              </w:rPr>
            </w:pPr>
            <w:r>
              <w:rPr>
                <w:rFonts w:ascii="Arial" w:cs="Arial" w:eastAsia="Arial" w:hAnsi="Arial"/>
                <w:sz w:val="14"/>
                <w:szCs w:val="14"/>
                <w:color w:val="auto"/>
              </w:rPr>
              <w:t>3</w:t>
            </w:r>
          </w:p>
        </w:tc>
        <w:tc>
          <w:tcPr>
            <w:tcW w:w="1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As of August 3, 2023, the Partnership’s bareboat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5"/>
              </w:rPr>
              <w:t>Cargo</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Charter</w:t>
            </w:r>
          </w:p>
        </w:tc>
        <w:tc>
          <w:tcPr>
            <w:tcW w:w="10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Optional</w:t>
            </w:r>
          </w:p>
        </w:tc>
        <w:tc>
          <w:tcPr>
            <w:tcW w:w="0" w:type="dxa"/>
            <w:vAlign w:val="bottom"/>
          </w:tcPr>
          <w:p>
            <w:pPr>
              <w:spacing w:after="0"/>
              <w:rPr>
                <w:sz w:val="1"/>
                <w:szCs w:val="1"/>
                <w:color w:val="auto"/>
              </w:rPr>
            </w:pPr>
          </w:p>
        </w:tc>
      </w:tr>
      <w:tr>
        <w:trPr>
          <w:trHeight w:val="163"/>
        </w:trPr>
        <w:tc>
          <w:tcPr>
            <w:tcW w:w="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ind w:left="400"/>
              <w:spacing w:after="0" w:line="163" w:lineRule="exact"/>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4"/>
                <w:szCs w:val="14"/>
                <w:color w:val="auto"/>
              </w:rPr>
            </w:pPr>
          </w:p>
        </w:tc>
        <w:tc>
          <w:tcPr>
            <w:tcW w:w="134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2"/>
              </w:rPr>
              <w:t>Capacity</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Vessel Name</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Built</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Propulsion</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6"/>
                <w:szCs w:val="26"/>
                <w:b w:val="1"/>
                <w:bCs w:val="1"/>
                <w:color w:val="auto"/>
                <w:w w:val="90"/>
                <w:vertAlign w:val="superscript"/>
              </w:rPr>
              <w:t>(1)</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7"/>
              </w:rPr>
              <w:t>Period</w:t>
            </w:r>
            <w:r>
              <w:rPr>
                <w:rFonts w:ascii="Arial" w:cs="Arial" w:eastAsia="Arial" w:hAnsi="Arial"/>
                <w:sz w:val="26"/>
                <w:szCs w:val="26"/>
                <w:b w:val="1"/>
                <w:bCs w:val="1"/>
                <w:color w:val="auto"/>
                <w:w w:val="87"/>
                <w:vertAlign w:val="superscript"/>
              </w:rPr>
              <w:t>(2)</w:t>
            </w:r>
          </w:p>
        </w:tc>
        <w:tc>
          <w:tcPr>
            <w:tcW w:w="0" w:type="dxa"/>
            <w:vAlign w:val="bottom"/>
          </w:tcPr>
          <w:p>
            <w:pPr>
              <w:spacing w:after="0"/>
              <w:rPr>
                <w:sz w:val="1"/>
                <w:szCs w:val="1"/>
                <w:color w:val="auto"/>
              </w:rPr>
            </w:pPr>
          </w:p>
        </w:tc>
      </w:tr>
      <w:tr>
        <w:trPr>
          <w:trHeight w:val="237"/>
        </w:trPr>
        <w:tc>
          <w:tcPr>
            <w:tcW w:w="220" w:type="dxa"/>
            <w:vAlign w:val="bottom"/>
            <w:shd w:val="clear" w:color="auto" w:fill="E5FFFF"/>
          </w:tcPr>
          <w:p>
            <w:pPr>
              <w:jc w:val="right"/>
              <w:ind w:right="64"/>
              <w:spacing w:after="0"/>
              <w:rPr>
                <w:sz w:val="20"/>
                <w:szCs w:val="20"/>
                <w:color w:val="auto"/>
              </w:rPr>
            </w:pPr>
            <w:r>
              <w:rPr>
                <w:rFonts w:ascii="Arial" w:cs="Arial" w:eastAsia="Arial" w:hAnsi="Arial"/>
                <w:sz w:val="15"/>
                <w:szCs w:val="15"/>
                <w:b w:val="1"/>
                <w:bCs w:val="1"/>
                <w:color w:val="auto"/>
                <w:w w:val="71"/>
              </w:rPr>
              <w:t>1</w:t>
            </w:r>
          </w:p>
        </w:tc>
        <w:tc>
          <w:tcPr>
            <w:tcW w:w="2480" w:type="dxa"/>
            <w:vAlign w:val="bottom"/>
            <w:shd w:val="clear" w:color="auto" w:fill="E5FFFF"/>
          </w:tcPr>
          <w:p>
            <w:pPr>
              <w:ind w:left="120"/>
              <w:spacing w:after="0" w:line="236" w:lineRule="exact"/>
              <w:rPr>
                <w:sz w:val="20"/>
                <w:szCs w:val="20"/>
                <w:color w:val="auto"/>
              </w:rPr>
            </w:pPr>
            <w:r>
              <w:rPr>
                <w:rFonts w:ascii="Arial" w:cs="Arial" w:eastAsia="Arial" w:hAnsi="Arial"/>
                <w:sz w:val="16"/>
                <w:szCs w:val="16"/>
                <w:i w:val="1"/>
                <w:iCs w:val="1"/>
                <w:color w:val="auto"/>
              </w:rPr>
              <w:t xml:space="preserve">GasLog Sydney </w:t>
            </w:r>
            <w:r>
              <w:rPr>
                <w:rFonts w:ascii="Arial" w:cs="Arial" w:eastAsia="Arial" w:hAnsi="Arial"/>
                <w:sz w:val="26"/>
                <w:szCs w:val="26"/>
                <w:i w:val="1"/>
                <w:iCs w:val="1"/>
                <w:color w:val="auto"/>
                <w:vertAlign w:val="superscript"/>
              </w:rPr>
              <w:t>(15)</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2013</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20"/>
                <w:szCs w:val="20"/>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0"/>
              </w:rPr>
              <w:t>Centrica</w:t>
            </w:r>
          </w:p>
        </w:tc>
        <w:tc>
          <w:tcPr>
            <w:tcW w:w="120" w:type="dxa"/>
            <w:vAlign w:val="bottom"/>
            <w:shd w:val="clear" w:color="auto" w:fill="E5FFFF"/>
          </w:tcPr>
          <w:p>
            <w:pPr>
              <w:spacing w:after="0"/>
              <w:rPr>
                <w:sz w:val="20"/>
                <w:szCs w:val="20"/>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shd w:val="clear" w:color="auto" w:fill="E5FFFF"/>
          </w:tcPr>
          <w:p>
            <w:pPr>
              <w:spacing w:after="0"/>
              <w:rPr>
                <w:sz w:val="20"/>
                <w:szCs w:val="20"/>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May 2024</w:t>
            </w:r>
          </w:p>
        </w:tc>
        <w:tc>
          <w:tcPr>
            <w:tcW w:w="100" w:type="dxa"/>
            <w:vAlign w:val="bottom"/>
            <w:shd w:val="clear" w:color="auto" w:fill="E5FFFF"/>
          </w:tcPr>
          <w:p>
            <w:pPr>
              <w:spacing w:after="0"/>
              <w:rPr>
                <w:sz w:val="20"/>
                <w:szCs w:val="20"/>
                <w:color w:val="auto"/>
              </w:rPr>
            </w:pP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2</w:t>
            </w:r>
          </w:p>
        </w:tc>
        <w:tc>
          <w:tcPr>
            <w:tcW w:w="2480" w:type="dxa"/>
            <w:vAlign w:val="bottom"/>
          </w:tcPr>
          <w:p>
            <w:pPr>
              <w:ind w:left="120"/>
              <w:spacing w:after="0"/>
              <w:rPr>
                <w:sz w:val="20"/>
                <w:szCs w:val="20"/>
                <w:color w:val="auto"/>
              </w:rPr>
            </w:pPr>
            <w:r>
              <w:rPr>
                <w:rFonts w:ascii="Arial" w:cs="Arial" w:eastAsia="Arial" w:hAnsi="Arial"/>
                <w:sz w:val="16"/>
                <w:szCs w:val="16"/>
                <w:i w:val="1"/>
                <w:iCs w:val="1"/>
                <w:color w:val="auto"/>
              </w:rPr>
              <w:t>GasLog Shanghai</w:t>
            </w:r>
          </w:p>
        </w:tc>
        <w:tc>
          <w:tcPr>
            <w:tcW w:w="1240" w:type="dxa"/>
            <w:vAlign w:val="bottom"/>
            <w:gridSpan w:val="2"/>
          </w:tcPr>
          <w:p>
            <w:pPr>
              <w:ind w:left="520"/>
              <w:spacing w:after="0"/>
              <w:rPr>
                <w:sz w:val="20"/>
                <w:szCs w:val="20"/>
                <w:color w:val="auto"/>
              </w:rPr>
            </w:pPr>
            <w:r>
              <w:rPr>
                <w:rFonts w:ascii="Arial" w:cs="Arial" w:eastAsia="Arial" w:hAnsi="Arial"/>
                <w:sz w:val="16"/>
                <w:szCs w:val="16"/>
                <w:color w:val="auto"/>
              </w:rPr>
              <w:t>2013</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21"/>
                <w:szCs w:val="21"/>
                <w:color w:val="auto"/>
              </w:rPr>
            </w:pPr>
          </w:p>
        </w:tc>
        <w:tc>
          <w:tcPr>
            <w:tcW w:w="1340" w:type="dxa"/>
            <w:vAlign w:val="bottom"/>
          </w:tcPr>
          <w:p>
            <w:pPr>
              <w:jc w:val="center"/>
              <w:spacing w:after="0" w:line="243" w:lineRule="exact"/>
              <w:rPr>
                <w:sz w:val="20"/>
                <w:szCs w:val="20"/>
                <w:color w:val="auto"/>
              </w:rPr>
            </w:pPr>
            <w:r>
              <w:rPr>
                <w:rFonts w:ascii="Arial" w:cs="Arial" w:eastAsia="Arial" w:hAnsi="Arial"/>
                <w:sz w:val="16"/>
                <w:szCs w:val="16"/>
                <w:color w:val="auto"/>
                <w:w w:val="86"/>
              </w:rPr>
              <w:t xml:space="preserve">Woodside </w:t>
            </w:r>
            <w:r>
              <w:rPr>
                <w:rFonts w:ascii="Arial" w:cs="Arial" w:eastAsia="Arial" w:hAnsi="Arial"/>
                <w:sz w:val="26"/>
                <w:szCs w:val="26"/>
                <w:color w:val="auto"/>
                <w:w w:val="86"/>
                <w:vertAlign w:val="superscript"/>
              </w:rPr>
              <w:t>(19)</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2"/>
              </w:rPr>
              <w:t>March 2025</w:t>
            </w:r>
          </w:p>
        </w:tc>
        <w:tc>
          <w:tcPr>
            <w:tcW w:w="1460" w:type="dxa"/>
            <w:vAlign w:val="bottom"/>
            <w:gridSpan w:val="2"/>
          </w:tcPr>
          <w:p>
            <w:pPr>
              <w:jc w:val="center"/>
              <w:spacing w:after="0" w:line="243" w:lineRule="exact"/>
              <w:rPr>
                <w:sz w:val="20"/>
                <w:szCs w:val="20"/>
                <w:color w:val="auto"/>
              </w:rPr>
            </w:pPr>
            <w:r>
              <w:rPr>
                <w:rFonts w:ascii="Arial" w:cs="Arial" w:eastAsia="Arial" w:hAnsi="Arial"/>
                <w:sz w:val="16"/>
                <w:szCs w:val="16"/>
                <w:color w:val="auto"/>
                <w:w w:val="81"/>
              </w:rPr>
              <w:t xml:space="preserve">2026 </w:t>
            </w:r>
            <w:r>
              <w:rPr>
                <w:rFonts w:ascii="Arial" w:cs="Arial" w:eastAsia="Arial" w:hAnsi="Arial"/>
                <w:sz w:val="26"/>
                <w:szCs w:val="26"/>
                <w:color w:val="auto"/>
                <w:w w:val="81"/>
                <w:vertAlign w:val="superscript"/>
              </w:rPr>
              <w:t>(19)</w:t>
            </w:r>
          </w:p>
        </w:tc>
        <w:tc>
          <w:tcPr>
            <w:tcW w:w="0" w:type="dxa"/>
            <w:vAlign w:val="bottom"/>
          </w:tcPr>
          <w:p>
            <w:pPr>
              <w:spacing w:after="0"/>
              <w:rPr>
                <w:sz w:val="1"/>
                <w:szCs w:val="1"/>
                <w:color w:val="auto"/>
              </w:rPr>
            </w:pPr>
          </w:p>
        </w:tc>
      </w:tr>
      <w:tr>
        <w:trPr>
          <w:trHeight w:val="243"/>
        </w:trPr>
        <w:tc>
          <w:tcPr>
            <w:tcW w:w="220" w:type="dxa"/>
            <w:vAlign w:val="bottom"/>
            <w:shd w:val="clear" w:color="auto" w:fill="E5FFFF"/>
          </w:tcPr>
          <w:p>
            <w:pPr>
              <w:jc w:val="right"/>
              <w:ind w:right="64"/>
              <w:spacing w:after="0"/>
              <w:rPr>
                <w:sz w:val="20"/>
                <w:szCs w:val="20"/>
                <w:color w:val="auto"/>
              </w:rPr>
            </w:pPr>
            <w:r>
              <w:rPr>
                <w:rFonts w:ascii="Arial" w:cs="Arial" w:eastAsia="Arial" w:hAnsi="Arial"/>
                <w:sz w:val="15"/>
                <w:szCs w:val="15"/>
                <w:b w:val="1"/>
                <w:bCs w:val="1"/>
                <w:color w:val="auto"/>
                <w:w w:val="71"/>
              </w:rPr>
              <w:t>3</w:t>
            </w:r>
          </w:p>
        </w:tc>
        <w:tc>
          <w:tcPr>
            <w:tcW w:w="2480" w:type="dxa"/>
            <w:vAlign w:val="bottom"/>
            <w:shd w:val="clear" w:color="auto" w:fill="E5FFFF"/>
          </w:tcPr>
          <w:p>
            <w:pPr>
              <w:ind w:left="120"/>
              <w:spacing w:after="0"/>
              <w:rPr>
                <w:sz w:val="20"/>
                <w:szCs w:val="20"/>
                <w:color w:val="auto"/>
              </w:rPr>
            </w:pPr>
            <w:r>
              <w:rPr>
                <w:rFonts w:ascii="Arial" w:cs="Arial" w:eastAsia="Arial" w:hAnsi="Arial"/>
                <w:sz w:val="16"/>
                <w:szCs w:val="16"/>
                <w:i w:val="1"/>
                <w:iCs w:val="1"/>
                <w:color w:val="auto"/>
              </w:rPr>
              <w:t>Methane Heather Sally</w:t>
            </w:r>
          </w:p>
        </w:tc>
        <w:tc>
          <w:tcPr>
            <w:tcW w:w="1240" w:type="dxa"/>
            <w:vAlign w:val="bottom"/>
            <w:gridSpan w:val="2"/>
            <w:shd w:val="clear" w:color="auto" w:fill="E5FFFF"/>
          </w:tcPr>
          <w:p>
            <w:pPr>
              <w:ind w:left="520"/>
              <w:spacing w:after="0"/>
              <w:rPr>
                <w:sz w:val="20"/>
                <w:szCs w:val="20"/>
                <w:color w:val="auto"/>
              </w:rPr>
            </w:pPr>
            <w:r>
              <w:rPr>
                <w:rFonts w:ascii="Arial" w:cs="Arial" w:eastAsia="Arial" w:hAnsi="Arial"/>
                <w:sz w:val="16"/>
                <w:szCs w:val="16"/>
                <w:color w:val="auto"/>
              </w:rPr>
              <w:t>2007</w:t>
            </w:r>
          </w:p>
        </w:tc>
        <w:tc>
          <w:tcPr>
            <w:tcW w:w="146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7"/>
              </w:rPr>
              <w:t xml:space="preserve">SEA Charterer </w:t>
            </w:r>
            <w:r>
              <w:rPr>
                <w:rFonts w:ascii="Arial" w:cs="Arial" w:eastAsia="Arial" w:hAnsi="Arial"/>
                <w:sz w:val="26"/>
                <w:szCs w:val="26"/>
                <w:color w:val="auto"/>
                <w:w w:val="87"/>
                <w:vertAlign w:val="superscript"/>
              </w:rPr>
              <w:t>(20)</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6"/>
              </w:rPr>
              <w:t>Steam</w:t>
            </w:r>
          </w:p>
        </w:tc>
        <w:tc>
          <w:tcPr>
            <w:tcW w:w="12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July 2025</w:t>
            </w:r>
          </w:p>
        </w:tc>
        <w:tc>
          <w:tcPr>
            <w:tcW w:w="100" w:type="dxa"/>
            <w:vAlign w:val="bottom"/>
            <w:shd w:val="clear" w:color="auto" w:fill="E5FFFF"/>
          </w:tcPr>
          <w:p>
            <w:pPr>
              <w:spacing w:after="0"/>
              <w:rPr>
                <w:sz w:val="21"/>
                <w:szCs w:val="21"/>
                <w:color w:val="auto"/>
              </w:rPr>
            </w:pP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Indicates the expiration of the initial term.</w:t>
      </w:r>
    </w:p>
    <w:p>
      <w:pPr>
        <w:spacing w:after="0" w:line="257"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The period shown reflects the expiration of the minimum optional period and the maximum optional period.</w:t>
      </w:r>
    </w:p>
    <w:p>
      <w:pPr>
        <w:spacing w:after="0" w:line="244"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 xml:space="preserve">The vessel </w:t>
      </w:r>
      <w:r>
        <w:rPr>
          <w:rFonts w:ascii="Arial" w:cs="Arial" w:eastAsia="Arial" w:hAnsi="Arial"/>
          <w:sz w:val="14"/>
          <w:szCs w:val="14"/>
          <w:i w:val="1"/>
          <w:iCs w:val="1"/>
          <w:color w:val="auto"/>
        </w:rPr>
        <w:t>GasLog Chelsea</w:t>
      </w:r>
      <w:r>
        <w:rPr>
          <w:rFonts w:ascii="Arial" w:cs="Arial" w:eastAsia="Arial" w:hAnsi="Arial"/>
          <w:sz w:val="14"/>
          <w:szCs w:val="14"/>
          <w:color w:val="auto"/>
        </w:rPr>
        <w:t xml:space="preserve"> was renamed to </w:t>
      </w:r>
      <w:r>
        <w:rPr>
          <w:rFonts w:ascii="Arial" w:cs="Arial" w:eastAsia="Arial" w:hAnsi="Arial"/>
          <w:sz w:val="14"/>
          <w:szCs w:val="14"/>
          <w:i w:val="1"/>
          <w:iCs w:val="1"/>
          <w:color w:val="auto"/>
        </w:rPr>
        <w:t>Alexandroupoli</w:t>
      </w:r>
      <w:r>
        <w:rPr>
          <w:rFonts w:ascii="Arial" w:cs="Arial" w:eastAsia="Arial" w:hAnsi="Arial"/>
          <w:sz w:val="14"/>
          <w:szCs w:val="14"/>
          <w:color w:val="auto"/>
        </w:rPr>
        <w:t xml:space="preserve"> in February 2023. The vessel is currently undergoing conversion into an FSRU.</w:t>
      </w:r>
    </w:p>
    <w:p>
      <w:pPr>
        <w:spacing w:after="0" w:line="257"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The charterer has the right to extend the charter by an additional period of one year, provided that the charterer gives us advance notice of the declaration.</w:t>
      </w:r>
    </w:p>
    <w:p>
      <w:pPr>
        <w:spacing w:after="0" w:line="244" w:lineRule="exact"/>
        <w:rPr>
          <w:rFonts w:ascii="Arial" w:cs="Arial" w:eastAsia="Arial" w:hAnsi="Arial"/>
          <w:sz w:val="12"/>
          <w:szCs w:val="12"/>
          <w:color w:val="auto"/>
        </w:rPr>
      </w:pPr>
    </w:p>
    <w:p>
      <w:pPr>
        <w:ind w:left="340" w:right="20" w:hanging="332"/>
        <w:spacing w:after="0" w:line="25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The vessel is chartered to New Fortress Energy Transport Partners LLC (“NFE Transport Partners LLC”). The charterer has the right to extend the charter by an additional period of 90 days, provided that the charterer gives us advance notice of the declaration.</w:t>
      </w:r>
    </w:p>
    <w:p>
      <w:pPr>
        <w:spacing w:after="0" w:line="173" w:lineRule="exact"/>
        <w:rPr>
          <w:rFonts w:ascii="Arial" w:cs="Arial" w:eastAsia="Arial" w:hAnsi="Arial"/>
          <w:sz w:val="12"/>
          <w:szCs w:val="12"/>
          <w:color w:val="auto"/>
        </w:rPr>
      </w:pPr>
    </w:p>
    <w:p>
      <w:pPr>
        <w:ind w:left="340" w:right="20" w:hanging="332"/>
        <w:spacing w:after="0" w:line="23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 xml:space="preserve">Shell has the right to extend the charters of (a) the </w:t>
      </w:r>
      <w:r>
        <w:rPr>
          <w:rFonts w:ascii="Arial" w:cs="Arial" w:eastAsia="Arial" w:hAnsi="Arial"/>
          <w:sz w:val="14"/>
          <w:szCs w:val="14"/>
          <w:i w:val="1"/>
          <w:iCs w:val="1"/>
          <w:color w:val="auto"/>
        </w:rPr>
        <w:t>GasLog Genoa</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Gladstone</w:t>
      </w:r>
      <w:r>
        <w:rPr>
          <w:rFonts w:ascii="Arial" w:cs="Arial" w:eastAsia="Arial" w:hAnsi="Arial"/>
          <w:sz w:val="14"/>
          <w:szCs w:val="14"/>
          <w:color w:val="auto"/>
        </w:rPr>
        <w:t xml:space="preserve"> by two additional periods of three years, (b)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for a period of either three or five years, (c)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Glasgow</w:t>
      </w:r>
      <w:r>
        <w:rPr>
          <w:rFonts w:ascii="Arial" w:cs="Arial" w:eastAsia="Arial" w:hAnsi="Arial"/>
          <w:sz w:val="14"/>
          <w:szCs w:val="14"/>
          <w:color w:val="auto"/>
        </w:rPr>
        <w:t xml:space="preserve"> for a period of five years and (d)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for a period of three years, provided that Shell gives us advance notice of the declarations.</w:t>
      </w:r>
    </w:p>
    <w:p>
      <w:pPr>
        <w:spacing w:after="0" w:line="182"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Centrica has the right to extend the charters by three additional periods of two years, provided that Centrica gives us advance notice of declaration.</w:t>
      </w:r>
    </w:p>
    <w:p>
      <w:pPr>
        <w:spacing w:after="0" w:line="257" w:lineRule="exact"/>
        <w:rPr>
          <w:rFonts w:ascii="Arial" w:cs="Arial" w:eastAsia="Arial" w:hAnsi="Arial"/>
          <w:sz w:val="12"/>
          <w:szCs w:val="12"/>
          <w:color w:val="auto"/>
        </w:rPr>
      </w:pPr>
    </w:p>
    <w:p>
      <w:pPr>
        <w:ind w:left="340" w:right="200" w:hanging="332"/>
        <w:spacing w:after="0" w:line="248" w:lineRule="auto"/>
        <w:tabs>
          <w:tab w:leader="none" w:pos="340" w:val="left"/>
        </w:tabs>
        <w:numPr>
          <w:ilvl w:val="0"/>
          <w:numId w:val="3"/>
        </w:numPr>
        <w:rPr>
          <w:rFonts w:ascii="Arial" w:cs="Arial" w:eastAsia="Arial" w:hAnsi="Arial"/>
          <w:sz w:val="11"/>
          <w:szCs w:val="11"/>
          <w:color w:val="auto"/>
        </w:rPr>
      </w:pPr>
      <w:r>
        <w:rPr>
          <w:rFonts w:ascii="Arial" w:cs="Arial" w:eastAsia="Arial" w:hAnsi="Arial"/>
          <w:sz w:val="13"/>
          <w:szCs w:val="13"/>
          <w:color w:val="auto"/>
        </w:rPr>
        <w:t xml:space="preserve">The vessel is chartered to Cheniere Marketing International LLP, a wholly owned subsidiary of Cheniere Energy, Inc. (“Cheniere”). Cheniere has the right to extend the charters of (a) the </w:t>
      </w:r>
      <w:r>
        <w:rPr>
          <w:rFonts w:ascii="Arial" w:cs="Arial" w:eastAsia="Arial" w:hAnsi="Arial"/>
          <w:sz w:val="13"/>
          <w:szCs w:val="13"/>
          <w:i w:val="1"/>
          <w:iCs w:val="1"/>
          <w:color w:val="auto"/>
        </w:rPr>
        <w:t>GasLog Georgetown</w:t>
      </w:r>
      <w:r>
        <w:rPr>
          <w:rFonts w:ascii="Arial" w:cs="Arial" w:eastAsia="Arial" w:hAnsi="Arial"/>
          <w:sz w:val="13"/>
          <w:szCs w:val="13"/>
          <w:color w:val="auto"/>
        </w:rPr>
        <w:t>, the</w:t>
      </w:r>
      <w:r>
        <w:rPr>
          <w:rFonts w:ascii="Arial" w:cs="Arial" w:eastAsia="Arial" w:hAnsi="Arial"/>
          <w:sz w:val="13"/>
          <w:szCs w:val="13"/>
          <w:i w:val="1"/>
          <w:iCs w:val="1"/>
          <w:color w:val="auto"/>
        </w:rPr>
        <w:t xml:space="preserve"> GasLog Galveston, </w:t>
      </w:r>
      <w:r>
        <w:rPr>
          <w:rFonts w:ascii="Arial" w:cs="Arial" w:eastAsia="Arial" w:hAnsi="Arial"/>
          <w:sz w:val="13"/>
          <w:szCs w:val="13"/>
          <w:color w:val="auto"/>
        </w:rPr>
        <w:t>the</w:t>
      </w:r>
      <w:r>
        <w:rPr>
          <w:rFonts w:ascii="Arial" w:cs="Arial" w:eastAsia="Arial" w:hAnsi="Arial"/>
          <w:sz w:val="13"/>
          <w:szCs w:val="13"/>
          <w:i w:val="1"/>
          <w:iCs w:val="1"/>
          <w:color w:val="auto"/>
        </w:rPr>
        <w:t xml:space="preserve"> GasLog Wellington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GasLog Winchester </w:t>
      </w:r>
      <w:r>
        <w:rPr>
          <w:rFonts w:ascii="Arial" w:cs="Arial" w:eastAsia="Arial" w:hAnsi="Arial"/>
          <w:sz w:val="13"/>
          <w:szCs w:val="13"/>
          <w:color w:val="auto"/>
        </w:rPr>
        <w:t>by three consecutive periods of three years, two years and two years, respectively and</w:t>
      </w:r>
    </w:p>
    <w:p>
      <w:pPr>
        <w:ind w:left="340"/>
        <w:spacing w:after="0"/>
        <w:rPr>
          <w:rFonts w:ascii="Arial" w:cs="Arial" w:eastAsia="Arial" w:hAnsi="Arial"/>
          <w:sz w:val="11"/>
          <w:szCs w:val="11"/>
          <w:color w:val="auto"/>
        </w:rPr>
      </w:pPr>
      <w:r>
        <w:rPr>
          <w:rFonts w:ascii="Arial" w:cs="Arial" w:eastAsia="Arial" w:hAnsi="Arial"/>
          <w:sz w:val="14"/>
          <w:szCs w:val="14"/>
          <w:color w:val="auto"/>
        </w:rPr>
        <w:t xml:space="preserve">(b)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by an additional period of one year, provided that Cheniere gives us advance notice of the declarations.</w:t>
      </w:r>
    </w:p>
    <w:p>
      <w:pPr>
        <w:spacing w:after="0" w:line="191" w:lineRule="exact"/>
        <w:rPr>
          <w:rFonts w:ascii="Arial" w:cs="Arial" w:eastAsia="Arial" w:hAnsi="Arial"/>
          <w:sz w:val="11"/>
          <w:szCs w:val="11"/>
          <w:color w:val="auto"/>
        </w:rPr>
      </w:pPr>
    </w:p>
    <w:p>
      <w:pPr>
        <w:ind w:left="340" w:right="300" w:hanging="332"/>
        <w:spacing w:after="0" w:line="25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 xml:space="preserve">“Endesa” refers to Endesa S.A. Endesa has the right to extend the charter of the </w:t>
      </w:r>
      <w:r>
        <w:rPr>
          <w:rFonts w:ascii="Arial" w:cs="Arial" w:eastAsia="Arial" w:hAnsi="Arial"/>
          <w:sz w:val="14"/>
          <w:szCs w:val="14"/>
          <w:i w:val="1"/>
          <w:iCs w:val="1"/>
          <w:color w:val="auto"/>
        </w:rPr>
        <w:t>GasLog Warsaw</w:t>
      </w:r>
      <w:r>
        <w:rPr>
          <w:rFonts w:ascii="Arial" w:cs="Arial" w:eastAsia="Arial" w:hAnsi="Arial"/>
          <w:sz w:val="14"/>
          <w:szCs w:val="14"/>
          <w:color w:val="auto"/>
        </w:rPr>
        <w:t xml:space="preserve"> by two additional periods of six years, provided that Endesa gives us advance notice of declaration.</w:t>
      </w:r>
    </w:p>
    <w:p>
      <w:pPr>
        <w:spacing w:after="0" w:line="173" w:lineRule="exact"/>
        <w:rPr>
          <w:rFonts w:ascii="Arial" w:cs="Arial" w:eastAsia="Arial" w:hAnsi="Arial"/>
          <w:sz w:val="12"/>
          <w:szCs w:val="12"/>
          <w:color w:val="auto"/>
        </w:rPr>
      </w:pPr>
    </w:p>
    <w:p>
      <w:pPr>
        <w:ind w:left="340" w:right="160" w:hanging="332"/>
        <w:spacing w:after="0" w:line="25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“Jera” refers to LNG Marine Transport Limited, the principal LNG shipping entity of Japan’s Jera Co., Inc. Jera has the right to extend the charter by two additional periods of three years, provided that Jera gives us advance notice of declaration.</w:t>
      </w:r>
    </w:p>
    <w:p>
      <w:pPr>
        <w:spacing w:after="0" w:line="173"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CNTIC VPower may extend the term of the related charter by an additional period of one year, provided that the charterer gives us advance notice of declaration.</w:t>
      </w:r>
    </w:p>
    <w:p>
      <w:pPr>
        <w:spacing w:after="0" w:line="244" w:lineRule="exact"/>
        <w:rPr>
          <w:rFonts w:ascii="Arial" w:cs="Arial" w:eastAsia="Arial" w:hAnsi="Arial"/>
          <w:sz w:val="12"/>
          <w:szCs w:val="12"/>
          <w:color w:val="auto"/>
        </w:rPr>
      </w:pPr>
    </w:p>
    <w:p>
      <w:pPr>
        <w:ind w:left="340" w:right="80" w:hanging="332"/>
        <w:spacing w:after="0" w:line="25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The vessel is chartered to Trafigura Maritime Logistics PTE Ltd. (“Trafigura”). Trafigura may extend the term of this time charter for a five-year period, provided that the charterer gives us advance notice of declaration.</w:t>
      </w:r>
    </w:p>
    <w:p>
      <w:pPr>
        <w:spacing w:after="0" w:line="173"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The vessel is chartered to a Swiss-headquartered energy trading company.</w:t>
      </w:r>
    </w:p>
    <w:p>
      <w:pPr>
        <w:spacing w:after="0" w:line="257"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The vessel is chartered to Tokyo LNG Tanker Co. Ltd. (“Tokyo LNG”).</w:t>
      </w:r>
    </w:p>
    <w:p>
      <w:pPr>
        <w:spacing w:after="0" w:line="244" w:lineRule="exact"/>
        <w:rPr>
          <w:rFonts w:ascii="Arial" w:cs="Arial" w:eastAsia="Arial" w:hAnsi="Arial"/>
          <w:sz w:val="12"/>
          <w:szCs w:val="12"/>
          <w:color w:val="auto"/>
        </w:rPr>
      </w:pPr>
    </w:p>
    <w:p>
      <w:pPr>
        <w:ind w:left="340" w:right="180" w:hanging="332"/>
        <w:spacing w:after="0" w:line="25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 xml:space="preserve">On March 30, 2023 GAS-five Ltd. and GAS-nine Ltd. sold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Saratoga</w:t>
      </w:r>
      <w:r>
        <w:rPr>
          <w:rFonts w:ascii="Arial" w:cs="Arial" w:eastAsia="Arial" w:hAnsi="Arial"/>
          <w:sz w:val="14"/>
          <w:szCs w:val="14"/>
          <w:color w:val="auto"/>
        </w:rPr>
        <w:t xml:space="preserve"> respectively, to a wholly owned subsidiary of China Development Bank Leasing (“CDBL”) and leased them back for a period of five years, with no repurchase option or obligation.</w:t>
      </w:r>
    </w:p>
    <w:p>
      <w:pPr>
        <w:spacing w:after="0" w:line="173"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The vessel is chartered to Mitsui &amp; Co., Ltd. (“Mitsui”).</w:t>
      </w:r>
    </w:p>
    <w:p>
      <w:pPr>
        <w:spacing w:after="0" w:line="257" w:lineRule="exact"/>
        <w:rPr>
          <w:rFonts w:ascii="Arial" w:cs="Arial" w:eastAsia="Arial" w:hAnsi="Arial"/>
          <w:sz w:val="12"/>
          <w:szCs w:val="12"/>
          <w:color w:val="auto"/>
        </w:rPr>
      </w:pPr>
    </w:p>
    <w:p>
      <w:pPr>
        <w:ind w:left="340" w:right="320" w:hanging="332"/>
        <w:spacing w:after="0" w:line="25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The vessel is chartered to TotalEnergies Gas &amp; Power Limited, a wholly owned subsidiary of TotalEnergies SE (“TotalEnergies”). TotalEnergies has the right to extend the charter for a period of three years, provided that TotalEnergies provides us with advance notice of declaration.</w:t>
      </w:r>
    </w:p>
    <w:p>
      <w:pPr>
        <w:spacing w:after="0" w:line="173"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The vessel is chartered to Clearlake Shipping Pte. Ltd., a wholly owned subsidiary of Gunvor Group Ltd. (“Gunvor”).</w:t>
      </w:r>
    </w:p>
    <w:p>
      <w:pPr>
        <w:spacing w:after="0" w:line="244" w:lineRule="exact"/>
        <w:rPr>
          <w:rFonts w:ascii="Arial" w:cs="Arial" w:eastAsia="Arial" w:hAnsi="Arial"/>
          <w:sz w:val="12"/>
          <w:szCs w:val="12"/>
          <w:color w:val="auto"/>
        </w:rPr>
      </w:pPr>
    </w:p>
    <w:p>
      <w:pPr>
        <w:ind w:left="340" w:right="180" w:hanging="332"/>
        <w:spacing w:after="0" w:line="25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The vessel is chartered to Woodside Energy Shipping Singapore Pte. Ltd. (“Woodside”). The charterer has the right to extend the charter by an additional period of one year, provided that the charterer gives us advance notice of declaration.</w:t>
      </w:r>
    </w:p>
    <w:p>
      <w:pPr>
        <w:spacing w:after="0" w:line="173"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The vessel is chartered to a Southeast Asian charterer (“SEA Charterer”).</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Deliveries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August 3, 2023, GasLog has four newbuildings on order at Daewoo Shipbuilding and Marine Engineering Co., Ltd.: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0"/>
              </w:rPr>
              <w:t>Cargo</w:t>
            </w: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Estimated Charter</w:t>
            </w:r>
          </w:p>
        </w:tc>
        <w:tc>
          <w:tcPr>
            <w:tcW w:w="0" w:type="dxa"/>
            <w:vAlign w:val="bottom"/>
          </w:tcPr>
          <w:p>
            <w:pPr>
              <w:spacing w:after="0"/>
              <w:rPr>
                <w:sz w:val="1"/>
                <w:szCs w:val="1"/>
                <w:color w:val="auto"/>
              </w:rPr>
            </w:pPr>
          </w:p>
        </w:tc>
      </w:tr>
      <w:tr>
        <w:trPr>
          <w:trHeight w:val="163"/>
        </w:trPr>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2"/>
              </w:rPr>
              <w:t>Capacity</w:t>
            </w: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Expected Delivery</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(cbm)</w:t>
            </w:r>
          </w:p>
        </w:tc>
        <w:tc>
          <w:tcPr>
            <w:tcW w:w="120" w:type="dxa"/>
            <w:vAlign w:val="bottom"/>
          </w:tcPr>
          <w:p>
            <w:pPr>
              <w:spacing w:after="0"/>
              <w:rPr>
                <w:sz w:val="22"/>
                <w:szCs w:val="22"/>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7"/>
              </w:rPr>
              <w:t>Propulsion</w:t>
            </w:r>
            <w:r>
              <w:rPr>
                <w:rFonts w:ascii="Arial" w:cs="Arial" w:eastAsia="Arial" w:hAnsi="Arial"/>
                <w:sz w:val="26"/>
                <w:szCs w:val="26"/>
                <w:b w:val="1"/>
                <w:bCs w:val="1"/>
                <w:color w:val="auto"/>
                <w:w w:val="87"/>
                <w:vertAlign w:val="superscript"/>
              </w:rPr>
              <w:t>(1)</w:t>
            </w:r>
          </w:p>
        </w:tc>
        <w:tc>
          <w:tcPr>
            <w:tcW w:w="100" w:type="dxa"/>
            <w:vAlign w:val="bottom"/>
          </w:tcPr>
          <w:p>
            <w:pPr>
              <w:spacing w:after="0"/>
              <w:rPr>
                <w:sz w:val="22"/>
                <w:szCs w:val="22"/>
                <w:color w:val="auto"/>
              </w:rPr>
            </w:pPr>
          </w:p>
        </w:tc>
        <w:tc>
          <w:tcPr>
            <w:tcW w:w="180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6"/>
                <w:szCs w:val="26"/>
                <w:b w:val="1"/>
                <w:bCs w:val="1"/>
                <w:color w:val="auto"/>
                <w:w w:val="92"/>
                <w:vertAlign w:val="superscript"/>
              </w:rPr>
              <w:t>(2)</w:t>
            </w:r>
          </w:p>
        </w:tc>
        <w:tc>
          <w:tcPr>
            <w:tcW w:w="0" w:type="dxa"/>
            <w:vAlign w:val="bottom"/>
          </w:tcPr>
          <w:p>
            <w:pPr>
              <w:spacing w:after="0"/>
              <w:rPr>
                <w:sz w:val="1"/>
                <w:szCs w:val="1"/>
                <w:color w:val="auto"/>
              </w:rPr>
            </w:pPr>
          </w:p>
        </w:tc>
      </w:tr>
      <w:tr>
        <w:trPr>
          <w:trHeight w:val="196"/>
        </w:trPr>
        <w:tc>
          <w:tcPr>
            <w:tcW w:w="1800" w:type="dxa"/>
            <w:vAlign w:val="bottom"/>
            <w:shd w:val="clear" w:color="auto" w:fill="E5FFFF"/>
          </w:tcPr>
          <w:p>
            <w:pPr>
              <w:spacing w:after="0"/>
              <w:rPr>
                <w:sz w:val="20"/>
                <w:szCs w:val="20"/>
                <w:color w:val="auto"/>
              </w:rPr>
            </w:pPr>
            <w:r>
              <w:rPr>
                <w:rFonts w:ascii="Arial" w:cs="Arial" w:eastAsia="Arial" w:hAnsi="Arial"/>
                <w:sz w:val="16"/>
                <w:szCs w:val="16"/>
                <w:color w:val="auto"/>
              </w:rPr>
              <w:t>Hull No. 2532</w:t>
            </w:r>
          </w:p>
        </w:tc>
        <w:tc>
          <w:tcPr>
            <w:tcW w:w="120" w:type="dxa"/>
            <w:vAlign w:val="bottom"/>
            <w:shd w:val="clear" w:color="auto" w:fill="E5FFFF"/>
          </w:tcPr>
          <w:p>
            <w:pPr>
              <w:spacing w:after="0"/>
              <w:rPr>
                <w:sz w:val="17"/>
                <w:szCs w:val="17"/>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Q3 2024</w:t>
            </w:r>
          </w:p>
        </w:tc>
        <w:tc>
          <w:tcPr>
            <w:tcW w:w="1220" w:type="dxa"/>
            <w:vAlign w:val="bottom"/>
            <w:gridSpan w:val="2"/>
            <w:shd w:val="clear" w:color="auto" w:fill="E5FFFF"/>
          </w:tcPr>
          <w:p>
            <w:pPr>
              <w:jc w:val="center"/>
              <w:ind w:left="39"/>
              <w:spacing w:after="0"/>
              <w:rPr>
                <w:sz w:val="20"/>
                <w:szCs w:val="20"/>
                <w:color w:val="auto"/>
              </w:rPr>
            </w:pPr>
            <w:r>
              <w:rPr>
                <w:rFonts w:ascii="Arial" w:cs="Arial" w:eastAsia="Arial" w:hAnsi="Arial"/>
                <w:sz w:val="16"/>
                <w:szCs w:val="16"/>
                <w:color w:val="auto"/>
                <w:w w:val="93"/>
              </w:rPr>
              <w:t>174,000</w:t>
            </w:r>
          </w:p>
        </w:tc>
        <w:tc>
          <w:tcPr>
            <w:tcW w:w="120" w:type="dxa"/>
            <w:vAlign w:val="bottom"/>
            <w:shd w:val="clear" w:color="auto" w:fill="E5FFFF"/>
          </w:tcPr>
          <w:p>
            <w:pPr>
              <w:spacing w:after="0"/>
              <w:rPr>
                <w:sz w:val="17"/>
                <w:szCs w:val="17"/>
                <w:color w:val="auto"/>
              </w:rPr>
            </w:pPr>
          </w:p>
        </w:tc>
        <w:tc>
          <w:tcPr>
            <w:tcW w:w="28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Multinational Oil and Gas Company</w:t>
            </w:r>
          </w:p>
        </w:tc>
        <w:tc>
          <w:tcPr>
            <w:tcW w:w="12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MEGI</w:t>
            </w:r>
          </w:p>
        </w:tc>
        <w:tc>
          <w:tcPr>
            <w:tcW w:w="190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2031</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20"/>
                <w:szCs w:val="20"/>
                <w:color w:val="auto"/>
              </w:rPr>
            </w:pPr>
            <w:r>
              <w:rPr>
                <w:rFonts w:ascii="Arial" w:cs="Arial" w:eastAsia="Arial" w:hAnsi="Arial"/>
                <w:sz w:val="16"/>
                <w:szCs w:val="16"/>
                <w:color w:val="auto"/>
              </w:rPr>
              <w:t>Hull No. 2533</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1"/>
              </w:rPr>
              <w:t>Q3 2024</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174,000</w:t>
            </w:r>
          </w:p>
        </w:tc>
        <w:tc>
          <w:tcPr>
            <w:tcW w:w="1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6"/>
                <w:szCs w:val="16"/>
                <w:color w:val="auto"/>
              </w:rPr>
              <w:t>Mitsui</w:t>
            </w: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MEGI</w:t>
            </w:r>
          </w:p>
        </w:tc>
        <w:tc>
          <w:tcPr>
            <w:tcW w:w="19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2033</w:t>
            </w:r>
          </w:p>
        </w:tc>
        <w:tc>
          <w:tcPr>
            <w:tcW w:w="0" w:type="dxa"/>
            <w:vAlign w:val="bottom"/>
          </w:tcPr>
          <w:p>
            <w:pPr>
              <w:spacing w:after="0"/>
              <w:rPr>
                <w:sz w:val="1"/>
                <w:szCs w:val="1"/>
                <w:color w:val="auto"/>
              </w:rPr>
            </w:pPr>
          </w:p>
        </w:tc>
      </w:tr>
      <w:tr>
        <w:trPr>
          <w:trHeight w:val="203"/>
        </w:trPr>
        <w:tc>
          <w:tcPr>
            <w:tcW w:w="1800" w:type="dxa"/>
            <w:vAlign w:val="bottom"/>
            <w:shd w:val="clear" w:color="auto" w:fill="E5FFFF"/>
          </w:tcPr>
          <w:p>
            <w:pPr>
              <w:spacing w:after="0"/>
              <w:rPr>
                <w:sz w:val="20"/>
                <w:szCs w:val="20"/>
                <w:color w:val="auto"/>
              </w:rPr>
            </w:pPr>
            <w:r>
              <w:rPr>
                <w:rFonts w:ascii="Arial" w:cs="Arial" w:eastAsia="Arial" w:hAnsi="Arial"/>
                <w:sz w:val="16"/>
                <w:szCs w:val="16"/>
                <w:color w:val="auto"/>
              </w:rPr>
              <w:t>Hull No. 2534</w:t>
            </w:r>
          </w:p>
        </w:tc>
        <w:tc>
          <w:tcPr>
            <w:tcW w:w="120" w:type="dxa"/>
            <w:vAlign w:val="bottom"/>
            <w:shd w:val="clear" w:color="auto" w:fill="E5FFFF"/>
          </w:tcPr>
          <w:p>
            <w:pPr>
              <w:spacing w:after="0"/>
              <w:rPr>
                <w:sz w:val="17"/>
                <w:szCs w:val="17"/>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Q3 2025</w:t>
            </w:r>
          </w:p>
        </w:tc>
        <w:tc>
          <w:tcPr>
            <w:tcW w:w="1220" w:type="dxa"/>
            <w:vAlign w:val="bottom"/>
            <w:gridSpan w:val="2"/>
            <w:shd w:val="clear" w:color="auto" w:fill="E5FFFF"/>
          </w:tcPr>
          <w:p>
            <w:pPr>
              <w:jc w:val="center"/>
              <w:ind w:left="39"/>
              <w:spacing w:after="0"/>
              <w:rPr>
                <w:sz w:val="20"/>
                <w:szCs w:val="20"/>
                <w:color w:val="auto"/>
              </w:rPr>
            </w:pPr>
            <w:r>
              <w:rPr>
                <w:rFonts w:ascii="Arial" w:cs="Arial" w:eastAsia="Arial" w:hAnsi="Arial"/>
                <w:sz w:val="16"/>
                <w:szCs w:val="16"/>
                <w:color w:val="auto"/>
                <w:w w:val="93"/>
              </w:rPr>
              <w:t>174,000</w:t>
            </w:r>
          </w:p>
        </w:tc>
        <w:tc>
          <w:tcPr>
            <w:tcW w:w="120" w:type="dxa"/>
            <w:vAlign w:val="bottom"/>
            <w:shd w:val="clear" w:color="auto" w:fill="E5FFFF"/>
          </w:tcPr>
          <w:p>
            <w:pPr>
              <w:spacing w:after="0"/>
              <w:rPr>
                <w:sz w:val="17"/>
                <w:szCs w:val="17"/>
                <w:color w:val="auto"/>
              </w:rPr>
            </w:pPr>
          </w:p>
        </w:tc>
        <w:tc>
          <w:tcPr>
            <w:tcW w:w="28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Woodside</w:t>
            </w:r>
          </w:p>
        </w:tc>
        <w:tc>
          <w:tcPr>
            <w:tcW w:w="12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MEGI</w:t>
            </w:r>
          </w:p>
        </w:tc>
        <w:tc>
          <w:tcPr>
            <w:tcW w:w="190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2035</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20"/>
                <w:szCs w:val="20"/>
                <w:color w:val="auto"/>
              </w:rPr>
            </w:pPr>
            <w:r>
              <w:rPr>
                <w:rFonts w:ascii="Arial" w:cs="Arial" w:eastAsia="Arial" w:hAnsi="Arial"/>
                <w:sz w:val="16"/>
                <w:szCs w:val="16"/>
                <w:color w:val="auto"/>
              </w:rPr>
              <w:t>Hull No. 2535</w:t>
            </w:r>
          </w:p>
        </w:tc>
        <w:tc>
          <w:tcPr>
            <w:tcW w:w="1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1"/>
              </w:rPr>
              <w:t>Q4 2025</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174,000</w:t>
            </w:r>
          </w:p>
        </w:tc>
        <w:tc>
          <w:tcPr>
            <w:tcW w:w="120" w:type="dxa"/>
            <w:vAlign w:val="bottom"/>
          </w:tcPr>
          <w:p>
            <w:pPr>
              <w:spacing w:after="0"/>
              <w:rPr>
                <w:sz w:val="16"/>
                <w:szCs w:val="16"/>
                <w:color w:val="auto"/>
              </w:rPr>
            </w:pPr>
          </w:p>
        </w:tc>
        <w:tc>
          <w:tcPr>
            <w:tcW w:w="2800" w:type="dxa"/>
            <w:vAlign w:val="bottom"/>
          </w:tcPr>
          <w:p>
            <w:pPr>
              <w:jc w:val="center"/>
              <w:spacing w:after="0"/>
              <w:rPr>
                <w:sz w:val="20"/>
                <w:szCs w:val="20"/>
                <w:color w:val="auto"/>
              </w:rPr>
            </w:pPr>
            <w:r>
              <w:rPr>
                <w:rFonts w:ascii="Arial" w:cs="Arial" w:eastAsia="Arial" w:hAnsi="Arial"/>
                <w:sz w:val="16"/>
                <w:szCs w:val="16"/>
                <w:color w:val="auto"/>
                <w:w w:val="89"/>
              </w:rPr>
              <w:t>Woodside</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MEGI</w:t>
            </w:r>
          </w:p>
        </w:tc>
        <w:tc>
          <w:tcPr>
            <w:tcW w:w="19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2035</w:t>
            </w:r>
          </w:p>
        </w:tc>
        <w:tc>
          <w:tcPr>
            <w:tcW w:w="0" w:type="dxa"/>
            <w:vAlign w:val="bottom"/>
          </w:tcPr>
          <w:p>
            <w:pPr>
              <w:spacing w:after="0"/>
              <w:rPr>
                <w:sz w:val="1"/>
                <w:szCs w:val="1"/>
                <w:color w:val="auto"/>
              </w:rPr>
            </w:pPr>
          </w:p>
        </w:tc>
      </w:tr>
      <w:tr>
        <w:trPr>
          <w:trHeight w:val="224"/>
        </w:trPr>
        <w:tc>
          <w:tcPr>
            <w:tcW w:w="1800" w:type="dxa"/>
            <w:vAlign w:val="bottom"/>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M-type, Electronically controlled Gas Injection (“MEGI”) engine.</w:t>
      </w:r>
    </w:p>
    <w:p>
      <w:pPr>
        <w:spacing w:after="0" w:line="29"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Charter expiration to be determined based upon actual date of delivery.</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w:t>
            </w:r>
          </w:p>
        </w:tc>
        <w:tc>
          <w:tcPr>
            <w:tcW w:w="2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080" w:type="dxa"/>
            <w:vAlign w:val="bottom"/>
          </w:tcPr>
          <w:p>
            <w:pPr>
              <w:spacing w:after="0"/>
              <w:rPr>
                <w:sz w:val="20"/>
                <w:szCs w:val="20"/>
                <w:color w:val="auto"/>
              </w:rPr>
            </w:pPr>
            <w:r>
              <w:rPr>
                <w:rFonts w:ascii="Arial" w:cs="Arial" w:eastAsia="Arial" w:hAnsi="Arial"/>
                <w:sz w:val="16"/>
                <w:szCs w:val="16"/>
                <w:b w:val="1"/>
                <w:bCs w:val="1"/>
                <w:color w:val="auto"/>
                <w:w w:val="98"/>
              </w:rPr>
              <w:t>Unaudited condensed consolidated statements of financial position</w:t>
            </w:r>
          </w:p>
        </w:tc>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b w:val="1"/>
                <w:bCs w:val="1"/>
                <w:color w:val="auto"/>
              </w:rPr>
              <w:t>As of December 31, 2022 and June 30, 2023</w:t>
            </w:r>
          </w:p>
        </w:tc>
        <w:tc>
          <w:tcPr>
            <w:tcW w:w="2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2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50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9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2022</w:t>
            </w:r>
          </w:p>
        </w:tc>
        <w:tc>
          <w:tcPr>
            <w:tcW w:w="180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 2023</w:t>
            </w:r>
          </w:p>
        </w:tc>
        <w:tc>
          <w:tcPr>
            <w:tcW w:w="0" w:type="dxa"/>
            <w:vAlign w:val="bottom"/>
          </w:tcPr>
          <w:p>
            <w:pPr>
              <w:spacing w:after="0"/>
              <w:rPr>
                <w:sz w:val="1"/>
                <w:szCs w:val="1"/>
                <w:color w:val="auto"/>
              </w:rPr>
            </w:pPr>
          </w:p>
        </w:tc>
      </w:tr>
      <w:tr>
        <w:trPr>
          <w:trHeight w:val="213"/>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244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2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Goodwill</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9,511</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9,511</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color w:val="auto"/>
              </w:rPr>
              <w:t>28,823</w:t>
            </w:r>
          </w:p>
        </w:tc>
        <w:tc>
          <w:tcPr>
            <w:tcW w:w="1700" w:type="dxa"/>
            <w:vAlign w:val="bottom"/>
          </w:tcPr>
          <w:p>
            <w:pPr>
              <w:jc w:val="right"/>
              <w:spacing w:after="0"/>
              <w:rPr>
                <w:sz w:val="20"/>
                <w:szCs w:val="20"/>
                <w:color w:val="auto"/>
              </w:rPr>
            </w:pPr>
            <w:r>
              <w:rPr>
                <w:rFonts w:ascii="Arial" w:cs="Arial" w:eastAsia="Arial" w:hAnsi="Arial"/>
                <w:sz w:val="16"/>
                <w:szCs w:val="16"/>
                <w:color w:val="auto"/>
              </w:rPr>
              <w:t>42,564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8,778</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8,173</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color w:val="auto"/>
              </w:rPr>
              <w:t>2,092</w:t>
            </w:r>
          </w:p>
        </w:tc>
        <w:tc>
          <w:tcPr>
            <w:tcW w:w="1700" w:type="dxa"/>
            <w:vAlign w:val="bottom"/>
          </w:tcPr>
          <w:p>
            <w:pPr>
              <w:jc w:val="right"/>
              <w:spacing w:after="0"/>
              <w:rPr>
                <w:sz w:val="20"/>
                <w:szCs w:val="20"/>
                <w:color w:val="auto"/>
              </w:rPr>
            </w:pPr>
            <w:r>
              <w:rPr>
                <w:rFonts w:ascii="Arial" w:cs="Arial" w:eastAsia="Arial" w:hAnsi="Arial"/>
                <w:sz w:val="16"/>
                <w:szCs w:val="16"/>
                <w:color w:val="auto"/>
              </w:rPr>
              <w:t>3,075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13,225</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10,776</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Tangible fixed assets</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color w:val="auto"/>
              </w:rPr>
              <w:t>4,514,663</w:t>
            </w:r>
          </w:p>
        </w:tc>
        <w:tc>
          <w:tcPr>
            <w:tcW w:w="1700" w:type="dxa"/>
            <w:vAlign w:val="bottom"/>
          </w:tcPr>
          <w:p>
            <w:pPr>
              <w:jc w:val="right"/>
              <w:spacing w:after="0"/>
              <w:rPr>
                <w:sz w:val="20"/>
                <w:szCs w:val="20"/>
                <w:color w:val="auto"/>
              </w:rPr>
            </w:pPr>
            <w:r>
              <w:rPr>
                <w:rFonts w:ascii="Arial" w:cs="Arial" w:eastAsia="Arial" w:hAnsi="Arial"/>
                <w:sz w:val="16"/>
                <w:szCs w:val="16"/>
                <w:color w:val="auto"/>
              </w:rPr>
              <w:t>3,974,881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210,099</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444,726</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Right-of-use assets</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color w:val="auto"/>
              </w:rPr>
              <w:t>416,485</w:t>
            </w:r>
          </w:p>
        </w:tc>
        <w:tc>
          <w:tcPr>
            <w:tcW w:w="1700" w:type="dxa"/>
            <w:vAlign w:val="bottom"/>
          </w:tcPr>
          <w:p>
            <w:pPr>
              <w:jc w:val="right"/>
              <w:spacing w:after="0"/>
              <w:rPr>
                <w:sz w:val="20"/>
                <w:szCs w:val="20"/>
                <w:color w:val="auto"/>
              </w:rPr>
            </w:pPr>
            <w:r>
              <w:rPr>
                <w:rFonts w:ascii="Arial" w:cs="Arial" w:eastAsia="Arial" w:hAnsi="Arial"/>
                <w:sz w:val="16"/>
                <w:szCs w:val="16"/>
                <w:color w:val="auto"/>
              </w:rPr>
              <w:t>515,371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244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5,203,676</w:t>
            </w:r>
          </w:p>
        </w:tc>
        <w:tc>
          <w:tcPr>
            <w:tcW w:w="22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5,009,077</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8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Vessel held for sale</w:t>
            </w:r>
          </w:p>
        </w:tc>
        <w:tc>
          <w:tcPr>
            <w:tcW w:w="2440" w:type="dxa"/>
            <w:vAlign w:val="bottom"/>
            <w:shd w:val="clear" w:color="auto" w:fill="E5FFFF"/>
          </w:tcPr>
          <w:p>
            <w:pPr>
              <w:spacing w:after="0"/>
              <w:rPr>
                <w:sz w:val="17"/>
                <w:szCs w:val="17"/>
                <w:color w:val="auto"/>
              </w:rPr>
            </w:pPr>
          </w:p>
        </w:tc>
        <w:tc>
          <w:tcPr>
            <w:tcW w:w="19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54,450</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color w:val="auto"/>
              </w:rPr>
              <w:t>22,897</w:t>
            </w:r>
          </w:p>
        </w:tc>
        <w:tc>
          <w:tcPr>
            <w:tcW w:w="1700" w:type="dxa"/>
            <w:vAlign w:val="bottom"/>
          </w:tcPr>
          <w:p>
            <w:pPr>
              <w:jc w:val="right"/>
              <w:spacing w:after="0"/>
              <w:rPr>
                <w:sz w:val="20"/>
                <w:szCs w:val="20"/>
                <w:color w:val="auto"/>
              </w:rPr>
            </w:pPr>
            <w:r>
              <w:rPr>
                <w:rFonts w:ascii="Arial" w:cs="Arial" w:eastAsia="Arial" w:hAnsi="Arial"/>
                <w:sz w:val="16"/>
                <w:szCs w:val="16"/>
                <w:color w:val="auto"/>
              </w:rPr>
              <w:t>27,588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61</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Derivative financial instruments, current portion</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color w:val="auto"/>
              </w:rPr>
              <w:t>25,383</w:t>
            </w:r>
          </w:p>
        </w:tc>
        <w:tc>
          <w:tcPr>
            <w:tcW w:w="1700" w:type="dxa"/>
            <w:vAlign w:val="bottom"/>
          </w:tcPr>
          <w:p>
            <w:pPr>
              <w:jc w:val="right"/>
              <w:spacing w:after="0"/>
              <w:rPr>
                <w:sz w:val="20"/>
                <w:szCs w:val="20"/>
                <w:color w:val="auto"/>
              </w:rPr>
            </w:pPr>
            <w:r>
              <w:rPr>
                <w:rFonts w:ascii="Arial" w:cs="Arial" w:eastAsia="Arial" w:hAnsi="Arial"/>
                <w:sz w:val="16"/>
                <w:szCs w:val="16"/>
                <w:color w:val="auto"/>
              </w:rPr>
              <w:t>23,348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Inventories</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8,483</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10,645</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color w:val="auto"/>
              </w:rPr>
              <w:t>7,262</w:t>
            </w:r>
          </w:p>
        </w:tc>
        <w:tc>
          <w:tcPr>
            <w:tcW w:w="1700" w:type="dxa"/>
            <w:vAlign w:val="bottom"/>
          </w:tcPr>
          <w:p>
            <w:pPr>
              <w:jc w:val="right"/>
              <w:spacing w:after="0"/>
              <w:rPr>
                <w:sz w:val="20"/>
                <w:szCs w:val="20"/>
                <w:color w:val="auto"/>
              </w:rPr>
            </w:pPr>
            <w:r>
              <w:rPr>
                <w:rFonts w:ascii="Arial" w:cs="Arial" w:eastAsia="Arial" w:hAnsi="Arial"/>
                <w:sz w:val="16"/>
                <w:szCs w:val="16"/>
                <w:color w:val="auto"/>
              </w:rPr>
              <w:t>11,546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Short-term cash deposits</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36,000</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41,000</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color w:val="auto"/>
              </w:rPr>
              <w:t>368,286</w:t>
            </w:r>
          </w:p>
        </w:tc>
        <w:tc>
          <w:tcPr>
            <w:tcW w:w="1700" w:type="dxa"/>
            <w:vAlign w:val="bottom"/>
          </w:tcPr>
          <w:p>
            <w:pPr>
              <w:jc w:val="right"/>
              <w:spacing w:after="0"/>
              <w:rPr>
                <w:sz w:val="20"/>
                <w:szCs w:val="20"/>
                <w:color w:val="auto"/>
              </w:rPr>
            </w:pPr>
            <w:r>
              <w:rPr>
                <w:rFonts w:ascii="Arial" w:cs="Arial" w:eastAsia="Arial" w:hAnsi="Arial"/>
                <w:sz w:val="16"/>
                <w:szCs w:val="16"/>
                <w:color w:val="auto"/>
              </w:rPr>
              <w:t>488,124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assets</w:t>
            </w:r>
          </w:p>
        </w:tc>
        <w:tc>
          <w:tcPr>
            <w:tcW w:w="2440" w:type="dxa"/>
            <w:vAlign w:val="bottom"/>
            <w:tcBorders>
              <w:top w:val="single" w:sz="8" w:color="E5FFFF"/>
              <w:bottom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468,372</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657,587</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8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5,672,048</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5,666,664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E5FFFF"/>
            </w:tcBorders>
          </w:tcPr>
          <w:p>
            <w:pPr>
              <w:spacing w:after="0" w:line="20" w:lineRule="exact"/>
              <w:rPr>
                <w:sz w:val="1"/>
                <w:szCs w:val="1"/>
                <w:color w:val="auto"/>
              </w:rPr>
            </w:pPr>
          </w:p>
        </w:tc>
        <w:tc>
          <w:tcPr>
            <w:tcW w:w="2440" w:type="dxa"/>
            <w:vAlign w:val="bottom"/>
            <w:tcBorders>
              <w:bottom w:val="single" w:sz="8" w:color="E5FF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0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Equity and liabilities</w:t>
            </w:r>
          </w:p>
        </w:tc>
        <w:tc>
          <w:tcPr>
            <w:tcW w:w="244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2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Preference shares</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46</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Share capital</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color w:val="auto"/>
              </w:rPr>
              <w:t>954</w:t>
            </w:r>
          </w:p>
        </w:tc>
        <w:tc>
          <w:tcPr>
            <w:tcW w:w="1700" w:type="dxa"/>
            <w:vAlign w:val="bottom"/>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Contributed surplus</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658,888</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658,888</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Reserves</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color w:val="auto"/>
              </w:rPr>
              <w:t>16,464</w:t>
            </w:r>
          </w:p>
        </w:tc>
        <w:tc>
          <w:tcPr>
            <w:tcW w:w="1700" w:type="dxa"/>
            <w:vAlign w:val="bottom"/>
          </w:tcPr>
          <w:p>
            <w:pPr>
              <w:jc w:val="right"/>
              <w:spacing w:after="0"/>
              <w:rPr>
                <w:sz w:val="20"/>
                <w:szCs w:val="20"/>
                <w:color w:val="auto"/>
              </w:rPr>
            </w:pPr>
            <w:r>
              <w:rPr>
                <w:rFonts w:ascii="Arial" w:cs="Arial" w:eastAsia="Arial" w:hAnsi="Arial"/>
                <w:sz w:val="16"/>
                <w:szCs w:val="16"/>
                <w:color w:val="auto"/>
              </w:rPr>
              <w:t>15,838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Retained earnings</w:t>
            </w:r>
          </w:p>
        </w:tc>
        <w:tc>
          <w:tcPr>
            <w:tcW w:w="2440" w:type="dxa"/>
            <w:vAlign w:val="bottom"/>
            <w:tcBorders>
              <w:bottom w:val="single" w:sz="8" w:color="E5FFFF"/>
            </w:tcBorders>
            <w:shd w:val="clear" w:color="auto" w:fill="E5FFFF"/>
          </w:tcPr>
          <w:p>
            <w:pPr>
              <w:spacing w:after="0"/>
              <w:rPr>
                <w:sz w:val="18"/>
                <w:szCs w:val="18"/>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108,685</w:t>
            </w:r>
          </w:p>
        </w:tc>
        <w:tc>
          <w:tcPr>
            <w:tcW w:w="220" w:type="dxa"/>
            <w:vAlign w:val="bottom"/>
            <w:tcBorders>
              <w:bottom w:val="single" w:sz="8" w:color="E5FFFF"/>
            </w:tcBorders>
            <w:shd w:val="clear" w:color="auto" w:fill="E5FFFF"/>
          </w:tcPr>
          <w:p>
            <w:pPr>
              <w:spacing w:after="0"/>
              <w:rPr>
                <w:sz w:val="18"/>
                <w:szCs w:val="18"/>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139,865</w:t>
            </w:r>
          </w:p>
        </w:tc>
        <w:tc>
          <w:tcPr>
            <w:tcW w:w="10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8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785,037</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815,591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2440" w:type="dxa"/>
            <w:vAlign w:val="bottom"/>
            <w:tcBorders>
              <w:bottom w:val="single" w:sz="8" w:color="E5FFFF"/>
            </w:tcBorders>
            <w:shd w:val="clear" w:color="auto" w:fill="E5FFFF"/>
          </w:tcPr>
          <w:p>
            <w:pPr>
              <w:spacing w:after="0"/>
              <w:rPr>
                <w:sz w:val="18"/>
                <w:szCs w:val="18"/>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936,741</w:t>
            </w:r>
          </w:p>
        </w:tc>
        <w:tc>
          <w:tcPr>
            <w:tcW w:w="220" w:type="dxa"/>
            <w:vAlign w:val="bottom"/>
            <w:tcBorders>
              <w:bottom w:val="single" w:sz="8" w:color="E5FFFF"/>
            </w:tcBorders>
            <w:shd w:val="clear" w:color="auto" w:fill="E5FFFF"/>
          </w:tcPr>
          <w:p>
            <w:pPr>
              <w:spacing w:after="0"/>
              <w:rPr>
                <w:sz w:val="18"/>
                <w:szCs w:val="18"/>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976,672</w:t>
            </w:r>
          </w:p>
        </w:tc>
        <w:tc>
          <w:tcPr>
            <w:tcW w:w="10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8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1,721,778</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1,792,263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Current liabilities</w:t>
            </w:r>
          </w:p>
        </w:tc>
        <w:tc>
          <w:tcPr>
            <w:tcW w:w="2440" w:type="dxa"/>
            <w:vAlign w:val="bottom"/>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Trade accounts payable</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color w:val="auto"/>
              </w:rPr>
              <w:t>19,725</w:t>
            </w:r>
          </w:p>
        </w:tc>
        <w:tc>
          <w:tcPr>
            <w:tcW w:w="1700" w:type="dxa"/>
            <w:vAlign w:val="bottom"/>
          </w:tcPr>
          <w:p>
            <w:pPr>
              <w:jc w:val="right"/>
              <w:spacing w:after="0"/>
              <w:rPr>
                <w:sz w:val="20"/>
                <w:szCs w:val="20"/>
                <w:color w:val="auto"/>
              </w:rPr>
            </w:pPr>
            <w:r>
              <w:rPr>
                <w:rFonts w:ascii="Arial" w:cs="Arial" w:eastAsia="Arial" w:hAnsi="Arial"/>
                <w:sz w:val="16"/>
                <w:szCs w:val="16"/>
                <w:color w:val="auto"/>
              </w:rPr>
              <w:t>28,787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14</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color w:val="auto"/>
              </w:rPr>
              <w:t>26</w:t>
            </w:r>
          </w:p>
        </w:tc>
        <w:tc>
          <w:tcPr>
            <w:tcW w:w="170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current portion</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2,834</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3,058</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color w:val="auto"/>
              </w:rPr>
              <w:t>166,932</w:t>
            </w:r>
          </w:p>
        </w:tc>
        <w:tc>
          <w:tcPr>
            <w:tcW w:w="1700" w:type="dxa"/>
            <w:vAlign w:val="bottom"/>
          </w:tcPr>
          <w:p>
            <w:pPr>
              <w:jc w:val="right"/>
              <w:spacing w:after="0"/>
              <w:rPr>
                <w:sz w:val="20"/>
                <w:szCs w:val="20"/>
                <w:color w:val="auto"/>
              </w:rPr>
            </w:pPr>
            <w:r>
              <w:rPr>
                <w:rFonts w:ascii="Arial" w:cs="Arial" w:eastAsia="Arial" w:hAnsi="Arial"/>
                <w:sz w:val="16"/>
                <w:szCs w:val="16"/>
                <w:color w:val="auto"/>
              </w:rPr>
              <w:t>174,615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Borrowings, current portion</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294,977</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382,359</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Lease liabilities, current portion</w:t>
            </w:r>
          </w:p>
        </w:tc>
        <w:tc>
          <w:tcPr>
            <w:tcW w:w="244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48,548</w:t>
            </w:r>
          </w:p>
        </w:tc>
        <w:tc>
          <w:tcPr>
            <w:tcW w:w="22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533,056</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659,229</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8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244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5,498</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13,669</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color w:val="auto"/>
              </w:rPr>
              <w:t>3,004,767</w:t>
            </w:r>
          </w:p>
        </w:tc>
        <w:tc>
          <w:tcPr>
            <w:tcW w:w="1700" w:type="dxa"/>
            <w:vAlign w:val="bottom"/>
          </w:tcPr>
          <w:p>
            <w:pPr>
              <w:jc w:val="right"/>
              <w:spacing w:after="0"/>
              <w:rPr>
                <w:sz w:val="20"/>
                <w:szCs w:val="20"/>
                <w:color w:val="auto"/>
              </w:rPr>
            </w:pPr>
            <w:r>
              <w:rPr>
                <w:rFonts w:ascii="Arial" w:cs="Arial" w:eastAsia="Arial" w:hAnsi="Arial"/>
                <w:sz w:val="16"/>
                <w:szCs w:val="16"/>
                <w:color w:val="auto"/>
              </w:rPr>
              <w:t>2,625,133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 non-current portion</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287,828</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348,120</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44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119,121</w:t>
            </w:r>
          </w:p>
        </w:tc>
        <w:tc>
          <w:tcPr>
            <w:tcW w:w="22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43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3,417,214</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3,215,172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08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244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5,672,048</w:t>
            </w:r>
          </w:p>
        </w:tc>
        <w:tc>
          <w:tcPr>
            <w:tcW w:w="22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5,666,664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40" w:type="dxa"/>
            <w:vAlign w:val="bottom"/>
            <w:vMerge w:val="restart"/>
          </w:tcPr>
          <w:p>
            <w:pPr>
              <w:jc w:val="right"/>
              <w:ind w:right="1779"/>
              <w:spacing w:after="0"/>
              <w:rPr>
                <w:sz w:val="20"/>
                <w:szCs w:val="20"/>
                <w:color w:val="auto"/>
              </w:rPr>
            </w:pPr>
            <w:r>
              <w:rPr>
                <w:rFonts w:ascii="Arial" w:cs="Arial" w:eastAsia="Arial" w:hAnsi="Arial"/>
                <w:sz w:val="14"/>
                <w:szCs w:val="14"/>
                <w:color w:val="auto"/>
              </w:rPr>
              <w:t>6</w:t>
            </w: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50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vMerge w:val="continue"/>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-6977380</wp:posOffset>
            </wp:positionV>
            <wp:extent cx="68580" cy="65925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59257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six months ended June 30, 2022 and 2023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9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For the three months ended</w:t>
            </w:r>
          </w:p>
        </w:tc>
        <w:tc>
          <w:tcPr>
            <w:tcW w:w="280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For the six months ended</w:t>
            </w:r>
          </w:p>
        </w:tc>
      </w:tr>
      <w:tr>
        <w:trPr>
          <w:trHeight w:val="203"/>
        </w:trPr>
        <w:tc>
          <w:tcPr>
            <w:tcW w:w="5520" w:type="dxa"/>
            <w:vAlign w:val="bottom"/>
          </w:tcPr>
          <w:p>
            <w:pPr>
              <w:spacing w:after="0"/>
              <w:rPr>
                <w:sz w:val="17"/>
                <w:szCs w:val="17"/>
                <w:color w:val="auto"/>
              </w:rPr>
            </w:pPr>
          </w:p>
        </w:tc>
        <w:tc>
          <w:tcPr>
            <w:tcW w:w="146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146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144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13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June 30,</w:t>
            </w:r>
          </w:p>
        </w:tc>
      </w:tr>
      <w:tr>
        <w:trPr>
          <w:trHeight w:val="213"/>
        </w:trPr>
        <w:tc>
          <w:tcPr>
            <w:tcW w:w="5520" w:type="dxa"/>
            <w:vAlign w:val="bottom"/>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r>
      <w:tr>
        <w:trPr>
          <w:trHeight w:val="199"/>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4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216,096</w:t>
            </w:r>
          </w:p>
        </w:tc>
        <w:tc>
          <w:tcPr>
            <w:tcW w:w="14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227,766</w:t>
            </w:r>
          </w:p>
        </w:tc>
        <w:tc>
          <w:tcPr>
            <w:tcW w:w="14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429,819</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459,065</w:t>
            </w:r>
          </w:p>
        </w:tc>
        <w:tc>
          <w:tcPr>
            <w:tcW w:w="100" w:type="dxa"/>
            <w:vAlign w:val="bottom"/>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460" w:type="dxa"/>
            <w:vAlign w:val="bottom"/>
            <w:gridSpan w:val="2"/>
          </w:tcPr>
          <w:p>
            <w:pPr>
              <w:jc w:val="right"/>
              <w:ind w:right="99"/>
              <w:spacing w:after="0"/>
              <w:rPr>
                <w:sz w:val="20"/>
                <w:szCs w:val="20"/>
                <w:color w:val="auto"/>
              </w:rPr>
            </w:pPr>
            <w:r>
              <w:rPr>
                <w:rFonts w:ascii="Arial" w:cs="Arial" w:eastAsia="Arial" w:hAnsi="Arial"/>
                <w:sz w:val="16"/>
                <w:szCs w:val="16"/>
                <w:color w:val="auto"/>
              </w:rPr>
              <w:t>(1,995)</w:t>
            </w:r>
          </w:p>
        </w:tc>
        <w:tc>
          <w:tcPr>
            <w:tcW w:w="1460" w:type="dxa"/>
            <w:vAlign w:val="bottom"/>
            <w:gridSpan w:val="2"/>
          </w:tcPr>
          <w:p>
            <w:pPr>
              <w:jc w:val="right"/>
              <w:ind w:right="99"/>
              <w:spacing w:after="0"/>
              <w:rPr>
                <w:sz w:val="20"/>
                <w:szCs w:val="20"/>
                <w:color w:val="auto"/>
              </w:rPr>
            </w:pPr>
            <w:r>
              <w:rPr>
                <w:rFonts w:ascii="Arial" w:cs="Arial" w:eastAsia="Arial" w:hAnsi="Arial"/>
                <w:sz w:val="16"/>
                <w:szCs w:val="16"/>
                <w:color w:val="auto"/>
              </w:rPr>
              <w:t>(5,003)</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(7,327)</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(9,718)</w:t>
            </w:r>
          </w:p>
        </w:tc>
      </w:tr>
      <w:tr>
        <w:trPr>
          <w:trHeight w:val="203"/>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and supervision costs</w:t>
            </w:r>
          </w:p>
        </w:tc>
        <w:tc>
          <w:tcPr>
            <w:tcW w:w="14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(42,446)</w:t>
            </w:r>
          </w:p>
        </w:tc>
        <w:tc>
          <w:tcPr>
            <w:tcW w:w="14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(38,390)</w:t>
            </w:r>
          </w:p>
        </w:tc>
        <w:tc>
          <w:tcPr>
            <w:tcW w:w="14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(86,083)</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(78,411)</w:t>
            </w: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Depreciation</w:t>
            </w:r>
          </w:p>
        </w:tc>
        <w:tc>
          <w:tcPr>
            <w:tcW w:w="1460" w:type="dxa"/>
            <w:vAlign w:val="bottom"/>
            <w:gridSpan w:val="2"/>
          </w:tcPr>
          <w:p>
            <w:pPr>
              <w:jc w:val="right"/>
              <w:ind w:right="99"/>
              <w:spacing w:after="0"/>
              <w:rPr>
                <w:sz w:val="20"/>
                <w:szCs w:val="20"/>
                <w:color w:val="auto"/>
              </w:rPr>
            </w:pPr>
            <w:r>
              <w:rPr>
                <w:rFonts w:ascii="Arial" w:cs="Arial" w:eastAsia="Arial" w:hAnsi="Arial"/>
                <w:sz w:val="16"/>
                <w:szCs w:val="16"/>
                <w:color w:val="auto"/>
              </w:rPr>
              <w:t>(58,008)</w:t>
            </w:r>
          </w:p>
        </w:tc>
        <w:tc>
          <w:tcPr>
            <w:tcW w:w="1460" w:type="dxa"/>
            <w:vAlign w:val="bottom"/>
            <w:gridSpan w:val="2"/>
          </w:tcPr>
          <w:p>
            <w:pPr>
              <w:jc w:val="right"/>
              <w:ind w:right="99"/>
              <w:spacing w:after="0"/>
              <w:rPr>
                <w:sz w:val="20"/>
                <w:szCs w:val="20"/>
                <w:color w:val="auto"/>
              </w:rPr>
            </w:pPr>
            <w:r>
              <w:rPr>
                <w:rFonts w:ascii="Arial" w:cs="Arial" w:eastAsia="Arial" w:hAnsi="Arial"/>
                <w:sz w:val="16"/>
                <w:szCs w:val="16"/>
                <w:color w:val="auto"/>
              </w:rPr>
              <w:t>(59,900)</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(112,841)</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(116,134)</w:t>
            </w:r>
          </w:p>
        </w:tc>
      </w:tr>
      <w:tr>
        <w:trPr>
          <w:trHeight w:val="203"/>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w:t>
            </w:r>
          </w:p>
        </w:tc>
        <w:tc>
          <w:tcPr>
            <w:tcW w:w="14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(28,027)</w:t>
            </w:r>
          </w:p>
        </w:tc>
        <w:tc>
          <w:tcPr>
            <w:tcW w:w="14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(56,911)</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(11,740)</w:t>
            </w: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(577)</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(1,309)</w:t>
            </w:r>
          </w:p>
        </w:tc>
      </w:tr>
      <w:tr>
        <w:trPr>
          <w:trHeight w:val="216"/>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14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(6,884)</w:t>
            </w:r>
          </w:p>
        </w:tc>
        <w:tc>
          <w:tcPr>
            <w:tcW w:w="14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(8,645)</w:t>
            </w:r>
          </w:p>
        </w:tc>
        <w:tc>
          <w:tcPr>
            <w:tcW w:w="14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(16,902)</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(17,206)</w:t>
            </w:r>
          </w:p>
        </w:tc>
      </w:tr>
      <w:tr>
        <w:trPr>
          <w:trHeight w:val="196"/>
        </w:trPr>
        <w:tc>
          <w:tcPr>
            <w:tcW w:w="5520" w:type="dxa"/>
            <w:vAlign w:val="bottom"/>
          </w:tcPr>
          <w:p>
            <w:pPr>
              <w:spacing w:after="0"/>
              <w:rPr>
                <w:sz w:val="20"/>
                <w:szCs w:val="20"/>
                <w:color w:val="auto"/>
              </w:rPr>
            </w:pPr>
            <w:r>
              <w:rPr>
                <w:rFonts w:ascii="Arial" w:cs="Arial" w:eastAsia="Arial" w:hAnsi="Arial"/>
                <w:sz w:val="16"/>
                <w:szCs w:val="16"/>
                <w:b w:val="1"/>
                <w:bCs w:val="1"/>
                <w:color w:val="auto"/>
              </w:rPr>
              <w:t>Profit from operations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78,736</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115,828</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149,178</w:t>
            </w:r>
          </w:p>
        </w:tc>
        <w:tc>
          <w:tcPr>
            <w:tcW w:w="2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224,547</w:t>
            </w:r>
          </w:p>
        </w:tc>
        <w:tc>
          <w:tcPr>
            <w:tcW w:w="100" w:type="dxa"/>
            <w:vAlign w:val="bottom"/>
          </w:tcPr>
          <w:p>
            <w:pPr>
              <w:spacing w:after="0"/>
              <w:rPr>
                <w:sz w:val="17"/>
                <w:szCs w:val="17"/>
                <w:color w:val="auto"/>
              </w:rPr>
            </w:pPr>
          </w:p>
        </w:tc>
      </w:tr>
      <w:tr>
        <w:trPr>
          <w:trHeight w:val="196"/>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4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(39,466)</w:t>
            </w:r>
          </w:p>
        </w:tc>
        <w:tc>
          <w:tcPr>
            <w:tcW w:w="14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(63,557)</w:t>
            </w:r>
          </w:p>
        </w:tc>
        <w:tc>
          <w:tcPr>
            <w:tcW w:w="14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(76,835)</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(128,054)</w:t>
            </w: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Financial income</w:t>
            </w:r>
          </w:p>
        </w:tc>
        <w:tc>
          <w:tcPr>
            <w:tcW w:w="1460" w:type="dxa"/>
            <w:vAlign w:val="bottom"/>
            <w:gridSpan w:val="2"/>
          </w:tcPr>
          <w:p>
            <w:pPr>
              <w:jc w:val="right"/>
              <w:ind w:right="159"/>
              <w:spacing w:after="0"/>
              <w:rPr>
                <w:sz w:val="20"/>
                <w:szCs w:val="20"/>
                <w:color w:val="auto"/>
              </w:rPr>
            </w:pPr>
            <w:r>
              <w:rPr>
                <w:rFonts w:ascii="Arial" w:cs="Arial" w:eastAsia="Arial" w:hAnsi="Arial"/>
                <w:sz w:val="16"/>
                <w:szCs w:val="16"/>
                <w:color w:val="auto"/>
              </w:rPr>
              <w:t>353</w:t>
            </w:r>
          </w:p>
        </w:tc>
        <w:tc>
          <w:tcPr>
            <w:tcW w:w="1460" w:type="dxa"/>
            <w:vAlign w:val="bottom"/>
            <w:gridSpan w:val="2"/>
          </w:tcPr>
          <w:p>
            <w:pPr>
              <w:jc w:val="right"/>
              <w:ind w:right="159"/>
              <w:spacing w:after="0"/>
              <w:rPr>
                <w:sz w:val="20"/>
                <w:szCs w:val="20"/>
                <w:color w:val="auto"/>
              </w:rPr>
            </w:pPr>
            <w:r>
              <w:rPr>
                <w:rFonts w:ascii="Arial" w:cs="Arial" w:eastAsia="Arial" w:hAnsi="Arial"/>
                <w:sz w:val="16"/>
                <w:szCs w:val="16"/>
                <w:color w:val="auto"/>
              </w:rPr>
              <w:t>5,886</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412</w:t>
            </w:r>
          </w:p>
        </w:tc>
        <w:tc>
          <w:tcPr>
            <w:tcW w:w="1260" w:type="dxa"/>
            <w:vAlign w:val="bottom"/>
          </w:tcPr>
          <w:p>
            <w:pPr>
              <w:jc w:val="right"/>
              <w:spacing w:after="0"/>
              <w:rPr>
                <w:sz w:val="20"/>
                <w:szCs w:val="20"/>
                <w:color w:val="auto"/>
              </w:rPr>
            </w:pPr>
            <w:r>
              <w:rPr>
                <w:rFonts w:ascii="Arial" w:cs="Arial" w:eastAsia="Arial" w:hAnsi="Arial"/>
                <w:sz w:val="16"/>
                <w:szCs w:val="16"/>
                <w:color w:val="auto"/>
              </w:rPr>
              <w:t>9,925</w:t>
            </w:r>
          </w:p>
        </w:tc>
        <w:tc>
          <w:tcPr>
            <w:tcW w:w="100" w:type="dxa"/>
            <w:vAlign w:val="bottom"/>
          </w:tcPr>
          <w:p>
            <w:pPr>
              <w:spacing w:after="0"/>
              <w:rPr>
                <w:sz w:val="17"/>
                <w:szCs w:val="17"/>
                <w:color w:val="auto"/>
              </w:rPr>
            </w:pPr>
          </w:p>
        </w:tc>
      </w:tr>
      <w:tr>
        <w:trPr>
          <w:trHeight w:val="203"/>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Gain on derivatives</w:t>
            </w:r>
          </w:p>
        </w:tc>
        <w:tc>
          <w:tcPr>
            <w:tcW w:w="14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8,330</w:t>
            </w:r>
          </w:p>
        </w:tc>
        <w:tc>
          <w:tcPr>
            <w:tcW w:w="14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14,143</w:t>
            </w:r>
          </w:p>
        </w:tc>
        <w:tc>
          <w:tcPr>
            <w:tcW w:w="14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45,731</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10,473</w:t>
            </w:r>
          </w:p>
        </w:tc>
        <w:tc>
          <w:tcPr>
            <w:tcW w:w="100" w:type="dxa"/>
            <w:vAlign w:val="bottom"/>
            <w:shd w:val="clear" w:color="auto" w:fill="E5FFFF"/>
          </w:tcPr>
          <w:p>
            <w:pPr>
              <w:spacing w:after="0"/>
              <w:rPr>
                <w:sz w:val="17"/>
                <w:szCs w:val="17"/>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Share of profit of associates</w:t>
            </w:r>
          </w:p>
        </w:tc>
        <w:tc>
          <w:tcPr>
            <w:tcW w:w="1460" w:type="dxa"/>
            <w:vAlign w:val="bottom"/>
            <w:gridSpan w:val="2"/>
          </w:tcPr>
          <w:p>
            <w:pPr>
              <w:jc w:val="right"/>
              <w:ind w:right="159"/>
              <w:spacing w:after="0"/>
              <w:rPr>
                <w:sz w:val="20"/>
                <w:szCs w:val="20"/>
                <w:color w:val="auto"/>
              </w:rPr>
            </w:pPr>
            <w:r>
              <w:rPr>
                <w:rFonts w:ascii="Arial" w:cs="Arial" w:eastAsia="Arial" w:hAnsi="Arial"/>
                <w:sz w:val="16"/>
                <w:szCs w:val="16"/>
                <w:color w:val="auto"/>
              </w:rPr>
              <w:t>416</w:t>
            </w:r>
          </w:p>
        </w:tc>
        <w:tc>
          <w:tcPr>
            <w:tcW w:w="1460" w:type="dxa"/>
            <w:vAlign w:val="bottom"/>
            <w:gridSpan w:val="2"/>
          </w:tcPr>
          <w:p>
            <w:pPr>
              <w:jc w:val="right"/>
              <w:ind w:right="159"/>
              <w:spacing w:after="0"/>
              <w:rPr>
                <w:sz w:val="20"/>
                <w:szCs w:val="20"/>
                <w:color w:val="auto"/>
              </w:rPr>
            </w:pPr>
            <w:r>
              <w:rPr>
                <w:rFonts w:ascii="Arial" w:cs="Arial" w:eastAsia="Arial" w:hAnsi="Arial"/>
                <w:sz w:val="16"/>
                <w:szCs w:val="16"/>
                <w:color w:val="auto"/>
              </w:rPr>
              <w:t>1,092</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935</w:t>
            </w:r>
          </w:p>
        </w:tc>
        <w:tc>
          <w:tcPr>
            <w:tcW w:w="1260" w:type="dxa"/>
            <w:vAlign w:val="bottom"/>
          </w:tcPr>
          <w:p>
            <w:pPr>
              <w:jc w:val="right"/>
              <w:spacing w:after="0"/>
              <w:rPr>
                <w:sz w:val="20"/>
                <w:szCs w:val="20"/>
                <w:color w:val="auto"/>
              </w:rPr>
            </w:pPr>
            <w:r>
              <w:rPr>
                <w:rFonts w:ascii="Arial" w:cs="Arial" w:eastAsia="Arial" w:hAnsi="Arial"/>
                <w:sz w:val="16"/>
                <w:szCs w:val="16"/>
                <w:color w:val="auto"/>
              </w:rPr>
              <w:t>1,525</w:t>
            </w:r>
          </w:p>
        </w:tc>
        <w:tc>
          <w:tcPr>
            <w:tcW w:w="100" w:type="dxa"/>
            <w:vAlign w:val="bottom"/>
          </w:tcPr>
          <w:p>
            <w:pPr>
              <w:spacing w:after="0"/>
              <w:rPr>
                <w:sz w:val="18"/>
                <w:szCs w:val="18"/>
                <w:color w:val="auto"/>
              </w:rPr>
            </w:pPr>
          </w:p>
        </w:tc>
      </w:tr>
      <w:tr>
        <w:trPr>
          <w:trHeight w:val="199"/>
        </w:trPr>
        <w:tc>
          <w:tcPr>
            <w:tcW w:w="55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(30,367</w:t>
            </w:r>
          </w:p>
        </w:tc>
        <w:tc>
          <w:tcPr>
            <w:tcW w:w="240" w:type="dxa"/>
            <w:vAlign w:val="bottom"/>
            <w:tcBorders>
              <w:top w:val="single" w:sz="8" w:color="E5FFFF"/>
              <w:bottom w:val="single" w:sz="8" w:color="E5FFFF"/>
            </w:tcBorders>
            <w:shd w:val="clear" w:color="auto" w:fill="E5FFFF"/>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(42,436</w:t>
            </w:r>
          </w:p>
        </w:tc>
        <w:tc>
          <w:tcPr>
            <w:tcW w:w="240" w:type="dxa"/>
            <w:vAlign w:val="bottom"/>
            <w:tcBorders>
              <w:top w:val="single" w:sz="8" w:color="E5FFFF"/>
              <w:bottom w:val="single" w:sz="8" w:color="E5FFFF"/>
            </w:tcBorders>
            <w:shd w:val="clear" w:color="auto" w:fill="E5FFFF"/>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(29,757</w:t>
            </w:r>
          </w:p>
        </w:tc>
        <w:tc>
          <w:tcPr>
            <w:tcW w:w="220" w:type="dxa"/>
            <w:vAlign w:val="bottom"/>
            <w:tcBorders>
              <w:top w:val="single" w:sz="8" w:color="E5FFFF"/>
              <w:bottom w:val="single" w:sz="8" w:color="E5FFFF"/>
            </w:tcBorders>
            <w:shd w:val="clear" w:color="auto" w:fill="E5FF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(106,131</w:t>
            </w:r>
          </w:p>
        </w:tc>
        <w:tc>
          <w:tcPr>
            <w:tcW w:w="100" w:type="dxa"/>
            <w:vAlign w:val="bottom"/>
            <w:tcBorders>
              <w:top w:val="single" w:sz="8" w:color="E5FFFF"/>
              <w:bottom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60"/>
        </w:trPr>
        <w:tc>
          <w:tcPr>
            <w:tcW w:w="552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4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48,369</w:t>
            </w:r>
          </w:p>
        </w:tc>
        <w:tc>
          <w:tcPr>
            <w:tcW w:w="14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73,392</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119,421</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118,416</w:t>
            </w:r>
          </w:p>
        </w:tc>
        <w:tc>
          <w:tcPr>
            <w:tcW w:w="100" w:type="dxa"/>
            <w:vAlign w:val="bottom"/>
          </w:tcPr>
          <w:p>
            <w:pPr>
              <w:spacing w:after="0"/>
              <w:rPr>
                <w:sz w:val="22"/>
                <w:szCs w:val="22"/>
                <w:color w:val="auto"/>
              </w:rPr>
            </w:pPr>
          </w:p>
        </w:tc>
      </w:tr>
      <w:tr>
        <w:trPr>
          <w:trHeight w:val="199"/>
        </w:trPr>
        <w:tc>
          <w:tcPr>
            <w:tcW w:w="5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Attributable to:</w:t>
            </w:r>
          </w:p>
        </w:tc>
        <w:tc>
          <w:tcPr>
            <w:tcW w:w="122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Owners of the Group</w:t>
            </w:r>
          </w:p>
        </w:tc>
        <w:tc>
          <w:tcPr>
            <w:tcW w:w="1460" w:type="dxa"/>
            <w:vAlign w:val="bottom"/>
            <w:gridSpan w:val="2"/>
          </w:tcPr>
          <w:p>
            <w:pPr>
              <w:jc w:val="right"/>
              <w:ind w:right="159"/>
              <w:spacing w:after="0"/>
              <w:rPr>
                <w:sz w:val="20"/>
                <w:szCs w:val="20"/>
                <w:color w:val="auto"/>
              </w:rPr>
            </w:pPr>
            <w:r>
              <w:rPr>
                <w:rFonts w:ascii="Arial" w:cs="Arial" w:eastAsia="Arial" w:hAnsi="Arial"/>
                <w:sz w:val="16"/>
                <w:szCs w:val="16"/>
                <w:color w:val="auto"/>
              </w:rPr>
              <w:t>45,729</w:t>
            </w:r>
          </w:p>
        </w:tc>
        <w:tc>
          <w:tcPr>
            <w:tcW w:w="1460" w:type="dxa"/>
            <w:vAlign w:val="bottom"/>
            <w:gridSpan w:val="2"/>
          </w:tcPr>
          <w:p>
            <w:pPr>
              <w:jc w:val="right"/>
              <w:ind w:right="159"/>
              <w:spacing w:after="0"/>
              <w:rPr>
                <w:sz w:val="20"/>
                <w:szCs w:val="20"/>
                <w:color w:val="auto"/>
              </w:rPr>
            </w:pPr>
            <w:r>
              <w:rPr>
                <w:rFonts w:ascii="Arial" w:cs="Arial" w:eastAsia="Arial" w:hAnsi="Arial"/>
                <w:sz w:val="16"/>
                <w:szCs w:val="16"/>
                <w:color w:val="auto"/>
              </w:rPr>
              <w:t>46,793</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90,524</w:t>
            </w:r>
          </w:p>
        </w:tc>
        <w:tc>
          <w:tcPr>
            <w:tcW w:w="1260" w:type="dxa"/>
            <w:vAlign w:val="bottom"/>
          </w:tcPr>
          <w:p>
            <w:pPr>
              <w:jc w:val="right"/>
              <w:spacing w:after="0"/>
              <w:rPr>
                <w:sz w:val="20"/>
                <w:szCs w:val="20"/>
                <w:color w:val="auto"/>
              </w:rPr>
            </w:pPr>
            <w:r>
              <w:rPr>
                <w:rFonts w:ascii="Arial" w:cs="Arial" w:eastAsia="Arial" w:hAnsi="Arial"/>
                <w:sz w:val="16"/>
                <w:szCs w:val="16"/>
                <w:color w:val="auto"/>
              </w:rPr>
              <w:t>64,828</w:t>
            </w:r>
          </w:p>
        </w:tc>
        <w:tc>
          <w:tcPr>
            <w:tcW w:w="100" w:type="dxa"/>
            <w:vAlign w:val="bottom"/>
          </w:tcPr>
          <w:p>
            <w:pPr>
              <w:spacing w:after="0"/>
              <w:rPr>
                <w:sz w:val="17"/>
                <w:szCs w:val="17"/>
                <w:color w:val="auto"/>
              </w:rPr>
            </w:pPr>
          </w:p>
        </w:tc>
      </w:tr>
      <w:tr>
        <w:trPr>
          <w:trHeight w:val="203"/>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14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2,640</w:t>
            </w:r>
          </w:p>
        </w:tc>
        <w:tc>
          <w:tcPr>
            <w:tcW w:w="14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26,599</w:t>
            </w:r>
          </w:p>
        </w:tc>
        <w:tc>
          <w:tcPr>
            <w:tcW w:w="14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28,897</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53,588</w:t>
            </w:r>
          </w:p>
        </w:tc>
        <w:tc>
          <w:tcPr>
            <w:tcW w:w="100" w:type="dxa"/>
            <w:vAlign w:val="bottom"/>
            <w:shd w:val="clear" w:color="auto" w:fill="E5FFFF"/>
          </w:tcPr>
          <w:p>
            <w:pPr>
              <w:spacing w:after="0"/>
              <w:rPr>
                <w:sz w:val="17"/>
                <w:szCs w:val="17"/>
                <w:color w:val="auto"/>
              </w:rPr>
            </w:pPr>
          </w:p>
        </w:tc>
      </w:tr>
      <w:tr>
        <w:trPr>
          <w:trHeight w:val="20"/>
        </w:trPr>
        <w:tc>
          <w:tcPr>
            <w:tcW w:w="5520" w:type="dxa"/>
            <w:vAlign w:val="bottom"/>
            <w:shd w:val="clear" w:color="auto" w:fill="E5FF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r>
      <w:tr>
        <w:trPr>
          <w:trHeight w:val="233"/>
        </w:trPr>
        <w:tc>
          <w:tcPr>
            <w:tcW w:w="5520" w:type="dxa"/>
            <w:vAlign w:val="bottom"/>
          </w:tcPr>
          <w:p>
            <w:pPr>
              <w:spacing w:after="0"/>
              <w:rPr>
                <w:sz w:val="20"/>
                <w:szCs w:val="20"/>
                <w:color w:val="auto"/>
              </w:rPr>
            </w:pPr>
          </w:p>
        </w:tc>
        <w:tc>
          <w:tcPr>
            <w:tcW w:w="14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48,369</w:t>
            </w:r>
          </w:p>
        </w:tc>
        <w:tc>
          <w:tcPr>
            <w:tcW w:w="14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73,392</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119,421</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118,416</w:t>
            </w:r>
          </w:p>
        </w:tc>
        <w:tc>
          <w:tcPr>
            <w:tcW w:w="100" w:type="dxa"/>
            <w:vAlign w:val="bottom"/>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5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2863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286321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2022 and 2023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280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For the six months ended</w:t>
            </w:r>
          </w:p>
        </w:tc>
      </w:tr>
      <w:tr>
        <w:trPr>
          <w:trHeight w:val="219"/>
        </w:trPr>
        <w:tc>
          <w:tcPr>
            <w:tcW w:w="844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June 30, 2022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June 30, 2023</w:t>
            </w:r>
          </w:p>
        </w:tc>
      </w:tr>
      <w:tr>
        <w:trPr>
          <w:trHeight w:val="213"/>
        </w:trPr>
        <w:tc>
          <w:tcPr>
            <w:tcW w:w="8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4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Profit for the period</w:t>
            </w:r>
          </w:p>
        </w:tc>
        <w:tc>
          <w:tcPr>
            <w:tcW w:w="1240" w:type="dxa"/>
            <w:vAlign w:val="bottom"/>
          </w:tcPr>
          <w:p>
            <w:pPr>
              <w:jc w:val="right"/>
              <w:spacing w:after="0"/>
              <w:rPr>
                <w:sz w:val="20"/>
                <w:szCs w:val="20"/>
                <w:color w:val="auto"/>
              </w:rPr>
            </w:pPr>
            <w:r>
              <w:rPr>
                <w:rFonts w:ascii="Arial" w:cs="Arial" w:eastAsia="Arial" w:hAnsi="Arial"/>
                <w:sz w:val="16"/>
                <w:szCs w:val="16"/>
                <w:color w:val="auto"/>
              </w:rPr>
              <w:t>119,421</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118,416</w:t>
            </w:r>
          </w:p>
        </w:tc>
        <w:tc>
          <w:tcPr>
            <w:tcW w:w="100" w:type="dxa"/>
            <w:vAlign w:val="bottom"/>
          </w:tcPr>
          <w:p>
            <w:pPr>
              <w:spacing w:after="0"/>
              <w:rPr>
                <w:sz w:val="17"/>
                <w:szCs w:val="17"/>
                <w:color w:val="auto"/>
              </w:rPr>
            </w:pPr>
          </w:p>
        </w:tc>
      </w:tr>
      <w:tr>
        <w:trPr>
          <w:trHeight w:val="216"/>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1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Depreciation</w:t>
            </w:r>
          </w:p>
        </w:tc>
        <w:tc>
          <w:tcPr>
            <w:tcW w:w="1240" w:type="dxa"/>
            <w:vAlign w:val="bottom"/>
          </w:tcPr>
          <w:p>
            <w:pPr>
              <w:jc w:val="right"/>
              <w:spacing w:after="0"/>
              <w:rPr>
                <w:sz w:val="20"/>
                <w:szCs w:val="20"/>
                <w:color w:val="auto"/>
              </w:rPr>
            </w:pPr>
            <w:r>
              <w:rPr>
                <w:rFonts w:ascii="Arial" w:cs="Arial" w:eastAsia="Arial" w:hAnsi="Arial"/>
                <w:sz w:val="16"/>
                <w:szCs w:val="16"/>
                <w:color w:val="auto"/>
              </w:rPr>
              <w:t>112,841</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116,134</w:t>
            </w:r>
          </w:p>
        </w:tc>
        <w:tc>
          <w:tcPr>
            <w:tcW w:w="100" w:type="dxa"/>
            <w:vAlign w:val="bottom"/>
          </w:tcPr>
          <w:p>
            <w:pPr>
              <w:spacing w:after="0"/>
              <w:rPr>
                <w:sz w:val="17"/>
                <w:szCs w:val="17"/>
                <w:color w:val="auto"/>
              </w:rPr>
            </w:pP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56,911</w:t>
            </w:r>
          </w:p>
        </w:tc>
        <w:tc>
          <w:tcPr>
            <w:tcW w:w="2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11,740</w:t>
            </w: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240" w:type="dxa"/>
            <w:vAlign w:val="bottom"/>
          </w:tcPr>
          <w:p>
            <w:pPr>
              <w:jc w:val="right"/>
              <w:spacing w:after="0"/>
              <w:rPr>
                <w:sz w:val="20"/>
                <w:szCs w:val="20"/>
                <w:color w:val="auto"/>
              </w:rPr>
            </w:pPr>
            <w:r>
              <w:rPr>
                <w:rFonts w:ascii="Arial" w:cs="Arial" w:eastAsia="Arial" w:hAnsi="Arial"/>
                <w:sz w:val="16"/>
                <w:szCs w:val="16"/>
                <w:color w:val="auto"/>
              </w:rPr>
              <w:t>577</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17"/>
                <w:szCs w:val="17"/>
                <w:color w:val="auto"/>
              </w:rPr>
            </w:pP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(935)</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(1,525)</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Financial income</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(412)</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(9,925)</w:t>
            </w: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76,835</w:t>
            </w:r>
          </w:p>
        </w:tc>
        <w:tc>
          <w:tcPr>
            <w:tcW w:w="2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128,054</w:t>
            </w: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Gain on derivatives (excluding realized loss/gain on forward foreign exchange contracts held for trading)</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(47,558)</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(8,235)</w:t>
            </w:r>
          </w:p>
        </w:tc>
      </w:tr>
      <w:tr>
        <w:trPr>
          <w:trHeight w:val="21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463</w:t>
            </w:r>
          </w:p>
        </w:tc>
        <w:tc>
          <w:tcPr>
            <w:tcW w:w="20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E5FFFF"/>
          </w:tcPr>
          <w:p>
            <w:pPr>
              <w:spacing w:after="0"/>
              <w:rPr>
                <w:sz w:val="18"/>
                <w:szCs w:val="18"/>
                <w:color w:val="auto"/>
              </w:rPr>
            </w:pPr>
          </w:p>
        </w:tc>
      </w:tr>
      <w:tr>
        <w:trPr>
          <w:trHeight w:val="210"/>
        </w:trPr>
        <w:tc>
          <w:tcPr>
            <w:tcW w:w="84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318,143</w:t>
            </w:r>
          </w:p>
        </w:tc>
        <w:tc>
          <w:tcPr>
            <w:tcW w:w="20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356,295</w:t>
            </w:r>
          </w:p>
        </w:tc>
        <w:tc>
          <w:tcPr>
            <w:tcW w:w="100" w:type="dxa"/>
            <w:vAlign w:val="bottom"/>
            <w:tcBorders>
              <w:bottom w:val="single" w:sz="8" w:color="E5FFFF"/>
            </w:tcBorders>
          </w:tcPr>
          <w:p>
            <w:pPr>
              <w:spacing w:after="0"/>
              <w:rPr>
                <w:sz w:val="18"/>
                <w:szCs w:val="18"/>
                <w:color w:val="auto"/>
              </w:rPr>
            </w:pPr>
          </w:p>
        </w:tc>
      </w:tr>
      <w:tr>
        <w:trPr>
          <w:trHeight w:val="199"/>
        </w:trPr>
        <w:tc>
          <w:tcPr>
            <w:tcW w:w="84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(6,583</w:t>
            </w:r>
          </w:p>
        </w:tc>
        <w:tc>
          <w:tcPr>
            <w:tcW w:w="200" w:type="dxa"/>
            <w:vAlign w:val="bottom"/>
            <w:tcBorders>
              <w:bottom w:val="single" w:sz="8" w:color="E5FFFF"/>
            </w:tcBorders>
            <w:shd w:val="clear" w:color="auto" w:fill="E5FFFF"/>
          </w:tcPr>
          <w:p>
            <w:pPr>
              <w:jc w:val="right"/>
              <w:ind w:right="120"/>
              <w:spacing w:after="0"/>
              <w:rPr>
                <w:sz w:val="20"/>
                <w:szCs w:val="20"/>
                <w:color w:val="auto"/>
              </w:rPr>
            </w:pPr>
            <w:r>
              <w:rPr>
                <w:rFonts w:ascii="Arial" w:cs="Arial" w:eastAsia="Arial" w:hAnsi="Arial"/>
                <w:sz w:val="8"/>
                <w:szCs w:val="8"/>
                <w:color w:val="auto"/>
                <w:w w:val="73"/>
              </w:rPr>
              <w:t>)</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(12,570</w:t>
            </w:r>
          </w:p>
        </w:tc>
        <w:tc>
          <w:tcPr>
            <w:tcW w:w="100" w:type="dxa"/>
            <w:vAlign w:val="bottom"/>
            <w:tcBorders>
              <w:bottom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color w:val="auto"/>
                <w:w w:val="73"/>
              </w:rPr>
              <w:t>)</w:t>
            </w:r>
          </w:p>
        </w:tc>
      </w:tr>
      <w:tr>
        <w:trPr>
          <w:trHeight w:val="207"/>
        </w:trPr>
        <w:tc>
          <w:tcPr>
            <w:tcW w:w="84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311,560</w:t>
            </w:r>
          </w:p>
        </w:tc>
        <w:tc>
          <w:tcPr>
            <w:tcW w:w="200" w:type="dxa"/>
            <w:vAlign w:val="bottom"/>
            <w:tcBorders>
              <w:bottom w:val="single" w:sz="8" w:color="E5FF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343,725</w:t>
            </w:r>
          </w:p>
        </w:tc>
        <w:tc>
          <w:tcPr>
            <w:tcW w:w="100" w:type="dxa"/>
            <w:vAlign w:val="bottom"/>
            <w:tcBorders>
              <w:bottom w:val="single" w:sz="8" w:color="E5FFFF"/>
            </w:tcBorders>
          </w:tcPr>
          <w:p>
            <w:pPr>
              <w:spacing w:after="0"/>
              <w:rPr>
                <w:sz w:val="17"/>
                <w:szCs w:val="17"/>
                <w:color w:val="auto"/>
              </w:rPr>
            </w:pPr>
          </w:p>
        </w:tc>
      </w:tr>
      <w:tr>
        <w:trPr>
          <w:trHeight w:val="212"/>
        </w:trPr>
        <w:tc>
          <w:tcPr>
            <w:tcW w:w="84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(117,196)</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(121,688)</w:t>
            </w:r>
          </w:p>
        </w:tc>
      </w:tr>
      <w:tr>
        <w:trPr>
          <w:trHeight w:val="202"/>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Proceeds from sale and leasebacks of tangible fixed assets, net</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123,448</w:t>
            </w:r>
          </w:p>
        </w:tc>
        <w:tc>
          <w:tcPr>
            <w:tcW w:w="2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278,297</w:t>
            </w: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Proceeds from FSRU forthcoming sale</w:t>
            </w:r>
          </w:p>
        </w:tc>
        <w:tc>
          <w:tcPr>
            <w:tcW w:w="1240" w:type="dxa"/>
            <w:vAlign w:val="bottom"/>
          </w:tcPr>
          <w:p>
            <w:pPr>
              <w:jc w:val="right"/>
              <w:spacing w:after="0"/>
              <w:rPr>
                <w:sz w:val="20"/>
                <w:szCs w:val="20"/>
                <w:color w:val="auto"/>
              </w:rPr>
            </w:pPr>
            <w:r>
              <w:rPr>
                <w:rFonts w:ascii="Arial" w:cs="Arial" w:eastAsia="Arial" w:hAnsi="Arial"/>
                <w:sz w:val="16"/>
                <w:szCs w:val="16"/>
                <w:color w:val="auto"/>
              </w:rPr>
              <w:t>79,526</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106,896</w:t>
            </w:r>
          </w:p>
        </w:tc>
        <w:tc>
          <w:tcPr>
            <w:tcW w:w="100" w:type="dxa"/>
            <w:vAlign w:val="bottom"/>
          </w:tcPr>
          <w:p>
            <w:pPr>
              <w:spacing w:after="0"/>
              <w:rPr>
                <w:sz w:val="17"/>
                <w:szCs w:val="17"/>
                <w:color w:val="auto"/>
              </w:rPr>
            </w:pP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Other investments</w:t>
            </w: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(103)</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(13,229)</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Payments for right-of-use assets</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(4,312)</w:t>
            </w: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Dividends received from associate</w:t>
            </w:r>
          </w:p>
        </w:tc>
        <w:tc>
          <w:tcPr>
            <w:tcW w:w="14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Purchase of short-term cash deposits</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(92,000)</w:t>
            </w: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cash deposits</w:t>
            </w:r>
          </w:p>
        </w:tc>
        <w:tc>
          <w:tcPr>
            <w:tcW w:w="14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87,000</w:t>
            </w: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2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9,575</w:t>
            </w:r>
          </w:p>
        </w:tc>
        <w:tc>
          <w:tcPr>
            <w:tcW w:w="100" w:type="dxa"/>
            <w:vAlign w:val="bottom"/>
          </w:tcPr>
          <w:p>
            <w:pPr>
              <w:spacing w:after="0"/>
              <w:rPr>
                <w:sz w:val="17"/>
                <w:szCs w:val="17"/>
                <w:color w:val="auto"/>
              </w:rPr>
            </w:pPr>
          </w:p>
        </w:tc>
      </w:tr>
      <w:tr>
        <w:trPr>
          <w:trHeight w:val="210"/>
        </w:trPr>
        <w:tc>
          <w:tcPr>
            <w:tcW w:w="84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Net cash provided by investing activities</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75,897</w:t>
            </w:r>
          </w:p>
        </w:tc>
        <w:tc>
          <w:tcPr>
            <w:tcW w:w="20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250,964</w:t>
            </w:r>
          </w:p>
        </w:tc>
        <w:tc>
          <w:tcPr>
            <w:tcW w:w="100" w:type="dxa"/>
            <w:vAlign w:val="bottom"/>
            <w:shd w:val="clear" w:color="auto" w:fill="E5FFFF"/>
          </w:tcPr>
          <w:p>
            <w:pPr>
              <w:spacing w:after="0"/>
              <w:rPr>
                <w:sz w:val="18"/>
                <w:szCs w:val="18"/>
                <w:color w:val="auto"/>
              </w:rPr>
            </w:pPr>
          </w:p>
        </w:tc>
      </w:tr>
      <w:tr>
        <w:trPr>
          <w:trHeight w:val="206"/>
        </w:trPr>
        <w:tc>
          <w:tcPr>
            <w:tcW w:w="84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Proceeds from loans and bonds, net of discount</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312,638</w:t>
            </w:r>
          </w:p>
        </w:tc>
        <w:tc>
          <w:tcPr>
            <w:tcW w:w="2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82,444</w:t>
            </w: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Loan and bond repayments</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(543,116)</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(374,023)</w:t>
            </w: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Principal elements of lease payments</w:t>
            </w: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(18,707)</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(27,868)</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Interest paid</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(73,511)</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(114,245)</w:t>
            </w: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Release of cash collaterals for swaps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990</w:t>
            </w:r>
          </w:p>
        </w:tc>
        <w:tc>
          <w:tcPr>
            <w:tcW w:w="20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Payment of loan and bond issuance costs</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(1,580)</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(724)</w:t>
            </w: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Proceeds from interest rate swaps termination</w:t>
            </w:r>
          </w:p>
        </w:tc>
        <w:tc>
          <w:tcPr>
            <w:tcW w:w="14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3,706</w:t>
            </w: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Payment of equity raising costs</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(20)</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3"/>
        </w:trPr>
        <w:tc>
          <w:tcPr>
            <w:tcW w:w="8440" w:type="dxa"/>
            <w:vAlign w:val="bottom"/>
            <w:shd w:val="clear" w:color="auto" w:fill="E5FFFF"/>
          </w:tcPr>
          <w:p>
            <w:pPr>
              <w:spacing w:after="0"/>
              <w:rPr>
                <w:sz w:val="20"/>
                <w:szCs w:val="20"/>
                <w:color w:val="auto"/>
              </w:rPr>
            </w:pPr>
            <w:r>
              <w:rPr>
                <w:rFonts w:ascii="Arial" w:cs="Arial" w:eastAsia="Arial" w:hAnsi="Arial"/>
                <w:sz w:val="16"/>
                <w:szCs w:val="16"/>
                <w:color w:val="auto"/>
              </w:rPr>
              <w:t>Dividends paid (common and preference)</w:t>
            </w: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(55,400)</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(44,789)</w:t>
            </w:r>
          </w:p>
        </w:tc>
      </w:tr>
      <w:tr>
        <w:trPr>
          <w:trHeight w:val="213"/>
        </w:trPr>
        <w:tc>
          <w:tcPr>
            <w:tcW w:w="8440" w:type="dxa"/>
            <w:vAlign w:val="bottom"/>
          </w:tcPr>
          <w:p>
            <w:pPr>
              <w:spacing w:after="0"/>
              <w:rPr>
                <w:sz w:val="20"/>
                <w:szCs w:val="20"/>
                <w:color w:val="auto"/>
              </w:rPr>
            </w:pPr>
            <w:r>
              <w:rPr>
                <w:rFonts w:ascii="Arial" w:cs="Arial" w:eastAsia="Arial" w:hAnsi="Arial"/>
                <w:sz w:val="16"/>
                <w:szCs w:val="16"/>
                <w:color w:val="auto"/>
              </w:rPr>
              <w:t>Repurchase of GasLog Partners’ preference units</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(18,740)</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99"/>
        </w:trPr>
        <w:tc>
          <w:tcPr>
            <w:tcW w:w="8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(397,446</w:t>
            </w:r>
          </w:p>
        </w:tc>
        <w:tc>
          <w:tcPr>
            <w:tcW w:w="200" w:type="dxa"/>
            <w:vAlign w:val="bottom"/>
            <w:tcBorders>
              <w:top w:val="single" w:sz="8" w:color="E5FFFF"/>
            </w:tcBorders>
            <w:shd w:val="clear" w:color="auto" w:fill="E5FFFF"/>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(475,499</w:t>
            </w:r>
          </w:p>
        </w:tc>
        <w:tc>
          <w:tcPr>
            <w:tcW w:w="100" w:type="dxa"/>
            <w:vAlign w:val="bottom"/>
            <w:tcBorders>
              <w:top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196"/>
        </w:trPr>
        <w:tc>
          <w:tcPr>
            <w:tcW w:w="8440" w:type="dxa"/>
            <w:vAlign w:val="bottom"/>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7"/>
                <w:szCs w:val="17"/>
                <w:color w:val="auto"/>
              </w:rPr>
            </w:pPr>
          </w:p>
        </w:tc>
      </w:tr>
      <w:tr>
        <w:trPr>
          <w:trHeight w:val="210"/>
        </w:trPr>
        <w:tc>
          <w:tcPr>
            <w:tcW w:w="84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(Decrease)/increase in cash and cash equivalents</w:t>
            </w: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(10,469)</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119,838</w:t>
            </w:r>
          </w:p>
        </w:tc>
        <w:tc>
          <w:tcPr>
            <w:tcW w:w="100" w:type="dxa"/>
            <w:vAlign w:val="bottom"/>
            <w:shd w:val="clear" w:color="auto" w:fill="E5FFFF"/>
          </w:tcPr>
          <w:p>
            <w:pPr>
              <w:spacing w:after="0"/>
              <w:rPr>
                <w:sz w:val="18"/>
                <w:szCs w:val="18"/>
                <w:color w:val="auto"/>
              </w:rPr>
            </w:pPr>
          </w:p>
        </w:tc>
      </w:tr>
      <w:tr>
        <w:trPr>
          <w:trHeight w:val="196"/>
        </w:trPr>
        <w:tc>
          <w:tcPr>
            <w:tcW w:w="84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282,246</w:t>
            </w:r>
          </w:p>
        </w:tc>
        <w:tc>
          <w:tcPr>
            <w:tcW w:w="20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368,286</w:t>
            </w:r>
          </w:p>
        </w:tc>
        <w:tc>
          <w:tcPr>
            <w:tcW w:w="100" w:type="dxa"/>
            <w:vAlign w:val="bottom"/>
            <w:tcBorders>
              <w:bottom w:val="single" w:sz="8" w:color="E5FFFF"/>
            </w:tcBorders>
          </w:tcPr>
          <w:p>
            <w:pPr>
              <w:spacing w:after="0"/>
              <w:rPr>
                <w:sz w:val="17"/>
                <w:szCs w:val="17"/>
                <w:color w:val="auto"/>
              </w:rPr>
            </w:pPr>
          </w:p>
        </w:tc>
      </w:tr>
      <w:tr>
        <w:trPr>
          <w:trHeight w:val="247"/>
        </w:trPr>
        <w:tc>
          <w:tcPr>
            <w:tcW w:w="84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271,777</w:t>
            </w:r>
          </w:p>
        </w:tc>
        <w:tc>
          <w:tcPr>
            <w:tcW w:w="200" w:type="dxa"/>
            <w:vAlign w:val="bottom"/>
            <w:tcBorders>
              <w:bottom w:val="single" w:sz="8" w:color="E5FFFF"/>
            </w:tcBorders>
            <w:shd w:val="clear" w:color="auto" w:fill="E5FFFF"/>
          </w:tcPr>
          <w:p>
            <w:pPr>
              <w:spacing w:after="0"/>
              <w:rPr>
                <w:sz w:val="21"/>
                <w:szCs w:val="21"/>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488,124</w:t>
            </w:r>
          </w:p>
        </w:tc>
        <w:tc>
          <w:tcPr>
            <w:tcW w:w="100" w:type="dxa"/>
            <w:vAlign w:val="bottom"/>
            <w:tcBorders>
              <w:bottom w:val="single" w:sz="8" w:color="E5FFFF"/>
            </w:tcBorders>
            <w:shd w:val="clear" w:color="auto" w:fill="E5FFFF"/>
          </w:tcPr>
          <w:p>
            <w:pPr>
              <w:spacing w:after="0"/>
              <w:rPr>
                <w:sz w:val="21"/>
                <w:szCs w:val="21"/>
                <w:color w:val="auto"/>
              </w:rPr>
            </w:pPr>
          </w:p>
        </w:tc>
      </w:tr>
      <w:tr>
        <w:trPr>
          <w:trHeight w:val="564"/>
        </w:trPr>
        <w:tc>
          <w:tcPr>
            <w:tcW w:w="8440" w:type="dxa"/>
            <w:vAlign w:val="bottom"/>
            <w:tcBorders>
              <w:bottom w:val="single" w:sz="8" w:color="auto"/>
            </w:tcBorders>
          </w:tcPr>
          <w:p>
            <w:pPr>
              <w:ind w:left="5580"/>
              <w:spacing w:after="0"/>
              <w:rPr>
                <w:sz w:val="20"/>
                <w:szCs w:val="20"/>
                <w:color w:val="auto"/>
              </w:rPr>
            </w:pPr>
            <w:r>
              <w:rPr>
                <w:rFonts w:ascii="Arial" w:cs="Arial" w:eastAsia="Arial" w:hAnsi="Arial"/>
                <w:sz w:val="14"/>
                <w:szCs w:val="14"/>
                <w:color w:val="auto"/>
              </w:rPr>
              <w:t>8</w:t>
            </w: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-6145530</wp:posOffset>
            </wp:positionV>
            <wp:extent cx="68580" cy="5760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6072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EBITDA, Adjusted EBITDA and Adjusted Profit</w:t>
      </w:r>
    </w:p>
    <w:p>
      <w:pPr>
        <w:spacing w:after="0" w:line="239"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EBITDA is defined as earnings before depreciation, amortization, financial income and costs, gain/loss on derivatives and taxes. Adjusted EBITDA is defined as EBITDA before foreign exchange gains/losses, impairment loss, gain/loss on disposal of non-current assets, restructuring costs and the costs relating to the 2021 take-private transaction with BlackRock’s Global Energy &amp; Power Infrastructure team and the Transaction (collectively such costs, the “Transaction Costs”). Adjusted Profit represents earnings before write-off and accelerated amortization of unamortized loan fees/bond fees and premium/discount,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that includes (if any) (a) unrealized gain/loss on derivative financial instruments held for trading,</w:t>
      </w:r>
    </w:p>
    <w:p>
      <w:pPr>
        <w:spacing w:after="0" w:line="3" w:lineRule="exact"/>
        <w:rPr>
          <w:sz w:val="20"/>
          <w:szCs w:val="20"/>
          <w:color w:val="auto"/>
        </w:rPr>
      </w:pPr>
    </w:p>
    <w:p>
      <w:pPr>
        <w:ind w:right="20" w:firstLine="8"/>
        <w:spacing w:after="0" w:line="285" w:lineRule="auto"/>
        <w:tabs>
          <w:tab w:leader="none" w:pos="229" w:val="left"/>
        </w:tabs>
        <w:numPr>
          <w:ilvl w:val="0"/>
          <w:numId w:val="5"/>
        </w:numPr>
        <w:rPr>
          <w:rFonts w:ascii="Arial" w:cs="Arial" w:eastAsia="Arial" w:hAnsi="Arial"/>
          <w:sz w:val="15"/>
          <w:szCs w:val="15"/>
          <w:color w:val="auto"/>
        </w:rPr>
      </w:pPr>
      <w:r>
        <w:rPr>
          <w:rFonts w:ascii="Arial" w:cs="Arial" w:eastAsia="Arial" w:hAnsi="Arial"/>
          <w:sz w:val="15"/>
          <w:szCs w:val="15"/>
          <w:color w:val="auto"/>
        </w:rPr>
        <w:t>recycled loss of cash flow hedges reclassified to profit or loss and (c) ineffective portion of cash flow hedges. EBITDA, Adjusted EBITDA and Adjusted Profit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impairment loss, gain/loss on disposal of non-current assets, restructuring costs and Transaction Costs; and in the case of Adjusted Profit, write-off and accelerated amortization of unamortized loan/bond fees and premium/discount,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which items are affected by various and possibly changing financing methods, financial market conditions, capital structure and historical cost basis, and which items may significantly affect results of operations between periods.</w:t>
      </w:r>
    </w:p>
    <w:p>
      <w:pPr>
        <w:spacing w:after="0" w:line="184"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EBITDA, Adjusted EBITDA and Adjusted Profit have limitations as analytical tools and should not be considered as alternatives to, or as substitutes for, or superior to, profit, profit from operations,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and Adjusted Profit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80"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evaluating Adjusted EBITDA and Adjusted Profit, you should be aware that in the future we may incur expenses that are the same as, or similar to, some of the adjustments in this presentation. Our presentation of Adjusted EBITDA and Adjusted Profit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Profit to EBITDA and Adjusted EBITDA: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292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For the three months ended</w:t>
            </w:r>
          </w:p>
        </w:tc>
        <w:tc>
          <w:tcPr>
            <w:tcW w:w="280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rPr>
              <w:t>For the six months ended</w:t>
            </w:r>
          </w:p>
        </w:tc>
      </w:tr>
      <w:tr>
        <w:trPr>
          <w:trHeight w:val="219"/>
        </w:trPr>
        <w:tc>
          <w:tcPr>
            <w:tcW w:w="552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June 30, 2022</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June 30, 2023</w:t>
            </w:r>
          </w:p>
        </w:tc>
        <w:tc>
          <w:tcPr>
            <w:tcW w:w="14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June 30, 2022</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June 30, 2023</w:t>
            </w:r>
          </w:p>
        </w:tc>
      </w:tr>
      <w:tr>
        <w:trPr>
          <w:trHeight w:val="199"/>
        </w:trPr>
        <w:tc>
          <w:tcPr>
            <w:tcW w:w="5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48,369</w:t>
            </w:r>
          </w:p>
        </w:tc>
        <w:tc>
          <w:tcPr>
            <w:tcW w:w="2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73,392</w:t>
            </w:r>
          </w:p>
        </w:tc>
        <w:tc>
          <w:tcPr>
            <w:tcW w:w="2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119,421</w:t>
            </w:r>
          </w:p>
        </w:tc>
        <w:tc>
          <w:tcPr>
            <w:tcW w:w="2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118,416</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Depreciation</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58,008</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59,900</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112,841</w:t>
            </w:r>
          </w:p>
        </w:tc>
        <w:tc>
          <w:tcPr>
            <w:tcW w:w="1260" w:type="dxa"/>
            <w:vAlign w:val="bottom"/>
          </w:tcPr>
          <w:p>
            <w:pPr>
              <w:jc w:val="right"/>
              <w:spacing w:after="0"/>
              <w:rPr>
                <w:sz w:val="20"/>
                <w:szCs w:val="20"/>
                <w:color w:val="auto"/>
              </w:rPr>
            </w:pPr>
            <w:r>
              <w:rPr>
                <w:rFonts w:ascii="Arial" w:cs="Arial" w:eastAsia="Arial" w:hAnsi="Arial"/>
                <w:sz w:val="16"/>
                <w:szCs w:val="16"/>
                <w:color w:val="auto"/>
              </w:rPr>
              <w:t>116,134</w:t>
            </w:r>
          </w:p>
        </w:tc>
        <w:tc>
          <w:tcPr>
            <w:tcW w:w="100" w:type="dxa"/>
            <w:vAlign w:val="bottom"/>
          </w:tcPr>
          <w:p>
            <w:pPr>
              <w:spacing w:after="0"/>
              <w:rPr>
                <w:sz w:val="17"/>
                <w:szCs w:val="17"/>
                <w:color w:val="auto"/>
              </w:rPr>
            </w:pPr>
          </w:p>
        </w:tc>
      </w:tr>
      <w:tr>
        <w:trPr>
          <w:trHeight w:val="203"/>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39,466</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63,557</w:t>
            </w:r>
          </w:p>
        </w:tc>
        <w:tc>
          <w:tcPr>
            <w:tcW w:w="14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76,835</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128,054</w:t>
            </w:r>
          </w:p>
        </w:tc>
        <w:tc>
          <w:tcPr>
            <w:tcW w:w="100" w:type="dxa"/>
            <w:vAlign w:val="bottom"/>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Financial income</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(353)</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(5,886)</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(412)</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(9,925)</w:t>
            </w:r>
          </w:p>
        </w:tc>
      </w:tr>
      <w:tr>
        <w:trPr>
          <w:trHeight w:val="216"/>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Gain on derivatives</w:t>
            </w:r>
          </w:p>
        </w:tc>
        <w:tc>
          <w:tcPr>
            <w:tcW w:w="14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(8,330)</w:t>
            </w:r>
          </w:p>
        </w:tc>
        <w:tc>
          <w:tcPr>
            <w:tcW w:w="14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(14,143)</w:t>
            </w: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(45,731)</w:t>
            </w:r>
          </w:p>
        </w:tc>
        <w:tc>
          <w:tcPr>
            <w:tcW w:w="13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(10,473)</w:t>
            </w:r>
          </w:p>
        </w:tc>
      </w:tr>
      <w:tr>
        <w:trPr>
          <w:trHeight w:val="196"/>
        </w:trPr>
        <w:tc>
          <w:tcPr>
            <w:tcW w:w="55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137,160</w:t>
            </w:r>
          </w:p>
        </w:tc>
        <w:tc>
          <w:tcPr>
            <w:tcW w:w="24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176,820</w:t>
            </w:r>
          </w:p>
        </w:tc>
        <w:tc>
          <w:tcPr>
            <w:tcW w:w="24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262,954</w:t>
            </w:r>
          </w:p>
        </w:tc>
        <w:tc>
          <w:tcPr>
            <w:tcW w:w="22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342,206</w:t>
            </w:r>
          </w:p>
        </w:tc>
        <w:tc>
          <w:tcPr>
            <w:tcW w:w="100" w:type="dxa"/>
            <w:vAlign w:val="bottom"/>
            <w:tcBorders>
              <w:bottom w:val="single" w:sz="8" w:color="E5FFFF"/>
            </w:tcBorders>
          </w:tcPr>
          <w:p>
            <w:pPr>
              <w:spacing w:after="0"/>
              <w:rPr>
                <w:sz w:val="17"/>
                <w:szCs w:val="17"/>
                <w:color w:val="auto"/>
              </w:rPr>
            </w:pPr>
          </w:p>
        </w:tc>
      </w:tr>
      <w:tr>
        <w:trPr>
          <w:trHeight w:val="196"/>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(gains)/losses, net</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(207)</w:t>
            </w: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195</w:t>
            </w: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72</w:t>
            </w:r>
          </w:p>
        </w:tc>
        <w:tc>
          <w:tcPr>
            <w:tcW w:w="22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888</w:t>
            </w:r>
          </w:p>
        </w:tc>
        <w:tc>
          <w:tcPr>
            <w:tcW w:w="100" w:type="dxa"/>
            <w:vAlign w:val="bottom"/>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Restructuring costs</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211</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1,689</w:t>
            </w:r>
          </w:p>
        </w:tc>
        <w:tc>
          <w:tcPr>
            <w:tcW w:w="12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r>
      <w:tr>
        <w:trPr>
          <w:trHeight w:val="203"/>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Transaction Costs</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319</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1,508</w:t>
            </w:r>
          </w:p>
        </w:tc>
        <w:tc>
          <w:tcPr>
            <w:tcW w:w="14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840</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2,332</w:t>
            </w:r>
          </w:p>
        </w:tc>
        <w:tc>
          <w:tcPr>
            <w:tcW w:w="100" w:type="dxa"/>
            <w:vAlign w:val="bottom"/>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Impairment loss</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28,027</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56,911</w:t>
            </w:r>
          </w:p>
        </w:tc>
        <w:tc>
          <w:tcPr>
            <w:tcW w:w="1260" w:type="dxa"/>
            <w:vAlign w:val="bottom"/>
          </w:tcPr>
          <w:p>
            <w:pPr>
              <w:jc w:val="right"/>
              <w:spacing w:after="0"/>
              <w:rPr>
                <w:sz w:val="20"/>
                <w:szCs w:val="20"/>
                <w:color w:val="auto"/>
              </w:rPr>
            </w:pPr>
            <w:r>
              <w:rPr>
                <w:rFonts w:ascii="Arial" w:cs="Arial" w:eastAsia="Arial" w:hAnsi="Arial"/>
                <w:sz w:val="16"/>
                <w:szCs w:val="16"/>
                <w:color w:val="auto"/>
              </w:rPr>
              <w:t>11,740</w:t>
            </w:r>
          </w:p>
        </w:tc>
        <w:tc>
          <w:tcPr>
            <w:tcW w:w="100" w:type="dxa"/>
            <w:vAlign w:val="bottom"/>
          </w:tcPr>
          <w:p>
            <w:pPr>
              <w:spacing w:after="0"/>
              <w:rPr>
                <w:sz w:val="17"/>
                <w:szCs w:val="17"/>
                <w:color w:val="auto"/>
              </w:rPr>
            </w:pPr>
          </w:p>
        </w:tc>
      </w:tr>
      <w:tr>
        <w:trPr>
          <w:trHeight w:val="216"/>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Loss on disposal of non-current assets</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577</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E5FFFF"/>
          </w:tcPr>
          <w:p>
            <w:pPr>
              <w:spacing w:after="0"/>
              <w:rPr>
                <w:sz w:val="18"/>
                <w:szCs w:val="18"/>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165,510</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178,523</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323,043</w:t>
            </w:r>
          </w:p>
        </w:tc>
        <w:tc>
          <w:tcPr>
            <w:tcW w:w="2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358,611</w:t>
            </w:r>
          </w:p>
        </w:tc>
        <w:tc>
          <w:tcPr>
            <w:tcW w:w="10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5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00"/>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1894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89420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Reconciliation of Profit to Adjusted Profits: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292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For the three months ended</w:t>
            </w:r>
          </w:p>
        </w:tc>
        <w:tc>
          <w:tcPr>
            <w:tcW w:w="280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rPr>
              <w:t>For the six months ended</w:t>
            </w:r>
          </w:p>
        </w:tc>
      </w:tr>
      <w:tr>
        <w:trPr>
          <w:trHeight w:val="219"/>
        </w:trPr>
        <w:tc>
          <w:tcPr>
            <w:tcW w:w="552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June 30, 2022</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June 30, 2023</w:t>
            </w:r>
          </w:p>
        </w:tc>
        <w:tc>
          <w:tcPr>
            <w:tcW w:w="14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June 30, 2022</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June 30, 2023</w:t>
            </w:r>
          </w:p>
        </w:tc>
      </w:tr>
      <w:tr>
        <w:trPr>
          <w:trHeight w:val="199"/>
        </w:trPr>
        <w:tc>
          <w:tcPr>
            <w:tcW w:w="5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48,369</w:t>
            </w:r>
          </w:p>
        </w:tc>
        <w:tc>
          <w:tcPr>
            <w:tcW w:w="2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73,392</w:t>
            </w:r>
          </w:p>
        </w:tc>
        <w:tc>
          <w:tcPr>
            <w:tcW w:w="2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119,421</w:t>
            </w:r>
          </w:p>
        </w:tc>
        <w:tc>
          <w:tcPr>
            <w:tcW w:w="2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118,416</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(14,442)</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(8,451)</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(60,654)</w:t>
            </w:r>
          </w:p>
        </w:tc>
        <w:tc>
          <w:tcPr>
            <w:tcW w:w="126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7"/>
                <w:szCs w:val="17"/>
                <w:color w:val="auto"/>
              </w:rPr>
            </w:pPr>
          </w:p>
        </w:tc>
      </w:tr>
      <w:tr>
        <w:trPr>
          <w:trHeight w:val="203"/>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Write-off of unamortized loan fees</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1,150</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1,676</w:t>
            </w:r>
          </w:p>
        </w:tc>
        <w:tc>
          <w:tcPr>
            <w:tcW w:w="100" w:type="dxa"/>
            <w:vAlign w:val="bottom"/>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Foreign exchange (gains)/losses, net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(207)</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195</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72</w:t>
            </w:r>
          </w:p>
        </w:tc>
        <w:tc>
          <w:tcPr>
            <w:tcW w:w="1260" w:type="dxa"/>
            <w:vAlign w:val="bottom"/>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7"/>
                <w:szCs w:val="17"/>
                <w:color w:val="auto"/>
              </w:rPr>
            </w:pPr>
          </w:p>
        </w:tc>
      </w:tr>
      <w:tr>
        <w:trPr>
          <w:trHeight w:val="203"/>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Restructuring costs</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211</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1,689</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Transaction Costs</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319</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1,508</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840</w:t>
            </w:r>
          </w:p>
        </w:tc>
        <w:tc>
          <w:tcPr>
            <w:tcW w:w="1260" w:type="dxa"/>
            <w:vAlign w:val="bottom"/>
          </w:tcPr>
          <w:p>
            <w:pPr>
              <w:jc w:val="right"/>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17"/>
                <w:szCs w:val="17"/>
                <w:color w:val="auto"/>
              </w:rPr>
            </w:pPr>
          </w:p>
        </w:tc>
      </w:tr>
      <w:tr>
        <w:trPr>
          <w:trHeight w:val="203"/>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28,027</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56,911</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11,740</w:t>
            </w:r>
          </w:p>
        </w:tc>
        <w:tc>
          <w:tcPr>
            <w:tcW w:w="100" w:type="dxa"/>
            <w:vAlign w:val="bottom"/>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577</w:t>
            </w:r>
          </w:p>
        </w:tc>
        <w:tc>
          <w:tcPr>
            <w:tcW w:w="1260" w:type="dxa"/>
            <w:vAlign w:val="bottom"/>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17"/>
                <w:szCs w:val="17"/>
                <w:color w:val="auto"/>
              </w:rPr>
            </w:pPr>
          </w:p>
        </w:tc>
      </w:tr>
      <w:tr>
        <w:trPr>
          <w:trHeight w:val="216"/>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Unrealized foreign exchange losses/(gains), net on cash</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175</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16</w:t>
            </w:r>
          </w:p>
        </w:tc>
        <w:tc>
          <w:tcPr>
            <w:tcW w:w="14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480</w:t>
            </w:r>
          </w:p>
        </w:tc>
        <w:tc>
          <w:tcPr>
            <w:tcW w:w="13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(648)</w:t>
            </w:r>
          </w:p>
        </w:tc>
      </w:tr>
      <w:tr>
        <w:trPr>
          <w:trHeight w:val="207"/>
        </w:trPr>
        <w:tc>
          <w:tcPr>
            <w:tcW w:w="5520" w:type="dxa"/>
            <w:vAlign w:val="bottom"/>
          </w:tcPr>
          <w:p>
            <w:pPr>
              <w:spacing w:after="0"/>
              <w:rPr>
                <w:sz w:val="20"/>
                <w:szCs w:val="20"/>
                <w:color w:val="auto"/>
              </w:rPr>
            </w:pPr>
            <w:r>
              <w:rPr>
                <w:rFonts w:ascii="Arial" w:cs="Arial" w:eastAsia="Arial" w:hAnsi="Arial"/>
                <w:sz w:val="16"/>
                <w:szCs w:val="16"/>
                <w:b w:val="1"/>
                <w:bCs w:val="1"/>
                <w:color w:val="auto"/>
              </w:rPr>
              <w:t>Adjusted Profit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62,452</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66,660</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120,486</w:t>
            </w:r>
          </w:p>
        </w:tc>
        <w:tc>
          <w:tcPr>
            <w:tcW w:w="2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136,619</w:t>
            </w:r>
          </w:p>
        </w:tc>
        <w:tc>
          <w:tcPr>
            <w:tcW w:w="10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5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60"/>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-1997075</wp:posOffset>
            </wp:positionV>
            <wp:extent cx="68580" cy="1602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0274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gridSpan w:val="3"/>
          </w:tcPr>
          <w:p>
            <w:pPr>
              <w:ind w:left="280"/>
              <w:spacing w:after="0"/>
              <w:rPr>
                <w:sz w:val="20"/>
                <w:szCs w:val="20"/>
                <w:color w:val="auto"/>
              </w:rPr>
            </w:pPr>
            <w:r>
              <w:rPr>
                <w:rFonts w:ascii="Arial" w:cs="Arial" w:eastAsia="Arial" w:hAnsi="Arial"/>
                <w:sz w:val="16"/>
                <w:szCs w:val="16"/>
                <w:b w:val="1"/>
                <w:bCs w:val="1"/>
                <w:color w:val="auto"/>
                <w:w w:val="92"/>
              </w:rPr>
              <w:t>Exhibit 99.2</w:t>
            </w:r>
          </w:p>
        </w:tc>
      </w:tr>
      <w:tr>
        <w:trPr>
          <w:trHeight w:val="411"/>
        </w:trPr>
        <w:tc>
          <w:tcPr>
            <w:tcW w:w="4380" w:type="dxa"/>
            <w:vAlign w:val="bottom"/>
          </w:tcPr>
          <w:p>
            <w:pPr>
              <w:spacing w:after="0"/>
              <w:rPr>
                <w:sz w:val="24"/>
                <w:szCs w:val="24"/>
                <w:color w:val="auto"/>
              </w:rPr>
            </w:pPr>
          </w:p>
        </w:tc>
        <w:tc>
          <w:tcPr>
            <w:tcW w:w="5740" w:type="dxa"/>
            <w:vAlign w:val="bottom"/>
            <w:gridSpan w:val="6"/>
          </w:tcPr>
          <w:p>
            <w:pPr>
              <w:jc w:val="center"/>
              <w:ind w:right="3240"/>
              <w:spacing w:after="0"/>
              <w:rPr>
                <w:sz w:val="20"/>
                <w:szCs w:val="20"/>
                <w:color w:val="auto"/>
              </w:rPr>
            </w:pPr>
            <w:r>
              <w:rPr>
                <w:rFonts w:ascii="Arial" w:cs="Arial" w:eastAsia="Arial" w:hAnsi="Arial"/>
                <w:sz w:val="16"/>
                <w:szCs w:val="16"/>
                <w:b w:val="1"/>
                <w:bCs w:val="1"/>
                <w:color w:val="auto"/>
              </w:rPr>
              <w:t>GASLOG LTD.</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0"/>
        </w:trPr>
        <w:tc>
          <w:tcPr>
            <w:tcW w:w="10120" w:type="dxa"/>
            <w:vAlign w:val="bottom"/>
            <w:gridSpan w:val="7"/>
          </w:tcPr>
          <w:p>
            <w:pPr>
              <w:jc w:val="center"/>
              <w:ind w:left="1039"/>
              <w:spacing w:after="0"/>
              <w:rPr>
                <w:sz w:val="20"/>
                <w:szCs w:val="20"/>
                <w:color w:val="auto"/>
              </w:rPr>
            </w:pPr>
            <w:r>
              <w:rPr>
                <w:rFonts w:ascii="Arial" w:cs="Arial" w:eastAsia="Arial" w:hAnsi="Arial"/>
                <w:sz w:val="16"/>
                <w:szCs w:val="16"/>
                <w:b w:val="1"/>
                <w:bCs w:val="1"/>
                <w:color w:val="auto"/>
              </w:rPr>
              <w:t>INDEX TO UNAUDITED CONDENSED CONSOLIDATED FINANCIAL STATEMENTS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35"/>
        </w:trPr>
        <w:tc>
          <w:tcPr>
            <w:tcW w:w="43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213"/>
        </w:trPr>
        <w:tc>
          <w:tcPr>
            <w:tcW w:w="43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96"/>
        </w:trPr>
        <w:tc>
          <w:tcPr>
            <w:tcW w:w="7300" w:type="dxa"/>
            <w:vAlign w:val="bottom"/>
            <w:tcBorders>
              <w:bottom w:val="single" w:sz="8" w:color="0000EE"/>
            </w:tcBorders>
            <w:gridSpan w:val="3"/>
            <w:shd w:val="clear" w:color="auto" w:fill="E5FFFF"/>
          </w:tcPr>
          <w:p>
            <w:pPr>
              <w:spacing w:after="0" w:line="175" w:lineRule="exact"/>
              <w:rPr>
                <w:sz w:val="20"/>
                <w:szCs w:val="20"/>
                <w:color w:val="auto"/>
              </w:rPr>
            </w:pPr>
            <w:r>
              <w:rPr>
                <w:rFonts w:ascii="Arial" w:cs="Arial" w:eastAsia="Arial" w:hAnsi="Arial"/>
                <w:sz w:val="16"/>
                <w:szCs w:val="16"/>
                <w:color w:val="0000EE"/>
                <w:w w:val="91"/>
              </w:rPr>
              <w:t>Unaudited condensed consolidated statements of financial position as of December 31, 2022 and June 30, 2023</w:t>
            </w:r>
          </w:p>
        </w:tc>
        <w:tc>
          <w:tcPr>
            <w:tcW w:w="2820" w:type="dxa"/>
            <w:vAlign w:val="bottom"/>
            <w:tcBorders>
              <w:bottom w:val="single" w:sz="8" w:color="E5FFFF"/>
            </w:tcBorders>
            <w:gridSpan w:val="4"/>
            <w:shd w:val="clear" w:color="auto" w:fill="E5FFFF"/>
          </w:tcPr>
          <w:p>
            <w:pPr>
              <w:spacing w:after="0"/>
              <w:rPr>
                <w:sz w:val="17"/>
                <w:szCs w:val="17"/>
                <w:color w:val="auto"/>
              </w:rPr>
            </w:pPr>
          </w:p>
        </w:tc>
        <w:tc>
          <w:tcPr>
            <w:tcW w:w="44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0000EE"/>
            </w:tcBorders>
            <w:shd w:val="clear" w:color="auto" w:fill="E5FFFF"/>
          </w:tcPr>
          <w:p>
            <w:pPr>
              <w:jc w:val="center"/>
              <w:spacing w:after="0" w:line="175" w:lineRule="exact"/>
              <w:rPr>
                <w:sz w:val="20"/>
                <w:szCs w:val="20"/>
                <w:color w:val="auto"/>
              </w:rPr>
            </w:pPr>
            <w:r>
              <w:rPr>
                <w:rFonts w:ascii="Arial" w:cs="Arial" w:eastAsia="Arial" w:hAnsi="Arial"/>
                <w:sz w:val="16"/>
                <w:szCs w:val="16"/>
                <w:color w:val="0000EE"/>
                <w:w w:val="99"/>
              </w:rPr>
              <w:t>F-2</w:t>
            </w:r>
          </w:p>
        </w:tc>
        <w:tc>
          <w:tcPr>
            <w:tcW w:w="440" w:type="dxa"/>
            <w:vAlign w:val="bottom"/>
            <w:tcBorders>
              <w:bottom w:val="single" w:sz="8" w:color="E5FFFF"/>
            </w:tcBorders>
            <w:shd w:val="clear" w:color="auto" w:fill="E5FFFF"/>
          </w:tcPr>
          <w:p>
            <w:pPr>
              <w:spacing w:after="0"/>
              <w:rPr>
                <w:sz w:val="17"/>
                <w:szCs w:val="17"/>
                <w:color w:val="auto"/>
              </w:rPr>
            </w:pPr>
          </w:p>
        </w:tc>
      </w:tr>
      <w:tr>
        <w:trPr>
          <w:trHeight w:val="175"/>
        </w:trPr>
        <w:tc>
          <w:tcPr>
            <w:tcW w:w="10120" w:type="dxa"/>
            <w:vAlign w:val="bottom"/>
            <w:gridSpan w:val="7"/>
          </w:tcPr>
          <w:p>
            <w:pPr>
              <w:spacing w:after="0" w:line="175" w:lineRule="exact"/>
              <w:rPr>
                <w:sz w:val="20"/>
                <w:szCs w:val="20"/>
                <w:color w:val="auto"/>
              </w:rPr>
            </w:pPr>
            <w:r>
              <w:rPr>
                <w:rFonts w:ascii="Arial" w:cs="Arial" w:eastAsia="Arial" w:hAnsi="Arial"/>
                <w:sz w:val="16"/>
                <w:szCs w:val="16"/>
                <w:color w:val="0000EE"/>
              </w:rPr>
              <w:t>Unaudited condensed consolidated statements of profit or loss for the three and six months ended June 30, 2022 and 2023</w:t>
            </w:r>
          </w:p>
        </w:tc>
        <w:tc>
          <w:tcPr>
            <w:tcW w:w="1120" w:type="dxa"/>
            <w:vAlign w:val="bottom"/>
            <w:gridSpan w:val="3"/>
          </w:tcPr>
          <w:p>
            <w:pPr>
              <w:jc w:val="center"/>
              <w:spacing w:after="0" w:line="175" w:lineRule="exact"/>
              <w:rPr>
                <w:sz w:val="20"/>
                <w:szCs w:val="20"/>
                <w:color w:val="auto"/>
              </w:rPr>
            </w:pPr>
            <w:r>
              <w:rPr>
                <w:rFonts w:ascii="Arial" w:cs="Arial" w:eastAsia="Arial" w:hAnsi="Arial"/>
                <w:sz w:val="16"/>
                <w:szCs w:val="16"/>
                <w:color w:val="0000EE"/>
                <w:w w:val="99"/>
              </w:rPr>
              <w:t>F-3</w:t>
            </w:r>
          </w:p>
        </w:tc>
      </w:tr>
      <w:tr>
        <w:trPr>
          <w:trHeight w:val="21"/>
        </w:trPr>
        <w:tc>
          <w:tcPr>
            <w:tcW w:w="4380" w:type="dxa"/>
            <w:vAlign w:val="bottom"/>
            <w:tcBorders>
              <w:top w:val="single" w:sz="8" w:color="0000EE"/>
            </w:tcBorders>
          </w:tcPr>
          <w:p>
            <w:pPr>
              <w:spacing w:after="0" w:line="20" w:lineRule="exact"/>
              <w:rPr>
                <w:sz w:val="1"/>
                <w:szCs w:val="1"/>
                <w:color w:val="auto"/>
              </w:rPr>
            </w:pPr>
          </w:p>
        </w:tc>
        <w:tc>
          <w:tcPr>
            <w:tcW w:w="2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120" w:type="dxa"/>
            <w:vAlign w:val="bottom"/>
            <w:gridSpan w:val="7"/>
            <w:shd w:val="clear" w:color="auto" w:fill="E5FFFF"/>
          </w:tcPr>
          <w:p>
            <w:pPr>
              <w:spacing w:after="0" w:line="175" w:lineRule="exact"/>
              <w:rPr>
                <w:sz w:val="20"/>
                <w:szCs w:val="20"/>
                <w:color w:val="auto"/>
              </w:rPr>
            </w:pPr>
            <w:r>
              <w:rPr>
                <w:rFonts w:ascii="Arial" w:cs="Arial" w:eastAsia="Arial" w:hAnsi="Arial"/>
                <w:sz w:val="16"/>
                <w:szCs w:val="16"/>
                <w:color w:val="0000EE"/>
              </w:rPr>
              <w:t>Unaudited condensed consolidated statements of comprehensive income or loss for the three and six months ended June 30, 2022 and 2023</w:t>
            </w:r>
          </w:p>
        </w:tc>
        <w:tc>
          <w:tcPr>
            <w:tcW w:w="1120" w:type="dxa"/>
            <w:vAlign w:val="bottom"/>
            <w:gridSpan w:val="3"/>
            <w:shd w:val="clear" w:color="auto" w:fill="E5FFFF"/>
          </w:tcPr>
          <w:p>
            <w:pPr>
              <w:jc w:val="center"/>
              <w:spacing w:after="0" w:line="175" w:lineRule="exact"/>
              <w:rPr>
                <w:sz w:val="20"/>
                <w:szCs w:val="20"/>
                <w:color w:val="auto"/>
              </w:rPr>
            </w:pPr>
            <w:r>
              <w:rPr>
                <w:rFonts w:ascii="Arial" w:cs="Arial" w:eastAsia="Arial" w:hAnsi="Arial"/>
                <w:sz w:val="16"/>
                <w:szCs w:val="16"/>
                <w:color w:val="0000EE"/>
                <w:w w:val="99"/>
              </w:rPr>
              <w:t>F-4</w:t>
            </w:r>
          </w:p>
        </w:tc>
      </w:tr>
      <w:tr>
        <w:trPr>
          <w:trHeight w:val="175"/>
        </w:trPr>
        <w:tc>
          <w:tcPr>
            <w:tcW w:w="9040" w:type="dxa"/>
            <w:vAlign w:val="bottom"/>
            <w:tcBorders>
              <w:top w:val="single" w:sz="8" w:color="0000EE"/>
            </w:tcBorders>
            <w:gridSpan w:val="6"/>
          </w:tcPr>
          <w:p>
            <w:pPr>
              <w:spacing w:after="0" w:line="175" w:lineRule="exact"/>
              <w:rPr>
                <w:sz w:val="20"/>
                <w:szCs w:val="20"/>
                <w:color w:val="auto"/>
              </w:rPr>
            </w:pPr>
            <w:r>
              <w:rPr>
                <w:rFonts w:ascii="Arial" w:cs="Arial" w:eastAsia="Arial" w:hAnsi="Arial"/>
                <w:sz w:val="16"/>
                <w:szCs w:val="16"/>
                <w:color w:val="0000EE"/>
              </w:rPr>
              <w:t>Unaudited condensed consolidated statements of changes in equity for the six months ended June 30, 2022 and 2023</w:t>
            </w:r>
          </w:p>
        </w:tc>
        <w:tc>
          <w:tcPr>
            <w:tcW w:w="1080" w:type="dxa"/>
            <w:vAlign w:val="bottom"/>
            <w:tcBorders>
              <w:top w:val="single" w:sz="8" w:color="E5FFFF"/>
            </w:tcBorders>
          </w:tcPr>
          <w:p>
            <w:pPr>
              <w:spacing w:after="0"/>
              <w:rPr>
                <w:sz w:val="15"/>
                <w:szCs w:val="15"/>
                <w:color w:val="auto"/>
              </w:rPr>
            </w:pPr>
          </w:p>
        </w:tc>
        <w:tc>
          <w:tcPr>
            <w:tcW w:w="440" w:type="dxa"/>
            <w:vAlign w:val="bottom"/>
            <w:tcBorders>
              <w:top w:val="single" w:sz="8" w:color="E5FFFF"/>
            </w:tcBorders>
          </w:tcPr>
          <w:p>
            <w:pPr>
              <w:spacing w:after="0"/>
              <w:rPr>
                <w:sz w:val="15"/>
                <w:szCs w:val="15"/>
                <w:color w:val="auto"/>
              </w:rPr>
            </w:pPr>
          </w:p>
        </w:tc>
        <w:tc>
          <w:tcPr>
            <w:tcW w:w="240" w:type="dxa"/>
            <w:vAlign w:val="bottom"/>
            <w:tcBorders>
              <w:top w:val="single" w:sz="8" w:color="0000EE"/>
            </w:tcBorders>
          </w:tcPr>
          <w:p>
            <w:pPr>
              <w:jc w:val="center"/>
              <w:spacing w:after="0" w:line="175" w:lineRule="exact"/>
              <w:rPr>
                <w:sz w:val="20"/>
                <w:szCs w:val="20"/>
                <w:color w:val="auto"/>
              </w:rPr>
            </w:pPr>
            <w:r>
              <w:rPr>
                <w:rFonts w:ascii="Arial" w:cs="Arial" w:eastAsia="Arial" w:hAnsi="Arial"/>
                <w:sz w:val="16"/>
                <w:szCs w:val="16"/>
                <w:color w:val="0000EE"/>
                <w:w w:val="99"/>
              </w:rPr>
              <w:t>F-5</w:t>
            </w:r>
          </w:p>
        </w:tc>
        <w:tc>
          <w:tcPr>
            <w:tcW w:w="440" w:type="dxa"/>
            <w:vAlign w:val="bottom"/>
            <w:tcBorders>
              <w:top w:val="single" w:sz="8" w:color="E5FFFF"/>
            </w:tcBorders>
          </w:tcPr>
          <w:p>
            <w:pPr>
              <w:spacing w:after="0"/>
              <w:rPr>
                <w:sz w:val="15"/>
                <w:szCs w:val="15"/>
                <w:color w:val="auto"/>
              </w:rPr>
            </w:pPr>
          </w:p>
        </w:tc>
      </w:tr>
      <w:tr>
        <w:trPr>
          <w:trHeight w:val="21"/>
        </w:trPr>
        <w:tc>
          <w:tcPr>
            <w:tcW w:w="4380" w:type="dxa"/>
            <w:vAlign w:val="bottom"/>
            <w:tcBorders>
              <w:top w:val="single" w:sz="8" w:color="0000EE"/>
            </w:tcBorders>
          </w:tcPr>
          <w:p>
            <w:pPr>
              <w:spacing w:after="0" w:line="20" w:lineRule="exact"/>
              <w:rPr>
                <w:sz w:val="1"/>
                <w:szCs w:val="1"/>
                <w:color w:val="auto"/>
              </w:rPr>
            </w:pPr>
          </w:p>
        </w:tc>
        <w:tc>
          <w:tcPr>
            <w:tcW w:w="2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120" w:type="dxa"/>
            <w:vAlign w:val="bottom"/>
            <w:gridSpan w:val="7"/>
            <w:shd w:val="clear" w:color="auto" w:fill="E5FFFF"/>
          </w:tcPr>
          <w:p>
            <w:pPr>
              <w:spacing w:after="0" w:line="175" w:lineRule="exact"/>
              <w:rPr>
                <w:sz w:val="20"/>
                <w:szCs w:val="20"/>
                <w:color w:val="auto"/>
              </w:rPr>
            </w:pPr>
            <w:r>
              <w:rPr>
                <w:rFonts w:ascii="Arial" w:cs="Arial" w:eastAsia="Arial" w:hAnsi="Arial"/>
                <w:sz w:val="16"/>
                <w:szCs w:val="16"/>
                <w:color w:val="0000EE"/>
              </w:rPr>
              <w:t>Unaudited condensed consolidated statements of cash flows for the six months ended June 30, 2022 and 2023</w:t>
            </w:r>
          </w:p>
        </w:tc>
        <w:tc>
          <w:tcPr>
            <w:tcW w:w="1120" w:type="dxa"/>
            <w:vAlign w:val="bottom"/>
            <w:gridSpan w:val="3"/>
            <w:shd w:val="clear" w:color="auto" w:fill="E5FFFF"/>
          </w:tcPr>
          <w:p>
            <w:pPr>
              <w:jc w:val="center"/>
              <w:spacing w:after="0" w:line="175" w:lineRule="exact"/>
              <w:rPr>
                <w:sz w:val="20"/>
                <w:szCs w:val="20"/>
                <w:color w:val="auto"/>
              </w:rPr>
            </w:pPr>
            <w:r>
              <w:rPr>
                <w:rFonts w:ascii="Arial" w:cs="Arial" w:eastAsia="Arial" w:hAnsi="Arial"/>
                <w:sz w:val="16"/>
                <w:szCs w:val="16"/>
                <w:color w:val="0000EE"/>
                <w:w w:val="99"/>
              </w:rPr>
              <w:t>F-6</w:t>
            </w:r>
          </w:p>
        </w:tc>
      </w:tr>
      <w:tr>
        <w:trPr>
          <w:trHeight w:val="176"/>
        </w:trPr>
        <w:tc>
          <w:tcPr>
            <w:tcW w:w="7120" w:type="dxa"/>
            <w:vAlign w:val="bottom"/>
            <w:tcBorders>
              <w:top w:val="single" w:sz="8" w:color="0000EE"/>
            </w:tcBorders>
            <w:gridSpan w:val="2"/>
          </w:tcPr>
          <w:p>
            <w:pPr>
              <w:spacing w:after="0" w:line="175" w:lineRule="exact"/>
              <w:rPr>
                <w:sz w:val="20"/>
                <w:szCs w:val="20"/>
                <w:color w:val="auto"/>
              </w:rPr>
            </w:pPr>
            <w:r>
              <w:rPr>
                <w:rFonts w:ascii="Arial" w:cs="Arial" w:eastAsia="Arial" w:hAnsi="Arial"/>
                <w:sz w:val="16"/>
                <w:szCs w:val="16"/>
                <w:color w:val="0000EE"/>
              </w:rPr>
              <w:t>Notes to the unaudited condensed consolidated financial statements</w:t>
            </w:r>
          </w:p>
        </w:tc>
        <w:tc>
          <w:tcPr>
            <w:tcW w:w="3000" w:type="dxa"/>
            <w:vAlign w:val="bottom"/>
            <w:tcBorders>
              <w:top w:val="single" w:sz="8" w:color="E5FFFF"/>
            </w:tcBorders>
            <w:gridSpan w:val="5"/>
          </w:tcPr>
          <w:p>
            <w:pPr>
              <w:spacing w:after="0"/>
              <w:rPr>
                <w:sz w:val="15"/>
                <w:szCs w:val="15"/>
                <w:color w:val="auto"/>
              </w:rPr>
            </w:pPr>
          </w:p>
        </w:tc>
        <w:tc>
          <w:tcPr>
            <w:tcW w:w="440" w:type="dxa"/>
            <w:vAlign w:val="bottom"/>
            <w:tcBorders>
              <w:top w:val="single" w:sz="8" w:color="E5FFFF"/>
            </w:tcBorders>
          </w:tcPr>
          <w:p>
            <w:pPr>
              <w:spacing w:after="0"/>
              <w:rPr>
                <w:sz w:val="15"/>
                <w:szCs w:val="15"/>
                <w:color w:val="auto"/>
              </w:rPr>
            </w:pPr>
          </w:p>
        </w:tc>
        <w:tc>
          <w:tcPr>
            <w:tcW w:w="240" w:type="dxa"/>
            <w:vAlign w:val="bottom"/>
            <w:tcBorders>
              <w:top w:val="single" w:sz="8" w:color="0000EE"/>
            </w:tcBorders>
          </w:tcPr>
          <w:p>
            <w:pPr>
              <w:jc w:val="center"/>
              <w:spacing w:after="0" w:line="175" w:lineRule="exact"/>
              <w:rPr>
                <w:sz w:val="20"/>
                <w:szCs w:val="20"/>
                <w:color w:val="auto"/>
              </w:rPr>
            </w:pPr>
            <w:r>
              <w:rPr>
                <w:rFonts w:ascii="Arial" w:cs="Arial" w:eastAsia="Arial" w:hAnsi="Arial"/>
                <w:sz w:val="16"/>
                <w:szCs w:val="16"/>
                <w:color w:val="0000EE"/>
                <w:w w:val="99"/>
              </w:rPr>
              <w:t>F-7</w:t>
            </w:r>
          </w:p>
        </w:tc>
        <w:tc>
          <w:tcPr>
            <w:tcW w:w="440" w:type="dxa"/>
            <w:vAlign w:val="bottom"/>
            <w:tcBorders>
              <w:top w:val="single" w:sz="8" w:color="E5FFFF"/>
            </w:tcBorders>
          </w:tcPr>
          <w:p>
            <w:pPr>
              <w:spacing w:after="0"/>
              <w:rPr>
                <w:sz w:val="15"/>
                <w:szCs w:val="15"/>
                <w:color w:val="auto"/>
              </w:rPr>
            </w:pPr>
          </w:p>
        </w:tc>
      </w:tr>
      <w:tr>
        <w:trPr>
          <w:trHeight w:val="601"/>
        </w:trPr>
        <w:tc>
          <w:tcPr>
            <w:tcW w:w="4380" w:type="dxa"/>
            <w:vAlign w:val="bottom"/>
            <w:tcBorders>
              <w:top w:val="single" w:sz="8" w:color="0000EE"/>
              <w:bottom w:val="single" w:sz="8" w:color="auto"/>
            </w:tcBorders>
          </w:tcPr>
          <w:p>
            <w:pPr>
              <w:spacing w:after="0"/>
              <w:rPr>
                <w:sz w:val="24"/>
                <w:szCs w:val="24"/>
                <w:color w:val="auto"/>
              </w:rPr>
            </w:pPr>
          </w:p>
        </w:tc>
        <w:tc>
          <w:tcPr>
            <w:tcW w:w="5740" w:type="dxa"/>
            <w:vAlign w:val="bottom"/>
            <w:tcBorders>
              <w:bottom w:val="single" w:sz="8" w:color="auto"/>
            </w:tcBorders>
            <w:gridSpan w:val="6"/>
          </w:tcPr>
          <w:p>
            <w:pPr>
              <w:jc w:val="center"/>
              <w:ind w:right="3260"/>
              <w:spacing w:after="0"/>
              <w:rPr>
                <w:sz w:val="20"/>
                <w:szCs w:val="20"/>
                <w:color w:val="auto"/>
              </w:rPr>
            </w:pPr>
            <w:r>
              <w:rPr>
                <w:rFonts w:ascii="Arial" w:cs="Arial" w:eastAsia="Arial" w:hAnsi="Arial"/>
                <w:sz w:val="14"/>
                <w:szCs w:val="14"/>
                <w:color w:val="auto"/>
                <w:w w:val="95"/>
              </w:rPr>
              <w:t>F-1</w:t>
            </w:r>
          </w:p>
        </w:tc>
        <w:tc>
          <w:tcPr>
            <w:tcW w:w="440" w:type="dxa"/>
            <w:vAlign w:val="bottom"/>
            <w:tcBorders>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73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b w:val="1"/>
                <w:bCs w:val="1"/>
                <w:color w:val="auto"/>
              </w:rPr>
              <w:t>As of December 31, 2022 and June 30, 2023</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7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24"/>
                <w:szCs w:val="24"/>
                <w:color w:val="auto"/>
              </w:rPr>
            </w:pPr>
          </w:p>
        </w:tc>
        <w:tc>
          <w:tcPr>
            <w:tcW w:w="1360" w:type="dxa"/>
            <w:vAlign w:val="bottom"/>
            <w:gridSpan w:val="2"/>
          </w:tcPr>
          <w:p>
            <w:pPr>
              <w:ind w:left="340"/>
              <w:spacing w:after="0"/>
              <w:rPr>
                <w:sz w:val="20"/>
                <w:szCs w:val="20"/>
                <w:color w:val="auto"/>
              </w:rPr>
            </w:pPr>
            <w:r>
              <w:rPr>
                <w:rFonts w:ascii="Arial" w:cs="Arial" w:eastAsia="Arial" w:hAnsi="Arial"/>
                <w:sz w:val="16"/>
                <w:szCs w:val="16"/>
                <w:b w:val="1"/>
                <w:bCs w:val="1"/>
                <w:color w:val="auto"/>
              </w:rPr>
              <w:t>June 30,</w:t>
            </w:r>
          </w:p>
        </w:tc>
      </w:tr>
      <w:tr>
        <w:trPr>
          <w:trHeight w:val="213"/>
        </w:trPr>
        <w:tc>
          <w:tcPr>
            <w:tcW w:w="7320" w:type="dxa"/>
            <w:vAlign w:val="bottom"/>
          </w:tcPr>
          <w:p>
            <w:pPr>
              <w:spacing w:after="0"/>
              <w:rPr>
                <w:sz w:val="18"/>
                <w:szCs w:val="18"/>
                <w:color w:val="auto"/>
              </w:rPr>
            </w:pPr>
          </w:p>
        </w:tc>
        <w:tc>
          <w:tcPr>
            <w:tcW w:w="880" w:type="dxa"/>
            <w:vAlign w:val="bottom"/>
          </w:tcPr>
          <w:p>
            <w:pPr>
              <w:ind w:left="280"/>
              <w:spacing w:after="0"/>
              <w:rPr>
                <w:sz w:val="20"/>
                <w:szCs w:val="20"/>
                <w:color w:val="auto"/>
              </w:rPr>
            </w:pPr>
            <w:r>
              <w:rPr>
                <w:rFonts w:ascii="Arial" w:cs="Arial" w:eastAsia="Arial" w:hAnsi="Arial"/>
                <w:sz w:val="16"/>
                <w:szCs w:val="16"/>
                <w:b w:val="1"/>
                <w:bCs w:val="1"/>
                <w:color w:val="auto"/>
              </w:rPr>
              <w:t>Note</w:t>
            </w:r>
          </w:p>
        </w:tc>
        <w:tc>
          <w:tcPr>
            <w:tcW w:w="148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46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r>
      <w:tr>
        <w:trPr>
          <w:trHeight w:val="213"/>
        </w:trPr>
        <w:tc>
          <w:tcPr>
            <w:tcW w:w="7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880" w:type="dxa"/>
            <w:vAlign w:val="bottom"/>
            <w:tcBorders>
              <w:top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Goodwill</w:t>
            </w:r>
          </w:p>
        </w:tc>
        <w:tc>
          <w:tcPr>
            <w:tcW w:w="880" w:type="dxa"/>
            <w:vAlign w:val="bottom"/>
            <w:shd w:val="clear" w:color="auto" w:fill="E5FFFF"/>
          </w:tcPr>
          <w:p>
            <w:pPr>
              <w:spacing w:after="0"/>
              <w:rPr>
                <w:sz w:val="19"/>
                <w:szCs w:val="19"/>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9,511</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9,511</w:t>
            </w:r>
          </w:p>
        </w:tc>
        <w:tc>
          <w:tcPr>
            <w:tcW w:w="100" w:type="dxa"/>
            <w:vAlign w:val="bottom"/>
            <w:shd w:val="clear" w:color="auto" w:fill="E5FFFF"/>
          </w:tcPr>
          <w:p>
            <w:pPr>
              <w:spacing w:after="0"/>
              <w:rPr>
                <w:sz w:val="19"/>
                <w:szCs w:val="19"/>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28,823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42,564</w:t>
            </w:r>
          </w:p>
        </w:tc>
        <w:tc>
          <w:tcPr>
            <w:tcW w:w="100" w:type="dxa"/>
            <w:vAlign w:val="bottom"/>
          </w:tcPr>
          <w:p>
            <w:pPr>
              <w:spacing w:after="0"/>
              <w:rPr>
                <w:sz w:val="17"/>
                <w:szCs w:val="17"/>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88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8,778</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8,173</w:t>
            </w:r>
          </w:p>
        </w:tc>
        <w:tc>
          <w:tcPr>
            <w:tcW w:w="100" w:type="dxa"/>
            <w:vAlign w:val="bottom"/>
            <w:shd w:val="clear" w:color="auto" w:fill="E5FF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2,092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3,075</w:t>
            </w:r>
          </w:p>
        </w:tc>
        <w:tc>
          <w:tcPr>
            <w:tcW w:w="100" w:type="dxa"/>
            <w:vAlign w:val="bottom"/>
          </w:tcPr>
          <w:p>
            <w:pPr>
              <w:spacing w:after="0"/>
              <w:rPr>
                <w:sz w:val="18"/>
                <w:szCs w:val="18"/>
                <w:color w:val="auto"/>
              </w:rPr>
            </w:pPr>
          </w:p>
        </w:tc>
      </w:tr>
      <w:tr>
        <w:trPr>
          <w:trHeight w:val="205"/>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13,225</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10,776</w:t>
            </w:r>
          </w:p>
        </w:tc>
        <w:tc>
          <w:tcPr>
            <w:tcW w:w="100" w:type="dxa"/>
            <w:vAlign w:val="bottom"/>
            <w:shd w:val="clear" w:color="auto" w:fill="E5FF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Tangible fixed assets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4,514,663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3,974,881</w:t>
            </w:r>
          </w:p>
        </w:tc>
        <w:tc>
          <w:tcPr>
            <w:tcW w:w="100" w:type="dxa"/>
            <w:vAlign w:val="bottom"/>
          </w:tcPr>
          <w:p>
            <w:pPr>
              <w:spacing w:after="0"/>
              <w:rPr>
                <w:sz w:val="17"/>
                <w:szCs w:val="17"/>
                <w:color w:val="auto"/>
              </w:rPr>
            </w:pPr>
          </w:p>
        </w:tc>
      </w:tr>
      <w:tr>
        <w:trPr>
          <w:trHeight w:val="203"/>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210,099</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444,726</w:t>
            </w:r>
          </w:p>
        </w:tc>
        <w:tc>
          <w:tcPr>
            <w:tcW w:w="100" w:type="dxa"/>
            <w:vAlign w:val="bottom"/>
            <w:shd w:val="clear" w:color="auto" w:fill="E5FFFF"/>
          </w:tcPr>
          <w:p>
            <w:pPr>
              <w:spacing w:after="0"/>
              <w:rPr>
                <w:sz w:val="17"/>
                <w:szCs w:val="17"/>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Right-of-use assets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416,485</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515,371</w:t>
            </w:r>
          </w:p>
        </w:tc>
        <w:tc>
          <w:tcPr>
            <w:tcW w:w="100" w:type="dxa"/>
            <w:vAlign w:val="bottom"/>
          </w:tcPr>
          <w:p>
            <w:pPr>
              <w:spacing w:after="0"/>
              <w:rPr>
                <w:sz w:val="18"/>
                <w:szCs w:val="18"/>
                <w:color w:val="auto"/>
              </w:rPr>
            </w:pPr>
          </w:p>
        </w:tc>
      </w:tr>
      <w:tr>
        <w:trPr>
          <w:trHeight w:val="210"/>
        </w:trPr>
        <w:tc>
          <w:tcPr>
            <w:tcW w:w="73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880" w:type="dxa"/>
            <w:vAlign w:val="bottom"/>
            <w:tcBorders>
              <w:top w:val="single" w:sz="8" w:color="E5FFFF"/>
              <w:bottom w:val="single" w:sz="8" w:color="E5FFFF"/>
            </w:tcBorders>
            <w:shd w:val="clear" w:color="auto" w:fill="E5FFFF"/>
          </w:tcPr>
          <w:p>
            <w:pPr>
              <w:spacing w:after="0"/>
              <w:rPr>
                <w:sz w:val="18"/>
                <w:szCs w:val="18"/>
                <w:color w:val="auto"/>
              </w:rPr>
            </w:pP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5,203,676</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5,009,077</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Vessel held for sale</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w:t>
            </w:r>
          </w:p>
        </w:tc>
        <w:tc>
          <w:tcPr>
            <w:tcW w:w="24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54,450</w:t>
            </w:r>
          </w:p>
        </w:tc>
        <w:tc>
          <w:tcPr>
            <w:tcW w:w="100" w:type="dxa"/>
            <w:vAlign w:val="bottom"/>
            <w:shd w:val="clear" w:color="auto" w:fill="E5FFFF"/>
          </w:tcPr>
          <w:p>
            <w:pPr>
              <w:spacing w:after="0"/>
              <w:rPr>
                <w:sz w:val="17"/>
                <w:szCs w:val="17"/>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22,897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27,588</w:t>
            </w:r>
          </w:p>
        </w:tc>
        <w:tc>
          <w:tcPr>
            <w:tcW w:w="100" w:type="dxa"/>
            <w:vAlign w:val="bottom"/>
          </w:tcPr>
          <w:p>
            <w:pPr>
              <w:spacing w:after="0"/>
              <w:rPr>
                <w:sz w:val="18"/>
                <w:szCs w:val="18"/>
                <w:color w:val="auto"/>
              </w:rPr>
            </w:pPr>
          </w:p>
        </w:tc>
      </w:tr>
      <w:tr>
        <w:trPr>
          <w:trHeight w:val="205"/>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61</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E5FF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Derivative financial instruments, current portion</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25,383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23,348</w:t>
            </w:r>
          </w:p>
        </w:tc>
        <w:tc>
          <w:tcPr>
            <w:tcW w:w="100" w:type="dxa"/>
            <w:vAlign w:val="bottom"/>
          </w:tcPr>
          <w:p>
            <w:pPr>
              <w:spacing w:after="0"/>
              <w:rPr>
                <w:sz w:val="17"/>
                <w:szCs w:val="17"/>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Inventories</w:t>
            </w:r>
          </w:p>
        </w:tc>
        <w:tc>
          <w:tcPr>
            <w:tcW w:w="88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8,483</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10,645</w:t>
            </w:r>
          </w:p>
        </w:tc>
        <w:tc>
          <w:tcPr>
            <w:tcW w:w="100" w:type="dxa"/>
            <w:vAlign w:val="bottom"/>
            <w:shd w:val="clear" w:color="auto" w:fill="E5FF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7,262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11,546</w:t>
            </w:r>
          </w:p>
        </w:tc>
        <w:tc>
          <w:tcPr>
            <w:tcW w:w="100" w:type="dxa"/>
            <w:vAlign w:val="bottom"/>
          </w:tcPr>
          <w:p>
            <w:pPr>
              <w:spacing w:after="0"/>
              <w:rPr>
                <w:sz w:val="18"/>
                <w:szCs w:val="18"/>
                <w:color w:val="auto"/>
              </w:rPr>
            </w:pPr>
          </w:p>
        </w:tc>
      </w:tr>
      <w:tr>
        <w:trPr>
          <w:trHeight w:val="219"/>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Short-term cash deposits</w:t>
            </w:r>
          </w:p>
        </w:tc>
        <w:tc>
          <w:tcPr>
            <w:tcW w:w="880" w:type="dxa"/>
            <w:vAlign w:val="bottom"/>
            <w:shd w:val="clear" w:color="auto" w:fill="E5FFFF"/>
          </w:tcPr>
          <w:p>
            <w:pPr>
              <w:spacing w:after="0"/>
              <w:rPr>
                <w:sz w:val="19"/>
                <w:szCs w:val="19"/>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36,000</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41,000</w:t>
            </w:r>
          </w:p>
        </w:tc>
        <w:tc>
          <w:tcPr>
            <w:tcW w:w="100" w:type="dxa"/>
            <w:vAlign w:val="bottom"/>
            <w:shd w:val="clear" w:color="auto" w:fill="E5FFFF"/>
          </w:tcPr>
          <w:p>
            <w:pPr>
              <w:spacing w:after="0"/>
              <w:rPr>
                <w:sz w:val="19"/>
                <w:szCs w:val="19"/>
                <w:color w:val="auto"/>
              </w:rPr>
            </w:pPr>
          </w:p>
        </w:tc>
      </w:tr>
      <w:tr>
        <w:trPr>
          <w:trHeight w:val="227"/>
        </w:trPr>
        <w:tc>
          <w:tcPr>
            <w:tcW w:w="73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8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368,286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488,124</w:t>
            </w:r>
          </w:p>
        </w:tc>
        <w:tc>
          <w:tcPr>
            <w:tcW w:w="100" w:type="dxa"/>
            <w:vAlign w:val="bottom"/>
          </w:tcPr>
          <w:p>
            <w:pPr>
              <w:spacing w:after="0"/>
              <w:rPr>
                <w:sz w:val="19"/>
                <w:szCs w:val="19"/>
                <w:color w:val="auto"/>
              </w:rPr>
            </w:pPr>
          </w:p>
        </w:tc>
      </w:tr>
      <w:tr>
        <w:trPr>
          <w:trHeight w:val="210"/>
        </w:trPr>
        <w:tc>
          <w:tcPr>
            <w:tcW w:w="73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assets</w:t>
            </w:r>
          </w:p>
        </w:tc>
        <w:tc>
          <w:tcPr>
            <w:tcW w:w="880" w:type="dxa"/>
            <w:vAlign w:val="bottom"/>
            <w:tcBorders>
              <w:top w:val="single" w:sz="8" w:color="E5FFFF"/>
              <w:bottom w:val="single" w:sz="8" w:color="E5FFFF"/>
            </w:tcBorders>
            <w:shd w:val="clear" w:color="auto" w:fill="E5FFFF"/>
          </w:tcPr>
          <w:p>
            <w:pPr>
              <w:spacing w:after="0"/>
              <w:rPr>
                <w:sz w:val="18"/>
                <w:szCs w:val="18"/>
                <w:color w:val="auto"/>
              </w:rPr>
            </w:pP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468,372</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657,587</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76"/>
        </w:trPr>
        <w:tc>
          <w:tcPr>
            <w:tcW w:w="732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88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5,672,048</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5,666,664</w:t>
            </w:r>
          </w:p>
        </w:tc>
        <w:tc>
          <w:tcPr>
            <w:tcW w:w="100" w:type="dxa"/>
            <w:vAlign w:val="bottom"/>
          </w:tcPr>
          <w:p>
            <w:pPr>
              <w:spacing w:after="0"/>
              <w:rPr>
                <w:sz w:val="24"/>
                <w:szCs w:val="24"/>
                <w:color w:val="auto"/>
              </w:rPr>
            </w:pPr>
          </w:p>
        </w:tc>
      </w:tr>
      <w:tr>
        <w:trPr>
          <w:trHeight w:val="200"/>
        </w:trPr>
        <w:tc>
          <w:tcPr>
            <w:tcW w:w="73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Equity and liabilities</w:t>
            </w:r>
          </w:p>
        </w:tc>
        <w:tc>
          <w:tcPr>
            <w:tcW w:w="8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Preference shares</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46</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E5FF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Share capital</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954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7"/>
                <w:szCs w:val="17"/>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Contributed surplus</w:t>
            </w:r>
          </w:p>
        </w:tc>
        <w:tc>
          <w:tcPr>
            <w:tcW w:w="88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658,888</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658,888</w:t>
            </w:r>
          </w:p>
        </w:tc>
        <w:tc>
          <w:tcPr>
            <w:tcW w:w="100" w:type="dxa"/>
            <w:vAlign w:val="bottom"/>
            <w:shd w:val="clear" w:color="auto" w:fill="E5FF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Reserves</w:t>
            </w: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16,464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15,838</w:t>
            </w:r>
          </w:p>
        </w:tc>
        <w:tc>
          <w:tcPr>
            <w:tcW w:w="100" w:type="dxa"/>
            <w:vAlign w:val="bottom"/>
          </w:tcPr>
          <w:p>
            <w:pPr>
              <w:spacing w:after="0"/>
              <w:rPr>
                <w:sz w:val="18"/>
                <w:szCs w:val="18"/>
                <w:color w:val="auto"/>
              </w:rPr>
            </w:pPr>
          </w:p>
        </w:tc>
      </w:tr>
      <w:tr>
        <w:trPr>
          <w:trHeight w:val="216"/>
        </w:trPr>
        <w:tc>
          <w:tcPr>
            <w:tcW w:w="73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Retained earnings</w:t>
            </w:r>
          </w:p>
        </w:tc>
        <w:tc>
          <w:tcPr>
            <w:tcW w:w="880" w:type="dxa"/>
            <w:vAlign w:val="bottom"/>
            <w:tcBorders>
              <w:bottom w:val="single" w:sz="8" w:color="E5FFFF"/>
            </w:tcBorders>
            <w:shd w:val="clear" w:color="auto" w:fill="E5FFFF"/>
          </w:tcPr>
          <w:p>
            <w:pPr>
              <w:spacing w:after="0"/>
              <w:rPr>
                <w:sz w:val="18"/>
                <w:szCs w:val="18"/>
                <w:color w:val="auto"/>
              </w:rPr>
            </w:pPr>
          </w:p>
        </w:tc>
        <w:tc>
          <w:tcPr>
            <w:tcW w:w="240" w:type="dxa"/>
            <w:vAlign w:val="bottom"/>
            <w:tcBorders>
              <w:bottom w:val="single" w:sz="8" w:color="E5FFFF"/>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108,685</w:t>
            </w:r>
          </w:p>
        </w:tc>
        <w:tc>
          <w:tcPr>
            <w:tcW w:w="200" w:type="dxa"/>
            <w:vAlign w:val="bottom"/>
            <w:tcBorders>
              <w:bottom w:val="single" w:sz="8" w:color="E5FFFF"/>
            </w:tcBorders>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139,865</w:t>
            </w:r>
          </w:p>
        </w:tc>
        <w:tc>
          <w:tcPr>
            <w:tcW w:w="100" w:type="dxa"/>
            <w:vAlign w:val="bottom"/>
            <w:tcBorders>
              <w:bottom w:val="single" w:sz="8" w:color="E5FFFF"/>
            </w:tcBorders>
            <w:shd w:val="clear" w:color="auto" w:fill="E5FFFF"/>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785,037</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815,591</w:t>
            </w:r>
          </w:p>
        </w:tc>
        <w:tc>
          <w:tcPr>
            <w:tcW w:w="100" w:type="dxa"/>
            <w:vAlign w:val="bottom"/>
          </w:tcPr>
          <w:p>
            <w:pPr>
              <w:spacing w:after="0"/>
              <w:rPr>
                <w:sz w:val="18"/>
                <w:szCs w:val="18"/>
                <w:color w:val="auto"/>
              </w:rPr>
            </w:pPr>
          </w:p>
        </w:tc>
      </w:tr>
      <w:tr>
        <w:trPr>
          <w:trHeight w:val="232"/>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880" w:type="dxa"/>
            <w:vAlign w:val="bottom"/>
            <w:shd w:val="clear" w:color="auto" w:fill="E5FFFF"/>
          </w:tcPr>
          <w:p>
            <w:pPr>
              <w:spacing w:after="0"/>
              <w:rPr>
                <w:sz w:val="20"/>
                <w:szCs w:val="20"/>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936,741</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976,672</w:t>
            </w:r>
          </w:p>
        </w:tc>
        <w:tc>
          <w:tcPr>
            <w:tcW w:w="100" w:type="dxa"/>
            <w:vAlign w:val="bottom"/>
            <w:shd w:val="clear" w:color="auto" w:fill="E5FFFF"/>
          </w:tcPr>
          <w:p>
            <w:pPr>
              <w:spacing w:after="0"/>
              <w:rPr>
                <w:sz w:val="20"/>
                <w:szCs w:val="20"/>
                <w:color w:val="auto"/>
              </w:rPr>
            </w:pPr>
          </w:p>
        </w:tc>
      </w:tr>
      <w:tr>
        <w:trPr>
          <w:trHeight w:val="207"/>
        </w:trPr>
        <w:tc>
          <w:tcPr>
            <w:tcW w:w="732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1,721,778</w:t>
            </w:r>
          </w:p>
        </w:tc>
        <w:tc>
          <w:tcPr>
            <w:tcW w:w="2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1,792,263</w:t>
            </w:r>
          </w:p>
        </w:tc>
        <w:tc>
          <w:tcPr>
            <w:tcW w:w="100" w:type="dxa"/>
            <w:vAlign w:val="bottom"/>
          </w:tcPr>
          <w:p>
            <w:pPr>
              <w:spacing w:after="0"/>
              <w:rPr>
                <w:sz w:val="17"/>
                <w:szCs w:val="17"/>
                <w:color w:val="auto"/>
              </w:rPr>
            </w:pPr>
          </w:p>
        </w:tc>
      </w:tr>
      <w:tr>
        <w:trPr>
          <w:trHeight w:val="212"/>
        </w:trPr>
        <w:tc>
          <w:tcPr>
            <w:tcW w:w="7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Current liabilities</w:t>
            </w:r>
          </w:p>
        </w:tc>
        <w:tc>
          <w:tcPr>
            <w:tcW w:w="8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Trade accounts payable</w:t>
            </w: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19,725</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28,787</w:t>
            </w:r>
          </w:p>
        </w:tc>
        <w:tc>
          <w:tcPr>
            <w:tcW w:w="100" w:type="dxa"/>
            <w:vAlign w:val="bottom"/>
          </w:tcPr>
          <w:p>
            <w:pPr>
              <w:spacing w:after="0"/>
              <w:rPr>
                <w:sz w:val="18"/>
                <w:szCs w:val="18"/>
                <w:color w:val="auto"/>
              </w:rPr>
            </w:pPr>
          </w:p>
        </w:tc>
      </w:tr>
      <w:tr>
        <w:trPr>
          <w:trHeight w:val="219"/>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880" w:type="dxa"/>
            <w:vAlign w:val="bottom"/>
            <w:shd w:val="clear" w:color="auto" w:fill="E5FFFF"/>
          </w:tcPr>
          <w:p>
            <w:pPr>
              <w:spacing w:after="0"/>
              <w:rPr>
                <w:sz w:val="19"/>
                <w:szCs w:val="19"/>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14</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E5FFFF"/>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r>
      <w:tr>
        <w:trPr>
          <w:trHeight w:val="205"/>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current portion</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2,834</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3,058</w:t>
            </w:r>
          </w:p>
        </w:tc>
        <w:tc>
          <w:tcPr>
            <w:tcW w:w="100" w:type="dxa"/>
            <w:vAlign w:val="bottom"/>
            <w:shd w:val="clear" w:color="auto" w:fill="E5FF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166,932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174,615</w:t>
            </w:r>
          </w:p>
        </w:tc>
        <w:tc>
          <w:tcPr>
            <w:tcW w:w="100" w:type="dxa"/>
            <w:vAlign w:val="bottom"/>
          </w:tcPr>
          <w:p>
            <w:pPr>
              <w:spacing w:after="0"/>
              <w:rPr>
                <w:sz w:val="17"/>
                <w:szCs w:val="17"/>
                <w:color w:val="auto"/>
              </w:rPr>
            </w:pPr>
          </w:p>
        </w:tc>
      </w:tr>
      <w:tr>
        <w:trPr>
          <w:trHeight w:val="203"/>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Borrowings, current portion</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294,977</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382,359</w:t>
            </w:r>
          </w:p>
        </w:tc>
        <w:tc>
          <w:tcPr>
            <w:tcW w:w="100" w:type="dxa"/>
            <w:vAlign w:val="bottom"/>
            <w:shd w:val="clear" w:color="auto" w:fill="E5FFFF"/>
          </w:tcPr>
          <w:p>
            <w:pPr>
              <w:spacing w:after="0"/>
              <w:rPr>
                <w:sz w:val="17"/>
                <w:szCs w:val="17"/>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Lease liabilities, current portion</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48,548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70,176</w:t>
            </w:r>
          </w:p>
        </w:tc>
        <w:tc>
          <w:tcPr>
            <w:tcW w:w="100" w:type="dxa"/>
            <w:vAlign w:val="bottom"/>
          </w:tcPr>
          <w:p>
            <w:pPr>
              <w:spacing w:after="0"/>
              <w:rPr>
                <w:sz w:val="18"/>
                <w:szCs w:val="18"/>
                <w:color w:val="auto"/>
              </w:rPr>
            </w:pPr>
          </w:p>
        </w:tc>
      </w:tr>
      <w:tr>
        <w:trPr>
          <w:trHeight w:val="210"/>
        </w:trPr>
        <w:tc>
          <w:tcPr>
            <w:tcW w:w="73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880" w:type="dxa"/>
            <w:vAlign w:val="bottom"/>
            <w:tcBorders>
              <w:top w:val="single" w:sz="8" w:color="E5FFFF"/>
              <w:bottom w:val="single" w:sz="8" w:color="E5FFFF"/>
            </w:tcBorders>
            <w:shd w:val="clear" w:color="auto" w:fill="E5FFFF"/>
          </w:tcPr>
          <w:p>
            <w:pPr>
              <w:spacing w:after="0"/>
              <w:rPr>
                <w:sz w:val="18"/>
                <w:szCs w:val="18"/>
                <w:color w:val="auto"/>
              </w:rPr>
            </w:pP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533,056</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659,229</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5,498</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13,669</w:t>
            </w:r>
          </w:p>
        </w:tc>
        <w:tc>
          <w:tcPr>
            <w:tcW w:w="100" w:type="dxa"/>
            <w:vAlign w:val="bottom"/>
            <w:shd w:val="clear" w:color="auto" w:fill="E5FF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3,004,767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2,625,133</w:t>
            </w:r>
          </w:p>
        </w:tc>
        <w:tc>
          <w:tcPr>
            <w:tcW w:w="100" w:type="dxa"/>
            <w:vAlign w:val="bottom"/>
          </w:tcPr>
          <w:p>
            <w:pPr>
              <w:spacing w:after="0"/>
              <w:rPr>
                <w:sz w:val="17"/>
                <w:szCs w:val="17"/>
                <w:color w:val="auto"/>
              </w:rPr>
            </w:pPr>
          </w:p>
        </w:tc>
      </w:tr>
      <w:tr>
        <w:trPr>
          <w:trHeight w:val="203"/>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 non-current portion</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287,828</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348,120</w:t>
            </w:r>
          </w:p>
        </w:tc>
        <w:tc>
          <w:tcPr>
            <w:tcW w:w="100" w:type="dxa"/>
            <w:vAlign w:val="bottom"/>
            <w:shd w:val="clear" w:color="auto" w:fill="E5FFFF"/>
          </w:tcPr>
          <w:p>
            <w:pPr>
              <w:spacing w:after="0"/>
              <w:rPr>
                <w:sz w:val="17"/>
                <w:szCs w:val="17"/>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119,121</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228,250</w:t>
            </w:r>
          </w:p>
        </w:tc>
        <w:tc>
          <w:tcPr>
            <w:tcW w:w="100" w:type="dxa"/>
            <w:vAlign w:val="bottom"/>
          </w:tcPr>
          <w:p>
            <w:pPr>
              <w:spacing w:after="0"/>
              <w:rPr>
                <w:sz w:val="18"/>
                <w:szCs w:val="18"/>
                <w:color w:val="auto"/>
              </w:rPr>
            </w:pPr>
          </w:p>
        </w:tc>
      </w:tr>
      <w:tr>
        <w:trPr>
          <w:trHeight w:val="210"/>
        </w:trPr>
        <w:tc>
          <w:tcPr>
            <w:tcW w:w="73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880" w:type="dxa"/>
            <w:vAlign w:val="bottom"/>
            <w:tcBorders>
              <w:bottom w:val="single" w:sz="8" w:color="E5FFFF"/>
            </w:tcBorders>
            <w:shd w:val="clear" w:color="auto" w:fill="E5FFFF"/>
          </w:tcPr>
          <w:p>
            <w:pPr>
              <w:spacing w:after="0"/>
              <w:rPr>
                <w:sz w:val="18"/>
                <w:szCs w:val="18"/>
                <w:color w:val="auto"/>
              </w:rPr>
            </w:pPr>
          </w:p>
        </w:tc>
        <w:tc>
          <w:tcPr>
            <w:tcW w:w="240" w:type="dxa"/>
            <w:vAlign w:val="bottom"/>
            <w:tcBorders>
              <w:bottom w:val="single" w:sz="8" w:color="E5FFFF"/>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3,417,214</w:t>
            </w:r>
          </w:p>
        </w:tc>
        <w:tc>
          <w:tcPr>
            <w:tcW w:w="200" w:type="dxa"/>
            <w:vAlign w:val="bottom"/>
            <w:tcBorders>
              <w:bottom w:val="single" w:sz="8" w:color="E5FFFF"/>
            </w:tcBorders>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3,215,172</w:t>
            </w:r>
          </w:p>
        </w:tc>
        <w:tc>
          <w:tcPr>
            <w:tcW w:w="100" w:type="dxa"/>
            <w:vAlign w:val="bottom"/>
            <w:tcBorders>
              <w:bottom w:val="single" w:sz="8" w:color="E5FFFF"/>
            </w:tcBorders>
            <w:shd w:val="clear" w:color="auto" w:fill="E5FF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8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5,672,048</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5,666,664</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-6917055</wp:posOffset>
            </wp:positionV>
            <wp:extent cx="68580" cy="6901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90118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4400" w:type="dxa"/>
            <w:vAlign w:val="bottom"/>
          </w:tcPr>
          <w:p>
            <w:pPr>
              <w:spacing w:after="0"/>
              <w:rPr>
                <w:sz w:val="20"/>
                <w:szCs w:val="20"/>
                <w:color w:val="auto"/>
              </w:rPr>
            </w:pPr>
            <w:r>
              <w:rPr>
                <w:rFonts w:ascii="Arial" w:cs="Arial" w:eastAsia="Arial" w:hAnsi="Arial"/>
                <w:sz w:val="16"/>
                <w:szCs w:val="16"/>
                <w:b w:val="1"/>
                <w:bCs w:val="1"/>
                <w:color w:val="auto"/>
                <w:w w:val="91"/>
              </w:rPr>
              <w:t>Unaudited condensed consolidated statements of profit or loss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b w:val="1"/>
                <w:bCs w:val="1"/>
                <w:color w:val="auto"/>
                <w:w w:val="96"/>
              </w:rPr>
              <w:t>For the three and six months ended June 30, 2022 and 2023</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40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4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For the three months ended</w:t>
            </w:r>
          </w:p>
        </w:tc>
        <w:tc>
          <w:tcPr>
            <w:tcW w:w="280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For the six months ended</w:t>
            </w:r>
          </w:p>
        </w:tc>
      </w:tr>
      <w:tr>
        <w:trPr>
          <w:trHeight w:val="289"/>
        </w:trPr>
        <w:tc>
          <w:tcPr>
            <w:tcW w:w="4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June 30,</w:t>
            </w:r>
          </w:p>
        </w:tc>
        <w:tc>
          <w:tcPr>
            <w:tcW w:w="146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14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June 30,</w:t>
            </w:r>
          </w:p>
        </w:tc>
        <w:tc>
          <w:tcPr>
            <w:tcW w:w="13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June 30,</w:t>
            </w:r>
          </w:p>
        </w:tc>
      </w:tr>
      <w:tr>
        <w:trPr>
          <w:trHeight w:val="213"/>
        </w:trPr>
        <w:tc>
          <w:tcPr>
            <w:tcW w:w="4400" w:type="dxa"/>
            <w:vAlign w:val="bottom"/>
          </w:tcPr>
          <w:p>
            <w:pPr>
              <w:spacing w:after="0"/>
              <w:rPr>
                <w:sz w:val="18"/>
                <w:szCs w:val="18"/>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Notes</w:t>
            </w: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r>
      <w:tr>
        <w:trPr>
          <w:trHeight w:val="199"/>
        </w:trPr>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7</w:t>
            </w:r>
          </w:p>
        </w:tc>
        <w:tc>
          <w:tcPr>
            <w:tcW w:w="148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216,096</w:t>
            </w:r>
          </w:p>
        </w:tc>
        <w:tc>
          <w:tcPr>
            <w:tcW w:w="220" w:type="dxa"/>
            <w:vAlign w:val="bottom"/>
            <w:shd w:val="clear" w:color="auto" w:fill="E5FFFF"/>
          </w:tcPr>
          <w:p>
            <w:pPr>
              <w:spacing w:after="0"/>
              <w:rPr>
                <w:sz w:val="17"/>
                <w:szCs w:val="17"/>
                <w:color w:val="auto"/>
              </w:rPr>
            </w:pPr>
          </w:p>
        </w:tc>
        <w:tc>
          <w:tcPr>
            <w:tcW w:w="14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227,766</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429,819</w:t>
            </w:r>
          </w:p>
        </w:tc>
        <w:tc>
          <w:tcPr>
            <w:tcW w:w="2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459,065</w:t>
            </w:r>
          </w:p>
        </w:tc>
        <w:tc>
          <w:tcPr>
            <w:tcW w:w="100" w:type="dxa"/>
            <w:vAlign w:val="bottom"/>
            <w:shd w:val="clear" w:color="auto" w:fill="E5FFFF"/>
          </w:tcPr>
          <w:p>
            <w:pPr>
              <w:spacing w:after="0"/>
              <w:rPr>
                <w:sz w:val="17"/>
                <w:szCs w:val="17"/>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880" w:type="dxa"/>
            <w:vAlign w:val="bottom"/>
          </w:tcPr>
          <w:p>
            <w:pPr>
              <w:spacing w:after="0"/>
              <w:rPr>
                <w:sz w:val="18"/>
                <w:szCs w:val="18"/>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6"/>
                <w:szCs w:val="16"/>
                <w:color w:val="auto"/>
              </w:rPr>
              <w:t>(1,995)</w:t>
            </w:r>
          </w:p>
        </w:tc>
        <w:tc>
          <w:tcPr>
            <w:tcW w:w="1460" w:type="dxa"/>
            <w:vAlign w:val="bottom"/>
            <w:gridSpan w:val="2"/>
          </w:tcPr>
          <w:p>
            <w:pPr>
              <w:jc w:val="right"/>
              <w:ind w:right="99"/>
              <w:spacing w:after="0"/>
              <w:rPr>
                <w:sz w:val="20"/>
                <w:szCs w:val="20"/>
                <w:color w:val="auto"/>
              </w:rPr>
            </w:pPr>
            <w:r>
              <w:rPr>
                <w:rFonts w:ascii="Arial" w:cs="Arial" w:eastAsia="Arial" w:hAnsi="Arial"/>
                <w:sz w:val="16"/>
                <w:szCs w:val="16"/>
                <w:color w:val="auto"/>
              </w:rPr>
              <w:t>(5,003)</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(7,327)</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(9,718)</w:t>
            </w:r>
          </w:p>
        </w:tc>
      </w:tr>
      <w:tr>
        <w:trPr>
          <w:trHeight w:val="219"/>
        </w:trPr>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and supervision costs</w:t>
            </w:r>
          </w:p>
        </w:tc>
        <w:tc>
          <w:tcPr>
            <w:tcW w:w="880" w:type="dxa"/>
            <w:vAlign w:val="bottom"/>
            <w:shd w:val="clear" w:color="auto" w:fill="E5FFFF"/>
          </w:tcPr>
          <w:p>
            <w:pPr>
              <w:spacing w:after="0"/>
              <w:rPr>
                <w:sz w:val="19"/>
                <w:szCs w:val="19"/>
                <w:color w:val="auto"/>
              </w:rPr>
            </w:pPr>
          </w:p>
        </w:tc>
        <w:tc>
          <w:tcPr>
            <w:tcW w:w="1700" w:type="dxa"/>
            <w:vAlign w:val="bottom"/>
            <w:gridSpan w:val="3"/>
            <w:shd w:val="clear" w:color="auto" w:fill="E5FFFF"/>
          </w:tcPr>
          <w:p>
            <w:pPr>
              <w:jc w:val="right"/>
              <w:ind w:right="140"/>
              <w:spacing w:after="0"/>
              <w:rPr>
                <w:sz w:val="20"/>
                <w:szCs w:val="20"/>
                <w:color w:val="auto"/>
              </w:rPr>
            </w:pPr>
            <w:r>
              <w:rPr>
                <w:rFonts w:ascii="Arial" w:cs="Arial" w:eastAsia="Arial" w:hAnsi="Arial"/>
                <w:sz w:val="16"/>
                <w:szCs w:val="16"/>
                <w:color w:val="auto"/>
              </w:rPr>
              <w:t>(42,446)</w:t>
            </w:r>
          </w:p>
        </w:tc>
        <w:tc>
          <w:tcPr>
            <w:tcW w:w="14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(38,390)</w:t>
            </w: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(86,083)</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(78,411)</w:t>
            </w: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Depreciation</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4, 5</w:t>
            </w:r>
          </w:p>
        </w:tc>
        <w:tc>
          <w:tcPr>
            <w:tcW w:w="1700" w:type="dxa"/>
            <w:vAlign w:val="bottom"/>
            <w:gridSpan w:val="3"/>
          </w:tcPr>
          <w:p>
            <w:pPr>
              <w:jc w:val="right"/>
              <w:ind w:right="140"/>
              <w:spacing w:after="0"/>
              <w:rPr>
                <w:sz w:val="20"/>
                <w:szCs w:val="20"/>
                <w:color w:val="auto"/>
              </w:rPr>
            </w:pPr>
            <w:r>
              <w:rPr>
                <w:rFonts w:ascii="Arial" w:cs="Arial" w:eastAsia="Arial" w:hAnsi="Arial"/>
                <w:sz w:val="16"/>
                <w:szCs w:val="16"/>
                <w:color w:val="auto"/>
              </w:rPr>
              <w:t>(58,008)</w:t>
            </w:r>
          </w:p>
        </w:tc>
        <w:tc>
          <w:tcPr>
            <w:tcW w:w="1460" w:type="dxa"/>
            <w:vAlign w:val="bottom"/>
            <w:gridSpan w:val="2"/>
          </w:tcPr>
          <w:p>
            <w:pPr>
              <w:jc w:val="right"/>
              <w:ind w:right="99"/>
              <w:spacing w:after="0"/>
              <w:rPr>
                <w:sz w:val="20"/>
                <w:szCs w:val="20"/>
                <w:color w:val="auto"/>
              </w:rPr>
            </w:pPr>
            <w:r>
              <w:rPr>
                <w:rFonts w:ascii="Arial" w:cs="Arial" w:eastAsia="Arial" w:hAnsi="Arial"/>
                <w:sz w:val="16"/>
                <w:szCs w:val="16"/>
                <w:color w:val="auto"/>
              </w:rPr>
              <w:t>(59,900)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(112,841)</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(116,134)</w:t>
            </w:r>
          </w:p>
        </w:tc>
      </w:tr>
      <w:tr>
        <w:trPr>
          <w:trHeight w:val="216"/>
        </w:trPr>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880" w:type="dxa"/>
            <w:vAlign w:val="bottom"/>
            <w:shd w:val="clear" w:color="auto" w:fill="E5FFFF"/>
          </w:tcPr>
          <w:p>
            <w:pPr>
              <w:spacing w:after="0"/>
              <w:rPr>
                <w:sz w:val="18"/>
                <w:szCs w:val="18"/>
                <w:color w:val="auto"/>
              </w:rPr>
            </w:pPr>
          </w:p>
        </w:tc>
        <w:tc>
          <w:tcPr>
            <w:tcW w:w="1700" w:type="dxa"/>
            <w:vAlign w:val="bottom"/>
            <w:gridSpan w:val="3"/>
            <w:shd w:val="clear" w:color="auto" w:fill="E5FFFF"/>
          </w:tcPr>
          <w:p>
            <w:pPr>
              <w:jc w:val="right"/>
              <w:ind w:right="140"/>
              <w:spacing w:after="0"/>
              <w:rPr>
                <w:sz w:val="20"/>
                <w:szCs w:val="20"/>
                <w:color w:val="auto"/>
              </w:rPr>
            </w:pPr>
            <w:r>
              <w:rPr>
                <w:rFonts w:ascii="Arial" w:cs="Arial" w:eastAsia="Arial" w:hAnsi="Arial"/>
                <w:sz w:val="16"/>
                <w:szCs w:val="16"/>
                <w:color w:val="auto"/>
              </w:rPr>
              <w:t>(6,884)</w:t>
            </w:r>
          </w:p>
        </w:tc>
        <w:tc>
          <w:tcPr>
            <w:tcW w:w="14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(8,645)</w:t>
            </w: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(16,902)</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(17,206)</w:t>
            </w: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(577)</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(1,309)</w:t>
            </w:r>
          </w:p>
        </w:tc>
      </w:tr>
      <w:tr>
        <w:trPr>
          <w:trHeight w:val="216"/>
        </w:trPr>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w:t>
            </w:r>
          </w:p>
        </w:tc>
        <w:tc>
          <w:tcPr>
            <w:tcW w:w="1700" w:type="dxa"/>
            <w:vAlign w:val="bottom"/>
            <w:gridSpan w:val="3"/>
            <w:shd w:val="clear" w:color="auto" w:fill="E5FFFF"/>
          </w:tcPr>
          <w:p>
            <w:pPr>
              <w:jc w:val="right"/>
              <w:ind w:right="140"/>
              <w:spacing w:after="0"/>
              <w:rPr>
                <w:sz w:val="20"/>
                <w:szCs w:val="20"/>
                <w:color w:val="auto"/>
              </w:rPr>
            </w:pPr>
            <w:r>
              <w:rPr>
                <w:rFonts w:ascii="Arial" w:cs="Arial" w:eastAsia="Arial" w:hAnsi="Arial"/>
                <w:sz w:val="16"/>
                <w:szCs w:val="16"/>
                <w:color w:val="auto"/>
              </w:rPr>
              <w:t>(28,027)</w:t>
            </w:r>
          </w:p>
        </w:tc>
        <w:tc>
          <w:tcPr>
            <w:tcW w:w="14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(56,911)</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(11,740)</w:t>
            </w:r>
          </w:p>
        </w:tc>
      </w:tr>
      <w:tr>
        <w:trPr>
          <w:trHeight w:val="207"/>
        </w:trPr>
        <w:tc>
          <w:tcPr>
            <w:tcW w:w="4400" w:type="dxa"/>
            <w:vAlign w:val="bottom"/>
          </w:tcPr>
          <w:p>
            <w:pPr>
              <w:spacing w:after="0"/>
              <w:rPr>
                <w:sz w:val="20"/>
                <w:szCs w:val="20"/>
                <w:color w:val="auto"/>
              </w:rPr>
            </w:pPr>
            <w:r>
              <w:rPr>
                <w:rFonts w:ascii="Arial" w:cs="Arial" w:eastAsia="Arial" w:hAnsi="Arial"/>
                <w:sz w:val="16"/>
                <w:szCs w:val="16"/>
                <w:b w:val="1"/>
                <w:bCs w:val="1"/>
                <w:color w:val="auto"/>
              </w:rPr>
              <w:t>Profit from operations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78,736</w:t>
            </w:r>
          </w:p>
        </w:tc>
        <w:tc>
          <w:tcPr>
            <w:tcW w:w="2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115,828</w:t>
            </w:r>
          </w:p>
        </w:tc>
        <w:tc>
          <w:tcPr>
            <w:tcW w:w="2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149,178</w:t>
            </w:r>
          </w:p>
        </w:tc>
        <w:tc>
          <w:tcPr>
            <w:tcW w:w="2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224,547</w:t>
            </w:r>
          </w:p>
        </w:tc>
        <w:tc>
          <w:tcPr>
            <w:tcW w:w="100" w:type="dxa"/>
            <w:vAlign w:val="bottom"/>
          </w:tcPr>
          <w:p>
            <w:pPr>
              <w:spacing w:after="0"/>
              <w:rPr>
                <w:sz w:val="17"/>
                <w:szCs w:val="17"/>
                <w:color w:val="auto"/>
              </w:rPr>
            </w:pPr>
          </w:p>
        </w:tc>
      </w:tr>
      <w:tr>
        <w:trPr>
          <w:trHeight w:val="199"/>
        </w:trPr>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w:t>
            </w:r>
          </w:p>
        </w:tc>
        <w:tc>
          <w:tcPr>
            <w:tcW w:w="1700" w:type="dxa"/>
            <w:vAlign w:val="bottom"/>
            <w:gridSpan w:val="3"/>
            <w:shd w:val="clear" w:color="auto" w:fill="E5FFFF"/>
          </w:tcPr>
          <w:p>
            <w:pPr>
              <w:jc w:val="right"/>
              <w:ind w:right="140"/>
              <w:spacing w:after="0"/>
              <w:rPr>
                <w:sz w:val="20"/>
                <w:szCs w:val="20"/>
                <w:color w:val="auto"/>
              </w:rPr>
            </w:pPr>
            <w:r>
              <w:rPr>
                <w:rFonts w:ascii="Arial" w:cs="Arial" w:eastAsia="Arial" w:hAnsi="Arial"/>
                <w:sz w:val="16"/>
                <w:szCs w:val="16"/>
                <w:color w:val="auto"/>
              </w:rPr>
              <w:t>(39,466)</w:t>
            </w:r>
          </w:p>
        </w:tc>
        <w:tc>
          <w:tcPr>
            <w:tcW w:w="14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(63,557)</w:t>
            </w: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(76,835)</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(128,054)</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Financial income</w:t>
            </w: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353</w:t>
            </w:r>
          </w:p>
        </w:tc>
        <w:tc>
          <w:tcPr>
            <w:tcW w:w="220" w:type="dxa"/>
            <w:vAlign w:val="bottom"/>
          </w:tcPr>
          <w:p>
            <w:pPr>
              <w:spacing w:after="0"/>
              <w:rPr>
                <w:sz w:val="18"/>
                <w:szCs w:val="18"/>
                <w:color w:val="auto"/>
              </w:rPr>
            </w:pPr>
          </w:p>
        </w:tc>
        <w:tc>
          <w:tcPr>
            <w:tcW w:w="1460" w:type="dxa"/>
            <w:vAlign w:val="bottom"/>
            <w:gridSpan w:val="2"/>
          </w:tcPr>
          <w:p>
            <w:pPr>
              <w:jc w:val="right"/>
              <w:ind w:right="159"/>
              <w:spacing w:after="0"/>
              <w:rPr>
                <w:sz w:val="20"/>
                <w:szCs w:val="20"/>
                <w:color w:val="auto"/>
              </w:rPr>
            </w:pPr>
            <w:r>
              <w:rPr>
                <w:rFonts w:ascii="Arial" w:cs="Arial" w:eastAsia="Arial" w:hAnsi="Arial"/>
                <w:sz w:val="16"/>
                <w:szCs w:val="16"/>
                <w:color w:val="auto"/>
              </w:rPr>
              <w:t>5,886</w:t>
            </w:r>
          </w:p>
        </w:tc>
        <w:tc>
          <w:tcPr>
            <w:tcW w:w="1240" w:type="dxa"/>
            <w:vAlign w:val="bottom"/>
          </w:tcPr>
          <w:p>
            <w:pPr>
              <w:jc w:val="right"/>
              <w:spacing w:after="0"/>
              <w:rPr>
                <w:sz w:val="20"/>
                <w:szCs w:val="20"/>
                <w:color w:val="auto"/>
              </w:rPr>
            </w:pPr>
            <w:r>
              <w:rPr>
                <w:rFonts w:ascii="Arial" w:cs="Arial" w:eastAsia="Arial" w:hAnsi="Arial"/>
                <w:sz w:val="16"/>
                <w:szCs w:val="16"/>
                <w:color w:val="auto"/>
              </w:rPr>
              <w:t>412</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9,925</w:t>
            </w:r>
          </w:p>
        </w:tc>
        <w:tc>
          <w:tcPr>
            <w:tcW w:w="100" w:type="dxa"/>
            <w:vAlign w:val="bottom"/>
          </w:tcPr>
          <w:p>
            <w:pPr>
              <w:spacing w:after="0"/>
              <w:rPr>
                <w:sz w:val="18"/>
                <w:szCs w:val="18"/>
                <w:color w:val="auto"/>
              </w:rPr>
            </w:pPr>
          </w:p>
        </w:tc>
      </w:tr>
      <w:tr>
        <w:trPr>
          <w:trHeight w:val="205"/>
        </w:trPr>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Gain on derivatives</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w:t>
            </w:r>
          </w:p>
        </w:tc>
        <w:tc>
          <w:tcPr>
            <w:tcW w:w="148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8,330</w:t>
            </w:r>
          </w:p>
        </w:tc>
        <w:tc>
          <w:tcPr>
            <w:tcW w:w="220" w:type="dxa"/>
            <w:vAlign w:val="bottom"/>
            <w:shd w:val="clear" w:color="auto" w:fill="E5FFFF"/>
          </w:tcPr>
          <w:p>
            <w:pPr>
              <w:spacing w:after="0"/>
              <w:rPr>
                <w:sz w:val="17"/>
                <w:szCs w:val="17"/>
                <w:color w:val="auto"/>
              </w:rPr>
            </w:pPr>
          </w:p>
        </w:tc>
        <w:tc>
          <w:tcPr>
            <w:tcW w:w="14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14,143</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45,731</w:t>
            </w:r>
          </w:p>
        </w:tc>
        <w:tc>
          <w:tcPr>
            <w:tcW w:w="2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10,473</w:t>
            </w:r>
          </w:p>
        </w:tc>
        <w:tc>
          <w:tcPr>
            <w:tcW w:w="100" w:type="dxa"/>
            <w:vAlign w:val="bottom"/>
            <w:shd w:val="clear" w:color="auto" w:fill="E5FFFF"/>
          </w:tcPr>
          <w:p>
            <w:pPr>
              <w:spacing w:after="0"/>
              <w:rPr>
                <w:sz w:val="17"/>
                <w:szCs w:val="17"/>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Share of profit of associates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416</w:t>
            </w:r>
          </w:p>
        </w:tc>
        <w:tc>
          <w:tcPr>
            <w:tcW w:w="220" w:type="dxa"/>
            <w:vAlign w:val="bottom"/>
          </w:tcPr>
          <w:p>
            <w:pPr>
              <w:spacing w:after="0"/>
              <w:rPr>
                <w:sz w:val="18"/>
                <w:szCs w:val="18"/>
                <w:color w:val="auto"/>
              </w:rPr>
            </w:pPr>
          </w:p>
        </w:tc>
        <w:tc>
          <w:tcPr>
            <w:tcW w:w="1460" w:type="dxa"/>
            <w:vAlign w:val="bottom"/>
            <w:gridSpan w:val="2"/>
          </w:tcPr>
          <w:p>
            <w:pPr>
              <w:jc w:val="right"/>
              <w:ind w:right="159"/>
              <w:spacing w:after="0"/>
              <w:rPr>
                <w:sz w:val="20"/>
                <w:szCs w:val="20"/>
                <w:color w:val="auto"/>
              </w:rPr>
            </w:pPr>
            <w:r>
              <w:rPr>
                <w:rFonts w:ascii="Arial" w:cs="Arial" w:eastAsia="Arial" w:hAnsi="Arial"/>
                <w:sz w:val="16"/>
                <w:szCs w:val="16"/>
                <w:color w:val="auto"/>
              </w:rPr>
              <w:t>1,092</w:t>
            </w:r>
          </w:p>
        </w:tc>
        <w:tc>
          <w:tcPr>
            <w:tcW w:w="1240" w:type="dxa"/>
            <w:vAlign w:val="bottom"/>
          </w:tcPr>
          <w:p>
            <w:pPr>
              <w:jc w:val="right"/>
              <w:spacing w:after="0"/>
              <w:rPr>
                <w:sz w:val="20"/>
                <w:szCs w:val="20"/>
                <w:color w:val="auto"/>
              </w:rPr>
            </w:pPr>
            <w:r>
              <w:rPr>
                <w:rFonts w:ascii="Arial" w:cs="Arial" w:eastAsia="Arial" w:hAnsi="Arial"/>
                <w:sz w:val="16"/>
                <w:szCs w:val="16"/>
                <w:color w:val="auto"/>
              </w:rPr>
              <w:t>935</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1,525</w:t>
            </w:r>
          </w:p>
        </w:tc>
        <w:tc>
          <w:tcPr>
            <w:tcW w:w="100" w:type="dxa"/>
            <w:vAlign w:val="bottom"/>
          </w:tcPr>
          <w:p>
            <w:pPr>
              <w:spacing w:after="0"/>
              <w:rPr>
                <w:sz w:val="18"/>
                <w:szCs w:val="18"/>
                <w:color w:val="auto"/>
              </w:rPr>
            </w:pPr>
          </w:p>
        </w:tc>
      </w:tr>
      <w:tr>
        <w:trPr>
          <w:trHeight w:val="210"/>
        </w:trPr>
        <w:tc>
          <w:tcPr>
            <w:tcW w:w="44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880" w:type="dxa"/>
            <w:vAlign w:val="bottom"/>
            <w:tcBorders>
              <w:top w:val="single" w:sz="8" w:color="E5FFFF"/>
              <w:bottom w:val="single" w:sz="8" w:color="E5FFFF"/>
            </w:tcBorders>
            <w:shd w:val="clear" w:color="auto" w:fill="E5FFFF"/>
          </w:tcPr>
          <w:p>
            <w:pPr>
              <w:spacing w:after="0"/>
              <w:rPr>
                <w:sz w:val="18"/>
                <w:szCs w:val="18"/>
                <w:color w:val="auto"/>
              </w:rPr>
            </w:pP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(30,367</w:t>
            </w:r>
          </w:p>
        </w:tc>
        <w:tc>
          <w:tcPr>
            <w:tcW w:w="220" w:type="dxa"/>
            <w:vAlign w:val="bottom"/>
            <w:tcBorders>
              <w:top w:val="single" w:sz="8" w:color="E5FFFF"/>
              <w:bottom w:val="single" w:sz="8" w:color="E5FFFF"/>
            </w:tcBorders>
            <w:shd w:val="clear" w:color="auto" w:fill="E5FFFF"/>
          </w:tcPr>
          <w:p>
            <w:pPr>
              <w:jc w:val="right"/>
              <w:ind w:right="140"/>
              <w:spacing w:after="0"/>
              <w:rPr>
                <w:sz w:val="20"/>
                <w:szCs w:val="20"/>
                <w:color w:val="auto"/>
              </w:rPr>
            </w:pPr>
            <w:r>
              <w:rPr>
                <w:rFonts w:ascii="Arial" w:cs="Arial" w:eastAsia="Arial" w:hAnsi="Arial"/>
                <w:sz w:val="8"/>
                <w:szCs w:val="8"/>
                <w:b w:val="1"/>
                <w:bCs w:val="1"/>
                <w:color w:val="auto"/>
                <w:w w:val="73"/>
              </w:rPr>
              <w:t>)</w:t>
            </w: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(42,436</w:t>
            </w:r>
          </w:p>
        </w:tc>
        <w:tc>
          <w:tcPr>
            <w:tcW w:w="240" w:type="dxa"/>
            <w:vAlign w:val="bottom"/>
            <w:tcBorders>
              <w:top w:val="single" w:sz="8" w:color="E5FFFF"/>
              <w:bottom w:val="single" w:sz="8" w:color="E5FFFF"/>
            </w:tcBorders>
            <w:shd w:val="clear" w:color="auto" w:fill="E5FFFF"/>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(29,757</w:t>
            </w:r>
          </w:p>
        </w:tc>
        <w:tc>
          <w:tcPr>
            <w:tcW w:w="200" w:type="dxa"/>
            <w:vAlign w:val="bottom"/>
            <w:tcBorders>
              <w:top w:val="single" w:sz="8" w:color="E5FFFF"/>
              <w:bottom w:val="single" w:sz="8" w:color="E5FFFF"/>
            </w:tcBorders>
            <w:shd w:val="clear" w:color="auto" w:fill="E5FFFF"/>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(106,131</w:t>
            </w:r>
          </w:p>
        </w:tc>
        <w:tc>
          <w:tcPr>
            <w:tcW w:w="100" w:type="dxa"/>
            <w:vAlign w:val="bottom"/>
            <w:tcBorders>
              <w:top w:val="single" w:sz="8" w:color="E5FFFF"/>
              <w:bottom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76"/>
        </w:trPr>
        <w:tc>
          <w:tcPr>
            <w:tcW w:w="440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88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48,369</w:t>
            </w:r>
          </w:p>
        </w:tc>
        <w:tc>
          <w:tcPr>
            <w:tcW w:w="220" w:type="dxa"/>
            <w:vAlign w:val="bottom"/>
          </w:tcPr>
          <w:p>
            <w:pPr>
              <w:spacing w:after="0"/>
              <w:rPr>
                <w:sz w:val="24"/>
                <w:szCs w:val="24"/>
                <w:color w:val="auto"/>
              </w:rPr>
            </w:pPr>
          </w:p>
        </w:tc>
        <w:tc>
          <w:tcPr>
            <w:tcW w:w="14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73,392</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119,421</w:t>
            </w: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118,416</w:t>
            </w:r>
          </w:p>
        </w:tc>
        <w:tc>
          <w:tcPr>
            <w:tcW w:w="100" w:type="dxa"/>
            <w:vAlign w:val="bottom"/>
          </w:tcPr>
          <w:p>
            <w:pPr>
              <w:spacing w:after="0"/>
              <w:rPr>
                <w:sz w:val="24"/>
                <w:szCs w:val="24"/>
                <w:color w:val="auto"/>
              </w:rPr>
            </w:pPr>
          </w:p>
        </w:tc>
      </w:tr>
      <w:tr>
        <w:trPr>
          <w:trHeight w:val="199"/>
        </w:trPr>
        <w:tc>
          <w:tcPr>
            <w:tcW w:w="4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Attributable to:</w:t>
            </w:r>
          </w:p>
        </w:tc>
        <w:tc>
          <w:tcPr>
            <w:tcW w:w="8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right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Owners of the Group</w:t>
            </w: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45,729</w:t>
            </w:r>
          </w:p>
        </w:tc>
        <w:tc>
          <w:tcPr>
            <w:tcW w:w="220" w:type="dxa"/>
            <w:vAlign w:val="bottom"/>
          </w:tcPr>
          <w:p>
            <w:pPr>
              <w:spacing w:after="0"/>
              <w:rPr>
                <w:sz w:val="18"/>
                <w:szCs w:val="18"/>
                <w:color w:val="auto"/>
              </w:rPr>
            </w:pPr>
          </w:p>
        </w:tc>
        <w:tc>
          <w:tcPr>
            <w:tcW w:w="1460" w:type="dxa"/>
            <w:vAlign w:val="bottom"/>
            <w:gridSpan w:val="2"/>
          </w:tcPr>
          <w:p>
            <w:pPr>
              <w:jc w:val="right"/>
              <w:ind w:right="159"/>
              <w:spacing w:after="0"/>
              <w:rPr>
                <w:sz w:val="20"/>
                <w:szCs w:val="20"/>
                <w:color w:val="auto"/>
              </w:rPr>
            </w:pPr>
            <w:r>
              <w:rPr>
                <w:rFonts w:ascii="Arial" w:cs="Arial" w:eastAsia="Arial" w:hAnsi="Arial"/>
                <w:sz w:val="16"/>
                <w:szCs w:val="16"/>
                <w:color w:val="auto"/>
              </w:rPr>
              <w:t>46,793</w:t>
            </w:r>
          </w:p>
        </w:tc>
        <w:tc>
          <w:tcPr>
            <w:tcW w:w="1240" w:type="dxa"/>
            <w:vAlign w:val="bottom"/>
          </w:tcPr>
          <w:p>
            <w:pPr>
              <w:jc w:val="right"/>
              <w:spacing w:after="0"/>
              <w:rPr>
                <w:sz w:val="20"/>
                <w:szCs w:val="20"/>
                <w:color w:val="auto"/>
              </w:rPr>
            </w:pPr>
            <w:r>
              <w:rPr>
                <w:rFonts w:ascii="Arial" w:cs="Arial" w:eastAsia="Arial" w:hAnsi="Arial"/>
                <w:sz w:val="16"/>
                <w:szCs w:val="16"/>
                <w:color w:val="auto"/>
              </w:rPr>
              <w:t>90,524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64,828</w:t>
            </w:r>
          </w:p>
        </w:tc>
        <w:tc>
          <w:tcPr>
            <w:tcW w:w="100" w:type="dxa"/>
            <w:vAlign w:val="bottom"/>
          </w:tcPr>
          <w:p>
            <w:pPr>
              <w:spacing w:after="0"/>
              <w:rPr>
                <w:sz w:val="18"/>
                <w:szCs w:val="18"/>
                <w:color w:val="auto"/>
              </w:rPr>
            </w:pPr>
          </w:p>
        </w:tc>
      </w:tr>
      <w:tr>
        <w:trPr>
          <w:trHeight w:val="216"/>
        </w:trPr>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8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2,640</w:t>
            </w:r>
          </w:p>
        </w:tc>
        <w:tc>
          <w:tcPr>
            <w:tcW w:w="220" w:type="dxa"/>
            <w:vAlign w:val="bottom"/>
            <w:shd w:val="clear" w:color="auto" w:fill="E5FFFF"/>
          </w:tcPr>
          <w:p>
            <w:pPr>
              <w:spacing w:after="0"/>
              <w:rPr>
                <w:sz w:val="18"/>
                <w:szCs w:val="18"/>
                <w:color w:val="auto"/>
              </w:rPr>
            </w:pPr>
          </w:p>
        </w:tc>
        <w:tc>
          <w:tcPr>
            <w:tcW w:w="14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26,599</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28,897</w:t>
            </w:r>
          </w:p>
        </w:tc>
        <w:tc>
          <w:tcPr>
            <w:tcW w:w="20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53,588</w:t>
            </w:r>
          </w:p>
        </w:tc>
        <w:tc>
          <w:tcPr>
            <w:tcW w:w="100" w:type="dxa"/>
            <w:vAlign w:val="bottom"/>
            <w:shd w:val="clear" w:color="auto" w:fill="E5FFFF"/>
          </w:tcPr>
          <w:p>
            <w:pPr>
              <w:spacing w:after="0"/>
              <w:rPr>
                <w:sz w:val="18"/>
                <w:szCs w:val="18"/>
                <w:color w:val="auto"/>
              </w:rPr>
            </w:pPr>
          </w:p>
        </w:tc>
      </w:tr>
      <w:tr>
        <w:trPr>
          <w:trHeight w:val="20"/>
        </w:trPr>
        <w:tc>
          <w:tcPr>
            <w:tcW w:w="4400" w:type="dxa"/>
            <w:vAlign w:val="bottom"/>
            <w:shd w:val="clear" w:color="auto" w:fill="E5FFFF"/>
          </w:tcPr>
          <w:p>
            <w:pPr>
              <w:spacing w:after="0" w:line="20" w:lineRule="exact"/>
              <w:rPr>
                <w:sz w:val="1"/>
                <w:szCs w:val="1"/>
                <w:color w:val="auto"/>
              </w:rPr>
            </w:pPr>
          </w:p>
        </w:tc>
        <w:tc>
          <w:tcPr>
            <w:tcW w:w="880" w:type="dxa"/>
            <w:vAlign w:val="bottom"/>
            <w:shd w:val="clear" w:color="auto" w:fill="E5FFFF"/>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1240" w:type="dxa"/>
            <w:vAlign w:val="bottom"/>
            <w:tcBorders>
              <w:right w:val="single" w:sz="8" w:color="E5FFFF"/>
            </w:tcBorders>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r>
      <w:tr>
        <w:trPr>
          <w:trHeight w:val="237"/>
        </w:trPr>
        <w:tc>
          <w:tcPr>
            <w:tcW w:w="4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48,369</w:t>
            </w:r>
          </w:p>
        </w:tc>
        <w:tc>
          <w:tcPr>
            <w:tcW w:w="220" w:type="dxa"/>
            <w:vAlign w:val="bottom"/>
          </w:tcPr>
          <w:p>
            <w:pPr>
              <w:spacing w:after="0"/>
              <w:rPr>
                <w:sz w:val="20"/>
                <w:szCs w:val="20"/>
                <w:color w:val="auto"/>
              </w:rPr>
            </w:pPr>
          </w:p>
        </w:tc>
        <w:tc>
          <w:tcPr>
            <w:tcW w:w="14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73,392</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119,421</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118,416</w:t>
            </w:r>
          </w:p>
        </w:tc>
        <w:tc>
          <w:tcPr>
            <w:tcW w:w="100" w:type="dxa"/>
            <w:vAlign w:val="bottom"/>
          </w:tcPr>
          <w:p>
            <w:pPr>
              <w:spacing w:after="0"/>
              <w:rPr>
                <w:sz w:val="20"/>
                <w:szCs w:val="20"/>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3000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300037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comprehensive income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six months ended June 30, 2022 and 2023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For the three months ended</w:t>
            </w:r>
          </w:p>
        </w:tc>
        <w:tc>
          <w:tcPr>
            <w:tcW w:w="280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For the six months ended</w:t>
            </w:r>
          </w:p>
        </w:tc>
      </w:tr>
      <w:tr>
        <w:trPr>
          <w:trHeight w:val="313"/>
        </w:trPr>
        <w:tc>
          <w:tcPr>
            <w:tcW w:w="44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Notes</w:t>
            </w: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2022</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June 30, 2023</w:t>
            </w:r>
          </w:p>
        </w:tc>
        <w:tc>
          <w:tcPr>
            <w:tcW w:w="14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June 30, 2022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June 30, 2023</w:t>
            </w:r>
          </w:p>
        </w:tc>
      </w:tr>
      <w:tr>
        <w:trPr>
          <w:trHeight w:val="212"/>
        </w:trPr>
        <w:tc>
          <w:tcPr>
            <w:tcW w:w="4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88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48,369</w:t>
            </w:r>
          </w:p>
        </w:tc>
        <w:tc>
          <w:tcPr>
            <w:tcW w:w="22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73,392</w:t>
            </w:r>
          </w:p>
        </w:tc>
        <w:tc>
          <w:tcPr>
            <w:tcW w:w="2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119,421</w:t>
            </w:r>
          </w:p>
        </w:tc>
        <w:tc>
          <w:tcPr>
            <w:tcW w:w="20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118,416</w:t>
            </w:r>
          </w:p>
        </w:tc>
        <w:tc>
          <w:tcPr>
            <w:tcW w:w="100" w:type="dxa"/>
            <w:vAlign w:val="bottom"/>
            <w:tcBorders>
              <w:top w:val="single" w:sz="8" w:color="E5FFFF"/>
            </w:tcBorders>
            <w:shd w:val="clear" w:color="auto" w:fill="E5FFFF"/>
          </w:tcPr>
          <w:p>
            <w:pPr>
              <w:spacing w:after="0"/>
              <w:rPr>
                <w:sz w:val="18"/>
                <w:szCs w:val="18"/>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6"/>
                <w:szCs w:val="16"/>
                <w:b w:val="1"/>
                <w:bCs w:val="1"/>
                <w:color w:val="auto"/>
              </w:rPr>
              <w:t>Other comprehensive income/(loss):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4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w w:val="94"/>
              </w:rPr>
              <w:t>Items that may be reclassified subsequently to profit or loss:</w:t>
            </w:r>
          </w:p>
        </w:tc>
        <w:tc>
          <w:tcPr>
            <w:tcW w:w="8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240" w:type="dxa"/>
            <w:vAlign w:val="bottom"/>
            <w:tcBorders>
              <w:right w:val="single" w:sz="8" w:color="E5FFFF"/>
            </w:tcBorders>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22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2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6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r>
      <w:tr>
        <w:trPr>
          <w:trHeight w:val="193"/>
        </w:trPr>
        <w:tc>
          <w:tcPr>
            <w:tcW w:w="4400" w:type="dxa"/>
            <w:vAlign w:val="bottom"/>
          </w:tcPr>
          <w:p>
            <w:pPr>
              <w:spacing w:after="0"/>
              <w:rPr>
                <w:sz w:val="20"/>
                <w:szCs w:val="20"/>
                <w:color w:val="auto"/>
              </w:rPr>
            </w:pPr>
            <w:r>
              <w:rPr>
                <w:rFonts w:ascii="Arial" w:cs="Arial" w:eastAsia="Arial" w:hAnsi="Arial"/>
                <w:sz w:val="16"/>
                <w:szCs w:val="16"/>
                <w:color w:val="auto"/>
              </w:rPr>
              <w:t>Effective portion of changes in fair value of cash flow hedges,</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400" w:type="dxa"/>
            <w:vAlign w:val="bottom"/>
          </w:tcPr>
          <w:p>
            <w:pPr>
              <w:ind w:left="180"/>
              <w:spacing w:after="0"/>
              <w:rPr>
                <w:sz w:val="20"/>
                <w:szCs w:val="20"/>
                <w:color w:val="auto"/>
              </w:rPr>
            </w:pPr>
            <w:r>
              <w:rPr>
                <w:rFonts w:ascii="Arial" w:cs="Arial" w:eastAsia="Arial" w:hAnsi="Arial"/>
                <w:sz w:val="16"/>
                <w:szCs w:val="16"/>
                <w:color w:val="auto"/>
              </w:rPr>
              <w:t>net of amounts recycled to profit or loss</w:t>
            </w: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11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972</w:t>
            </w:r>
          </w:p>
        </w:tc>
        <w:tc>
          <w:tcPr>
            <w:tcW w:w="2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1,076</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(686)</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(963)</w:t>
            </w:r>
          </w:p>
        </w:tc>
      </w:tr>
      <w:tr>
        <w:trPr>
          <w:trHeight w:val="212"/>
        </w:trPr>
        <w:tc>
          <w:tcPr>
            <w:tcW w:w="4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Other comprehensive income/(loss) for the period</w:t>
            </w:r>
          </w:p>
        </w:tc>
        <w:tc>
          <w:tcPr>
            <w:tcW w:w="88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972</w:t>
            </w:r>
          </w:p>
        </w:tc>
        <w:tc>
          <w:tcPr>
            <w:tcW w:w="22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1,076</w:t>
            </w:r>
          </w:p>
        </w:tc>
        <w:tc>
          <w:tcPr>
            <w:tcW w:w="2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(686</w:t>
            </w:r>
          </w:p>
        </w:tc>
        <w:tc>
          <w:tcPr>
            <w:tcW w:w="200" w:type="dxa"/>
            <w:vAlign w:val="bottom"/>
            <w:tcBorders>
              <w:top w:val="single" w:sz="8" w:color="E5FFFF"/>
            </w:tcBorders>
            <w:shd w:val="clear" w:color="auto" w:fill="E5FFFF"/>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(963</w:t>
            </w:r>
          </w:p>
        </w:tc>
        <w:tc>
          <w:tcPr>
            <w:tcW w:w="100" w:type="dxa"/>
            <w:vAlign w:val="bottom"/>
            <w:tcBorders>
              <w:top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20"/>
        </w:trPr>
        <w:tc>
          <w:tcPr>
            <w:tcW w:w="4400" w:type="dxa"/>
            <w:vAlign w:val="bottom"/>
          </w:tcPr>
          <w:p>
            <w:pPr>
              <w:spacing w:after="0"/>
              <w:rPr>
                <w:sz w:val="20"/>
                <w:szCs w:val="20"/>
                <w:color w:val="auto"/>
              </w:rPr>
            </w:pPr>
            <w:r>
              <w:rPr>
                <w:rFonts w:ascii="Arial" w:cs="Arial" w:eastAsia="Arial" w:hAnsi="Arial"/>
                <w:sz w:val="16"/>
                <w:szCs w:val="16"/>
                <w:b w:val="1"/>
                <w:bCs w:val="1"/>
                <w:color w:val="auto"/>
              </w:rPr>
              <w:t>Total comprehensive income for the period</w:t>
            </w:r>
          </w:p>
        </w:tc>
        <w:tc>
          <w:tcPr>
            <w:tcW w:w="8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49,341</w:t>
            </w:r>
          </w:p>
        </w:tc>
        <w:tc>
          <w:tcPr>
            <w:tcW w:w="2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74,468</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118,735</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117,453</w:t>
            </w:r>
          </w:p>
        </w:tc>
        <w:tc>
          <w:tcPr>
            <w:tcW w:w="100" w:type="dxa"/>
            <w:vAlign w:val="bottom"/>
          </w:tcPr>
          <w:p>
            <w:pPr>
              <w:spacing w:after="0"/>
              <w:rPr>
                <w:sz w:val="19"/>
                <w:szCs w:val="19"/>
                <w:color w:val="auto"/>
              </w:rPr>
            </w:pPr>
          </w:p>
        </w:tc>
      </w:tr>
      <w:tr>
        <w:trPr>
          <w:trHeight w:val="20"/>
        </w:trPr>
        <w:tc>
          <w:tcPr>
            <w:tcW w:w="4400" w:type="dxa"/>
            <w:vAlign w:val="bottom"/>
            <w:tcBorders>
              <w:bottom w:val="single" w:sz="8" w:color="E5FFFF"/>
            </w:tcBorders>
          </w:tcPr>
          <w:p>
            <w:pPr>
              <w:spacing w:after="0" w:line="20" w:lineRule="exact"/>
              <w:rPr>
                <w:sz w:val="1"/>
                <w:szCs w:val="1"/>
                <w:color w:val="auto"/>
              </w:rPr>
            </w:pPr>
          </w:p>
        </w:tc>
        <w:tc>
          <w:tcPr>
            <w:tcW w:w="880" w:type="dxa"/>
            <w:vAlign w:val="bottom"/>
            <w:tcBorders>
              <w:bottom w:val="single" w:sz="8" w:color="E5FFFF"/>
            </w:tcBorders>
          </w:tcPr>
          <w:p>
            <w:pPr>
              <w:spacing w:after="0" w:line="20" w:lineRule="exact"/>
              <w:rPr>
                <w:sz w:val="1"/>
                <w:szCs w:val="1"/>
                <w:color w:val="auto"/>
              </w:rPr>
            </w:pPr>
          </w:p>
        </w:tc>
        <w:tc>
          <w:tcPr>
            <w:tcW w:w="240" w:type="dxa"/>
            <w:vAlign w:val="bottom"/>
            <w:tcBorders>
              <w:bottom w:val="single" w:sz="8" w:color="E5FF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E5FF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r>
      <w:tr>
        <w:trPr>
          <w:trHeight w:val="199"/>
        </w:trPr>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Attributable to:</w:t>
            </w:r>
          </w:p>
        </w:tc>
        <w:tc>
          <w:tcPr>
            <w:tcW w:w="8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40" w:type="dxa"/>
            <w:vAlign w:val="bottom"/>
            <w:tcBorders>
              <w:right w:val="single" w:sz="8" w:color="E5FFFF"/>
            </w:tcBorders>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Owners of the Group</w:t>
            </w: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46,701</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47,869</w:t>
            </w:r>
          </w:p>
        </w:tc>
        <w:tc>
          <w:tcPr>
            <w:tcW w:w="1240" w:type="dxa"/>
            <w:vAlign w:val="bottom"/>
          </w:tcPr>
          <w:p>
            <w:pPr>
              <w:jc w:val="right"/>
              <w:spacing w:after="0"/>
              <w:rPr>
                <w:sz w:val="20"/>
                <w:szCs w:val="20"/>
                <w:color w:val="auto"/>
              </w:rPr>
            </w:pPr>
            <w:r>
              <w:rPr>
                <w:rFonts w:ascii="Arial" w:cs="Arial" w:eastAsia="Arial" w:hAnsi="Arial"/>
                <w:sz w:val="16"/>
                <w:szCs w:val="16"/>
                <w:color w:val="auto"/>
              </w:rPr>
              <w:t>89,838</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63,865</w:t>
            </w:r>
          </w:p>
        </w:tc>
        <w:tc>
          <w:tcPr>
            <w:tcW w:w="100" w:type="dxa"/>
            <w:vAlign w:val="bottom"/>
          </w:tcPr>
          <w:p>
            <w:pPr>
              <w:spacing w:after="0"/>
              <w:rPr>
                <w:sz w:val="18"/>
                <w:szCs w:val="18"/>
                <w:color w:val="auto"/>
              </w:rPr>
            </w:pPr>
          </w:p>
        </w:tc>
      </w:tr>
      <w:tr>
        <w:trPr>
          <w:trHeight w:val="229"/>
        </w:trPr>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8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2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2,640</w:t>
            </w:r>
          </w:p>
        </w:tc>
        <w:tc>
          <w:tcPr>
            <w:tcW w:w="220" w:type="dxa"/>
            <w:vAlign w:val="bottom"/>
            <w:shd w:val="clear" w:color="auto" w:fill="E5FFFF"/>
          </w:tcPr>
          <w:p>
            <w:pPr>
              <w:spacing w:after="0"/>
              <w:rPr>
                <w:sz w:val="19"/>
                <w:szCs w:val="19"/>
                <w:color w:val="auto"/>
              </w:rPr>
            </w:pP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26,599</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28,897</w:t>
            </w:r>
          </w:p>
        </w:tc>
        <w:tc>
          <w:tcPr>
            <w:tcW w:w="200" w:type="dxa"/>
            <w:vAlign w:val="bottom"/>
            <w:shd w:val="clear" w:color="auto" w:fill="E5FFFF"/>
          </w:tcPr>
          <w:p>
            <w:pPr>
              <w:spacing w:after="0"/>
              <w:rPr>
                <w:sz w:val="19"/>
                <w:szCs w:val="19"/>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53,588</w:t>
            </w:r>
          </w:p>
        </w:tc>
        <w:tc>
          <w:tcPr>
            <w:tcW w:w="100" w:type="dxa"/>
            <w:vAlign w:val="bottom"/>
            <w:shd w:val="clear" w:color="auto" w:fill="E5FFFF"/>
          </w:tcPr>
          <w:p>
            <w:pPr>
              <w:spacing w:after="0"/>
              <w:rPr>
                <w:sz w:val="19"/>
                <w:szCs w:val="19"/>
                <w:color w:val="auto"/>
              </w:rPr>
            </w:pPr>
          </w:p>
        </w:tc>
      </w:tr>
      <w:tr>
        <w:trPr>
          <w:trHeight w:val="20"/>
        </w:trPr>
        <w:tc>
          <w:tcPr>
            <w:tcW w:w="4400" w:type="dxa"/>
            <w:vAlign w:val="bottom"/>
            <w:shd w:val="clear" w:color="auto" w:fill="E5FFFF"/>
          </w:tcPr>
          <w:p>
            <w:pPr>
              <w:spacing w:after="0" w:line="20" w:lineRule="exact"/>
              <w:rPr>
                <w:sz w:val="1"/>
                <w:szCs w:val="1"/>
                <w:color w:val="auto"/>
              </w:rPr>
            </w:pPr>
          </w:p>
        </w:tc>
        <w:tc>
          <w:tcPr>
            <w:tcW w:w="880" w:type="dxa"/>
            <w:vAlign w:val="bottom"/>
            <w:shd w:val="clear" w:color="auto" w:fill="E5FFFF"/>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1240" w:type="dxa"/>
            <w:vAlign w:val="bottom"/>
            <w:tcBorders>
              <w:right w:val="single" w:sz="8" w:color="E5FFFF"/>
            </w:tcBorders>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r>
      <w:tr>
        <w:trPr>
          <w:trHeight w:val="223"/>
        </w:trPr>
        <w:tc>
          <w:tcPr>
            <w:tcW w:w="4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49,341</w:t>
            </w:r>
          </w:p>
        </w:tc>
        <w:tc>
          <w:tcPr>
            <w:tcW w:w="2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74,468</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118,735</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117,453</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1937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93738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changes in equity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2022 and 2023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(Accumulated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380" w:type="dxa"/>
            <w:vAlign w:val="bottom"/>
          </w:tcPr>
          <w:p>
            <w:pPr>
              <w:spacing w:after="0"/>
              <w:rPr>
                <w:sz w:val="11"/>
                <w:szCs w:val="11"/>
                <w:color w:val="auto"/>
              </w:rPr>
            </w:pPr>
          </w:p>
        </w:tc>
        <w:tc>
          <w:tcPr>
            <w:tcW w:w="68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88"/>
              </w:rPr>
              <w:t>Share</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83"/>
              </w:rPr>
              <w:t>Preference</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deficit)/</w:t>
            </w: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Attributable</w:t>
            </w: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Non -</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68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87"/>
              </w:rPr>
              <w:t>capital</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1"/>
              </w:rPr>
              <w:t>shares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Contributed</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Retained</w:t>
            </w: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to owners of</w:t>
            </w: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380" w:type="dxa"/>
            <w:vAlign w:val="bottom"/>
          </w:tcPr>
          <w:p>
            <w:pPr>
              <w:spacing w:after="0"/>
              <w:rPr>
                <w:sz w:val="13"/>
                <w:szCs w:val="13"/>
                <w:color w:val="auto"/>
              </w:rPr>
            </w:pPr>
          </w:p>
        </w:tc>
        <w:tc>
          <w:tcPr>
            <w:tcW w:w="680" w:type="dxa"/>
            <w:vAlign w:val="bottom"/>
            <w:tcBorders>
              <w:bottom w:val="single" w:sz="8" w:color="auto"/>
            </w:tcBorders>
          </w:tcPr>
          <w:p>
            <w:pPr>
              <w:jc w:val="center"/>
              <w:ind w:left="137"/>
              <w:spacing w:after="0"/>
              <w:rPr>
                <w:sz w:val="20"/>
                <w:szCs w:val="20"/>
                <w:color w:val="auto"/>
              </w:rPr>
            </w:pPr>
            <w:r>
              <w:rPr>
                <w:rFonts w:ascii="Arial" w:cs="Arial" w:eastAsia="Arial" w:hAnsi="Arial"/>
                <w:sz w:val="13"/>
                <w:szCs w:val="13"/>
                <w:b w:val="1"/>
                <w:bCs w:val="1"/>
                <w:color w:val="auto"/>
                <w:w w:val="90"/>
              </w:rPr>
              <w:t>(Note 9)</w:t>
            </w: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b w:val="1"/>
                <w:bCs w:val="1"/>
                <w:color w:val="auto"/>
                <w:w w:val="90"/>
              </w:rPr>
              <w:t>(Note 9)</w:t>
            </w:r>
          </w:p>
        </w:tc>
        <w:tc>
          <w:tcPr>
            <w:tcW w:w="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surplus</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Reserves</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earnings</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Group</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interests</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r>
      <w:tr>
        <w:trPr>
          <w:trHeight w:val="128"/>
        </w:trPr>
        <w:tc>
          <w:tcPr>
            <w:tcW w:w="2380" w:type="dxa"/>
            <w:vAlign w:val="bottom"/>
            <w:shd w:val="clear" w:color="auto" w:fill="E5FFFF"/>
          </w:tcPr>
          <w:p>
            <w:pPr>
              <w:spacing w:after="0" w:line="129" w:lineRule="exact"/>
              <w:rPr>
                <w:sz w:val="20"/>
                <w:szCs w:val="20"/>
                <w:color w:val="auto"/>
              </w:rPr>
            </w:pPr>
            <w:r>
              <w:rPr>
                <w:rFonts w:ascii="Arial" w:cs="Arial" w:eastAsia="Arial" w:hAnsi="Arial"/>
                <w:sz w:val="13"/>
                <w:szCs w:val="13"/>
                <w:b w:val="1"/>
                <w:bCs w:val="1"/>
                <w:color w:val="auto"/>
              </w:rPr>
              <w:t>Balance as of December 31, 2021</w:t>
            </w:r>
          </w:p>
        </w:tc>
        <w:tc>
          <w:tcPr>
            <w:tcW w:w="680" w:type="dxa"/>
            <w:vAlign w:val="bottom"/>
            <w:shd w:val="clear" w:color="auto" w:fill="E5FFFF"/>
          </w:tcPr>
          <w:p>
            <w:pPr>
              <w:spacing w:after="0"/>
              <w:rPr>
                <w:sz w:val="11"/>
                <w:szCs w:val="11"/>
                <w:color w:val="auto"/>
              </w:rPr>
            </w:pPr>
          </w:p>
        </w:tc>
        <w:tc>
          <w:tcPr>
            <w:tcW w:w="220" w:type="dxa"/>
            <w:vAlign w:val="bottom"/>
            <w:tcBorders>
              <w:right w:val="single" w:sz="8" w:color="E5FFFF"/>
            </w:tcBorders>
            <w:shd w:val="clear" w:color="auto" w:fill="E5FFFF"/>
          </w:tcPr>
          <w:p>
            <w:pPr>
              <w:jc w:val="right"/>
              <w:spacing w:after="0" w:line="129" w:lineRule="exact"/>
              <w:rPr>
                <w:sz w:val="20"/>
                <w:szCs w:val="20"/>
                <w:color w:val="auto"/>
              </w:rPr>
            </w:pPr>
            <w:r>
              <w:rPr>
                <w:rFonts w:ascii="Arial" w:cs="Arial" w:eastAsia="Arial" w:hAnsi="Arial"/>
                <w:sz w:val="13"/>
                <w:szCs w:val="13"/>
                <w:b w:val="1"/>
                <w:bCs w:val="1"/>
                <w:color w:val="auto"/>
                <w:w w:val="82"/>
              </w:rPr>
              <w:t>954</w:t>
            </w:r>
          </w:p>
        </w:tc>
        <w:tc>
          <w:tcPr>
            <w:tcW w:w="22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160" w:type="dxa"/>
            <w:vAlign w:val="bottom"/>
            <w:shd w:val="clear" w:color="auto" w:fill="E5FFFF"/>
          </w:tcPr>
          <w:p>
            <w:pPr>
              <w:jc w:val="right"/>
              <w:spacing w:after="0" w:line="129" w:lineRule="exact"/>
              <w:rPr>
                <w:sz w:val="20"/>
                <w:szCs w:val="20"/>
                <w:color w:val="auto"/>
              </w:rPr>
            </w:pPr>
            <w:r>
              <w:rPr>
                <w:rFonts w:ascii="Arial" w:cs="Arial" w:eastAsia="Arial" w:hAnsi="Arial"/>
                <w:sz w:val="13"/>
                <w:szCs w:val="13"/>
                <w:b w:val="1"/>
                <w:bCs w:val="1"/>
                <w:color w:val="auto"/>
                <w:w w:val="82"/>
              </w:rPr>
              <w:t>46</w:t>
            </w:r>
          </w:p>
        </w:tc>
        <w:tc>
          <w:tcPr>
            <w:tcW w:w="220" w:type="dxa"/>
            <w:vAlign w:val="bottom"/>
            <w:shd w:val="clear" w:color="auto" w:fill="E5FFFF"/>
          </w:tcPr>
          <w:p>
            <w:pPr>
              <w:spacing w:after="0"/>
              <w:rPr>
                <w:sz w:val="11"/>
                <w:szCs w:val="11"/>
                <w:color w:val="auto"/>
              </w:rPr>
            </w:pPr>
          </w:p>
        </w:tc>
        <w:tc>
          <w:tcPr>
            <w:tcW w:w="900" w:type="dxa"/>
            <w:vAlign w:val="bottom"/>
            <w:shd w:val="clear" w:color="auto" w:fill="E5FFFF"/>
          </w:tcPr>
          <w:p>
            <w:pPr>
              <w:jc w:val="right"/>
              <w:spacing w:after="0" w:line="129" w:lineRule="exact"/>
              <w:rPr>
                <w:sz w:val="20"/>
                <w:szCs w:val="20"/>
                <w:color w:val="auto"/>
              </w:rPr>
            </w:pPr>
            <w:r>
              <w:rPr>
                <w:rFonts w:ascii="Arial" w:cs="Arial" w:eastAsia="Arial" w:hAnsi="Arial"/>
                <w:sz w:val="13"/>
                <w:szCs w:val="13"/>
                <w:b w:val="1"/>
                <w:bCs w:val="1"/>
                <w:color w:val="auto"/>
              </w:rPr>
              <w:t>692,536</w:t>
            </w:r>
          </w:p>
        </w:tc>
        <w:tc>
          <w:tcPr>
            <w:tcW w:w="220" w:type="dxa"/>
            <w:vAlign w:val="bottom"/>
            <w:shd w:val="clear" w:color="auto" w:fill="E5FFFF"/>
          </w:tcPr>
          <w:p>
            <w:pPr>
              <w:spacing w:after="0"/>
              <w:rPr>
                <w:sz w:val="11"/>
                <w:szCs w:val="11"/>
                <w:color w:val="auto"/>
              </w:rPr>
            </w:pPr>
          </w:p>
        </w:tc>
        <w:tc>
          <w:tcPr>
            <w:tcW w:w="900" w:type="dxa"/>
            <w:vAlign w:val="bottom"/>
            <w:shd w:val="clear" w:color="auto" w:fill="E5FFFF"/>
          </w:tcPr>
          <w:p>
            <w:pPr>
              <w:jc w:val="right"/>
              <w:spacing w:after="0" w:line="129" w:lineRule="exact"/>
              <w:rPr>
                <w:sz w:val="20"/>
                <w:szCs w:val="20"/>
                <w:color w:val="auto"/>
              </w:rPr>
            </w:pPr>
            <w:r>
              <w:rPr>
                <w:rFonts w:ascii="Arial" w:cs="Arial" w:eastAsia="Arial" w:hAnsi="Arial"/>
                <w:sz w:val="13"/>
                <w:szCs w:val="13"/>
                <w:b w:val="1"/>
                <w:bCs w:val="1"/>
                <w:color w:val="auto"/>
              </w:rPr>
              <w:t>15,322</w:t>
            </w:r>
          </w:p>
        </w:tc>
        <w:tc>
          <w:tcPr>
            <w:tcW w:w="220" w:type="dxa"/>
            <w:vAlign w:val="bottom"/>
            <w:shd w:val="clear" w:color="auto" w:fill="E5FFFF"/>
          </w:tcPr>
          <w:p>
            <w:pPr>
              <w:spacing w:after="0"/>
              <w:rPr>
                <w:sz w:val="11"/>
                <w:szCs w:val="11"/>
                <w:color w:val="auto"/>
              </w:rPr>
            </w:pPr>
          </w:p>
        </w:tc>
        <w:tc>
          <w:tcPr>
            <w:tcW w:w="1120" w:type="dxa"/>
            <w:vAlign w:val="bottom"/>
            <w:gridSpan w:val="2"/>
            <w:shd w:val="clear" w:color="auto" w:fill="E5FFFF"/>
          </w:tcPr>
          <w:p>
            <w:pPr>
              <w:jc w:val="right"/>
              <w:ind w:right="180"/>
              <w:spacing w:after="0" w:line="129" w:lineRule="exact"/>
              <w:rPr>
                <w:sz w:val="20"/>
                <w:szCs w:val="20"/>
                <w:color w:val="auto"/>
              </w:rPr>
            </w:pPr>
            <w:r>
              <w:rPr>
                <w:rFonts w:ascii="Arial" w:cs="Arial" w:eastAsia="Arial" w:hAnsi="Arial"/>
                <w:sz w:val="13"/>
                <w:szCs w:val="13"/>
                <w:b w:val="1"/>
                <w:bCs w:val="1"/>
                <w:color w:val="auto"/>
              </w:rPr>
              <w:t>(65,117)</w:t>
            </w:r>
          </w:p>
        </w:tc>
        <w:tc>
          <w:tcPr>
            <w:tcW w:w="1120" w:type="dxa"/>
            <w:vAlign w:val="bottom"/>
            <w:gridSpan w:val="2"/>
            <w:shd w:val="clear" w:color="auto" w:fill="E5FFFF"/>
          </w:tcPr>
          <w:p>
            <w:pPr>
              <w:jc w:val="right"/>
              <w:ind w:right="220"/>
              <w:spacing w:after="0" w:line="129" w:lineRule="exact"/>
              <w:rPr>
                <w:sz w:val="20"/>
                <w:szCs w:val="20"/>
                <w:color w:val="auto"/>
              </w:rPr>
            </w:pPr>
            <w:r>
              <w:rPr>
                <w:rFonts w:ascii="Arial" w:cs="Arial" w:eastAsia="Arial" w:hAnsi="Arial"/>
                <w:sz w:val="13"/>
                <w:szCs w:val="13"/>
                <w:b w:val="1"/>
                <w:bCs w:val="1"/>
                <w:color w:val="auto"/>
              </w:rPr>
              <w:t>643,741</w:t>
            </w:r>
          </w:p>
        </w:tc>
        <w:tc>
          <w:tcPr>
            <w:tcW w:w="1120" w:type="dxa"/>
            <w:vAlign w:val="bottom"/>
            <w:gridSpan w:val="2"/>
            <w:shd w:val="clear" w:color="auto" w:fill="E5FFFF"/>
          </w:tcPr>
          <w:p>
            <w:pPr>
              <w:jc w:val="right"/>
              <w:ind w:right="220"/>
              <w:spacing w:after="0" w:line="129" w:lineRule="exact"/>
              <w:rPr>
                <w:sz w:val="20"/>
                <w:szCs w:val="20"/>
                <w:color w:val="auto"/>
              </w:rPr>
            </w:pPr>
            <w:r>
              <w:rPr>
                <w:rFonts w:ascii="Arial" w:cs="Arial" w:eastAsia="Arial" w:hAnsi="Arial"/>
                <w:sz w:val="13"/>
                <w:szCs w:val="13"/>
                <w:b w:val="1"/>
                <w:bCs w:val="1"/>
                <w:color w:val="auto"/>
              </w:rPr>
              <w:t>924,630</w:t>
            </w:r>
          </w:p>
        </w:tc>
        <w:tc>
          <w:tcPr>
            <w:tcW w:w="920" w:type="dxa"/>
            <w:vAlign w:val="bottom"/>
            <w:shd w:val="clear" w:color="auto" w:fill="E5FFFF"/>
          </w:tcPr>
          <w:p>
            <w:pPr>
              <w:jc w:val="right"/>
              <w:spacing w:after="0" w:line="129" w:lineRule="exact"/>
              <w:rPr>
                <w:sz w:val="20"/>
                <w:szCs w:val="20"/>
                <w:color w:val="auto"/>
              </w:rPr>
            </w:pPr>
            <w:r>
              <w:rPr>
                <w:rFonts w:ascii="Arial" w:cs="Arial" w:eastAsia="Arial" w:hAnsi="Arial"/>
                <w:sz w:val="13"/>
                <w:szCs w:val="13"/>
                <w:b w:val="1"/>
                <w:bCs w:val="1"/>
                <w:color w:val="auto"/>
              </w:rPr>
              <w:t>1,568,371</w:t>
            </w:r>
          </w:p>
        </w:tc>
        <w:tc>
          <w:tcPr>
            <w:tcW w:w="100" w:type="dxa"/>
            <w:vAlign w:val="bottom"/>
            <w:shd w:val="clear" w:color="auto" w:fill="E5FFFF"/>
          </w:tcPr>
          <w:p>
            <w:pPr>
              <w:spacing w:after="0"/>
              <w:rPr>
                <w:sz w:val="11"/>
                <w:szCs w:val="11"/>
                <w:color w:val="auto"/>
              </w:rPr>
            </w:pPr>
          </w:p>
        </w:tc>
      </w:tr>
      <w:tr>
        <w:trPr>
          <w:trHeight w:val="114"/>
        </w:trPr>
        <w:tc>
          <w:tcPr>
            <w:tcW w:w="2380" w:type="dxa"/>
            <w:vAlign w:val="bottom"/>
            <w:tcBorders>
              <w:top w:val="single" w:sz="8" w:color="E5FFFF"/>
            </w:tcBorders>
          </w:tcPr>
          <w:p>
            <w:pPr>
              <w:spacing w:after="0" w:line="114" w:lineRule="exact"/>
              <w:rPr>
                <w:sz w:val="20"/>
                <w:szCs w:val="20"/>
                <w:color w:val="auto"/>
              </w:rPr>
            </w:pPr>
            <w:r>
              <w:rPr>
                <w:rFonts w:ascii="Arial" w:cs="Arial" w:eastAsia="Arial" w:hAnsi="Arial"/>
                <w:sz w:val="13"/>
                <w:szCs w:val="13"/>
                <w:color w:val="auto"/>
                <w:w w:val="90"/>
              </w:rPr>
              <w:t>Repurchases of GasLog Partners' preference</w:t>
            </w: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20" w:type="dxa"/>
            <w:vAlign w:val="bottom"/>
            <w:tcBorders>
              <w:top w:val="single" w:sz="8" w:color="E5FFFF"/>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E5FFFF"/>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Borders>
              <w:top w:val="single" w:sz="8" w:color="E5FFFF"/>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Borders>
              <w:top w:val="single" w:sz="8" w:color="E5FFFF"/>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Borders>
              <w:top w:val="single" w:sz="8" w:color="E5FFFF"/>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Borders>
              <w:top w:val="single" w:sz="8" w:color="E5FFFF"/>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Borders>
              <w:top w:val="single" w:sz="8" w:color="E5FFFF"/>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E5FFFF"/>
            </w:tcBorders>
          </w:tcPr>
          <w:p>
            <w:pPr>
              <w:spacing w:after="0"/>
              <w:rPr>
                <w:sz w:val="9"/>
                <w:szCs w:val="9"/>
                <w:color w:val="auto"/>
              </w:rPr>
            </w:pPr>
          </w:p>
        </w:tc>
      </w:tr>
      <w:tr>
        <w:trPr>
          <w:trHeight w:val="149"/>
        </w:trPr>
        <w:tc>
          <w:tcPr>
            <w:tcW w:w="3060" w:type="dxa"/>
            <w:vAlign w:val="bottom"/>
            <w:gridSpan w:val="2"/>
          </w:tcPr>
          <w:p>
            <w:pPr>
              <w:spacing w:after="0"/>
              <w:rPr>
                <w:sz w:val="20"/>
                <w:szCs w:val="20"/>
                <w:color w:val="auto"/>
              </w:rPr>
            </w:pPr>
            <w:r>
              <w:rPr>
                <w:rFonts w:ascii="Arial" w:cs="Arial" w:eastAsia="Arial" w:hAnsi="Arial"/>
                <w:sz w:val="13"/>
                <w:szCs w:val="13"/>
                <w:color w:val="auto"/>
              </w:rPr>
              <w:t>units</w:t>
            </w:r>
          </w:p>
        </w:tc>
        <w:tc>
          <w:tcPr>
            <w:tcW w:w="1180" w:type="dxa"/>
            <w:vAlign w:val="bottom"/>
            <w:gridSpan w:val="3"/>
          </w:tcPr>
          <w:p>
            <w:pPr>
              <w:jc w:val="right"/>
              <w:ind w:right="91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(18,740)</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(18,740)</w:t>
            </w:r>
          </w:p>
        </w:tc>
      </w:tr>
      <w:tr>
        <w:trPr>
          <w:trHeight w:val="121"/>
        </w:trPr>
        <w:tc>
          <w:tcPr>
            <w:tcW w:w="3060" w:type="dxa"/>
            <w:vAlign w:val="bottom"/>
            <w:gridSpan w:val="2"/>
            <w:shd w:val="clear" w:color="auto" w:fill="E5FFFF"/>
          </w:tcPr>
          <w:p>
            <w:pPr>
              <w:spacing w:after="0" w:line="121" w:lineRule="exact"/>
              <w:rPr>
                <w:sz w:val="20"/>
                <w:szCs w:val="20"/>
                <w:color w:val="auto"/>
              </w:rPr>
            </w:pPr>
            <w:r>
              <w:rPr>
                <w:rFonts w:ascii="Arial" w:cs="Arial" w:eastAsia="Arial" w:hAnsi="Arial"/>
                <w:sz w:val="13"/>
                <w:szCs w:val="13"/>
                <w:color w:val="auto"/>
              </w:rPr>
              <w:t>Dividend declared (common and preference</w:t>
            </w:r>
          </w:p>
        </w:tc>
        <w:tc>
          <w:tcPr>
            <w:tcW w:w="220" w:type="dxa"/>
            <w:vAlign w:val="bottom"/>
            <w:tcBorders>
              <w:right w:val="single" w:sz="8" w:color="E5FFFF"/>
            </w:tcBorders>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74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90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90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90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90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90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9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r>
      <w:tr>
        <w:trPr>
          <w:trHeight w:val="149"/>
        </w:trPr>
        <w:tc>
          <w:tcPr>
            <w:tcW w:w="3060" w:type="dxa"/>
            <w:vAlign w:val="bottom"/>
            <w:gridSpan w:val="2"/>
            <w:shd w:val="clear" w:color="auto" w:fill="E5FFFF"/>
          </w:tcPr>
          <w:p>
            <w:pPr>
              <w:spacing w:after="0"/>
              <w:rPr>
                <w:sz w:val="20"/>
                <w:szCs w:val="20"/>
                <w:color w:val="auto"/>
              </w:rPr>
            </w:pPr>
            <w:r>
              <w:rPr>
                <w:rFonts w:ascii="Arial" w:cs="Arial" w:eastAsia="Arial" w:hAnsi="Arial"/>
                <w:sz w:val="13"/>
                <w:szCs w:val="13"/>
                <w:color w:val="auto"/>
              </w:rPr>
              <w:t>shares)</w:t>
            </w:r>
          </w:p>
        </w:tc>
        <w:tc>
          <w:tcPr>
            <w:tcW w:w="1180" w:type="dxa"/>
            <w:vAlign w:val="bottom"/>
            <w:gridSpan w:val="3"/>
            <w:shd w:val="clear" w:color="auto" w:fill="E5FFFF"/>
          </w:tcPr>
          <w:p>
            <w:pPr>
              <w:jc w:val="right"/>
              <w:ind w:right="917"/>
              <w:spacing w:after="0"/>
              <w:rPr>
                <w:sz w:val="20"/>
                <w:szCs w:val="20"/>
                <w:color w:val="auto"/>
              </w:rPr>
            </w:pPr>
            <w:r>
              <w:rPr>
                <w:rFonts w:ascii="Arial" w:cs="Arial" w:eastAsia="Arial" w:hAnsi="Arial"/>
                <w:sz w:val="13"/>
                <w:szCs w:val="13"/>
                <w:color w:val="auto"/>
              </w:rPr>
              <w:t>—</w:t>
            </w:r>
          </w:p>
        </w:tc>
        <w:tc>
          <w:tcPr>
            <w:tcW w:w="160" w:type="dxa"/>
            <w:vAlign w:val="bottom"/>
            <w:shd w:val="clear" w:color="auto" w:fill="E5FFFF"/>
          </w:tcPr>
          <w:p>
            <w:pPr>
              <w:jc w:val="right"/>
              <w:spacing w:after="0"/>
              <w:rPr>
                <w:sz w:val="20"/>
                <w:szCs w:val="20"/>
                <w:color w:val="auto"/>
              </w:rPr>
            </w:pPr>
            <w:r>
              <w:rPr>
                <w:rFonts w:ascii="Arial" w:cs="Arial" w:eastAsia="Arial" w:hAnsi="Arial"/>
                <w:sz w:val="13"/>
                <w:szCs w:val="13"/>
                <w:color w:val="auto"/>
                <w:w w:val="91"/>
              </w:rPr>
              <w:t>—</w:t>
            </w:r>
          </w:p>
        </w:tc>
        <w:tc>
          <w:tcPr>
            <w:tcW w:w="1340" w:type="dxa"/>
            <w:vAlign w:val="bottom"/>
            <w:gridSpan w:val="3"/>
            <w:shd w:val="clear" w:color="auto" w:fill="E5FFFF"/>
          </w:tcPr>
          <w:p>
            <w:pPr>
              <w:jc w:val="right"/>
              <w:ind w:right="180"/>
              <w:spacing w:after="0"/>
              <w:rPr>
                <w:sz w:val="20"/>
                <w:szCs w:val="20"/>
                <w:color w:val="auto"/>
              </w:rPr>
            </w:pPr>
            <w:r>
              <w:rPr>
                <w:rFonts w:ascii="Arial" w:cs="Arial" w:eastAsia="Arial" w:hAnsi="Arial"/>
                <w:sz w:val="13"/>
                <w:szCs w:val="13"/>
                <w:color w:val="auto"/>
              </w:rPr>
              <w:t>(33,648)</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E5FFFF"/>
          </w:tcPr>
          <w:p>
            <w:pPr>
              <w:jc w:val="right"/>
              <w:ind w:right="180"/>
              <w:spacing w:after="0"/>
              <w:rPr>
                <w:sz w:val="20"/>
                <w:szCs w:val="20"/>
                <w:color w:val="auto"/>
              </w:rPr>
            </w:pPr>
            <w:r>
              <w:rPr>
                <w:rFonts w:ascii="Arial" w:cs="Arial" w:eastAsia="Arial" w:hAnsi="Arial"/>
                <w:sz w:val="13"/>
                <w:szCs w:val="13"/>
                <w:color w:val="auto"/>
              </w:rPr>
              <w:t>(33,648)</w:t>
            </w:r>
          </w:p>
        </w:tc>
        <w:tc>
          <w:tcPr>
            <w:tcW w:w="1120" w:type="dxa"/>
            <w:vAlign w:val="bottom"/>
            <w:gridSpan w:val="2"/>
            <w:shd w:val="clear" w:color="auto" w:fill="E5FFFF"/>
          </w:tcPr>
          <w:p>
            <w:pPr>
              <w:jc w:val="right"/>
              <w:ind w:right="180"/>
              <w:spacing w:after="0"/>
              <w:rPr>
                <w:sz w:val="20"/>
                <w:szCs w:val="20"/>
                <w:color w:val="auto"/>
              </w:rPr>
            </w:pPr>
            <w:r>
              <w:rPr>
                <w:rFonts w:ascii="Arial" w:cs="Arial" w:eastAsia="Arial" w:hAnsi="Arial"/>
                <w:sz w:val="13"/>
                <w:szCs w:val="13"/>
                <w:color w:val="auto"/>
              </w:rPr>
              <w:t>(14,729)</w:t>
            </w:r>
          </w:p>
        </w:tc>
        <w:tc>
          <w:tcPr>
            <w:tcW w:w="1020" w:type="dxa"/>
            <w:vAlign w:val="bottom"/>
            <w:gridSpan w:val="2"/>
            <w:shd w:val="clear" w:color="auto" w:fill="E5FFFF"/>
          </w:tcPr>
          <w:p>
            <w:pPr>
              <w:jc w:val="right"/>
              <w:ind w:right="80"/>
              <w:spacing w:after="0"/>
              <w:rPr>
                <w:sz w:val="20"/>
                <w:szCs w:val="20"/>
                <w:color w:val="auto"/>
              </w:rPr>
            </w:pPr>
            <w:r>
              <w:rPr>
                <w:rFonts w:ascii="Arial" w:cs="Arial" w:eastAsia="Arial" w:hAnsi="Arial"/>
                <w:sz w:val="13"/>
                <w:szCs w:val="13"/>
                <w:color w:val="auto"/>
              </w:rPr>
              <w:t>(48,377)</w:t>
            </w:r>
          </w:p>
        </w:tc>
      </w:tr>
      <w:tr>
        <w:trPr>
          <w:trHeight w:val="121"/>
        </w:trPr>
        <w:tc>
          <w:tcPr>
            <w:tcW w:w="3060" w:type="dxa"/>
            <w:vAlign w:val="bottom"/>
            <w:gridSpan w:val="2"/>
          </w:tcPr>
          <w:p>
            <w:pPr>
              <w:spacing w:after="0" w:line="121" w:lineRule="exact"/>
              <w:rPr>
                <w:sz w:val="20"/>
                <w:szCs w:val="20"/>
                <w:color w:val="auto"/>
              </w:rPr>
            </w:pPr>
            <w:r>
              <w:rPr>
                <w:rFonts w:ascii="Arial" w:cs="Arial" w:eastAsia="Arial" w:hAnsi="Arial"/>
                <w:sz w:val="13"/>
                <w:szCs w:val="13"/>
                <w:color w:val="auto"/>
              </w:rPr>
              <w:t>Share-based compensation, net of accrued</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060" w:type="dxa"/>
            <w:vAlign w:val="bottom"/>
            <w:gridSpan w:val="2"/>
          </w:tcPr>
          <w:p>
            <w:pPr>
              <w:spacing w:after="0"/>
              <w:rPr>
                <w:sz w:val="20"/>
                <w:szCs w:val="20"/>
                <w:color w:val="auto"/>
              </w:rPr>
            </w:pPr>
            <w:r>
              <w:rPr>
                <w:rFonts w:ascii="Arial" w:cs="Arial" w:eastAsia="Arial" w:hAnsi="Arial"/>
                <w:sz w:val="13"/>
                <w:szCs w:val="13"/>
                <w:color w:val="auto"/>
              </w:rPr>
              <w:t>dividend</w:t>
            </w:r>
          </w:p>
        </w:tc>
        <w:tc>
          <w:tcPr>
            <w:tcW w:w="1180" w:type="dxa"/>
            <w:vAlign w:val="bottom"/>
            <w:gridSpan w:val="3"/>
          </w:tcPr>
          <w:p>
            <w:pPr>
              <w:jc w:val="right"/>
              <w:ind w:right="91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468</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468</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12"/>
                <w:szCs w:val="12"/>
                <w:color w:val="auto"/>
              </w:rPr>
            </w:pPr>
          </w:p>
        </w:tc>
      </w:tr>
      <w:tr>
        <w:trPr>
          <w:trHeight w:val="135"/>
        </w:trPr>
        <w:tc>
          <w:tcPr>
            <w:tcW w:w="3060" w:type="dxa"/>
            <w:vAlign w:val="bottom"/>
            <w:gridSpan w:val="2"/>
            <w:shd w:val="clear" w:color="auto" w:fill="E5FFFF"/>
          </w:tcPr>
          <w:p>
            <w:pPr>
              <w:spacing w:after="0" w:line="135" w:lineRule="exact"/>
              <w:rPr>
                <w:sz w:val="20"/>
                <w:szCs w:val="20"/>
                <w:color w:val="auto"/>
              </w:rPr>
            </w:pPr>
            <w:r>
              <w:rPr>
                <w:rFonts w:ascii="Arial" w:cs="Arial" w:eastAsia="Arial" w:hAnsi="Arial"/>
                <w:sz w:val="13"/>
                <w:szCs w:val="13"/>
                <w:color w:val="auto"/>
              </w:rPr>
              <w:t>Profit for the period</w:t>
            </w:r>
          </w:p>
        </w:tc>
        <w:tc>
          <w:tcPr>
            <w:tcW w:w="1180" w:type="dxa"/>
            <w:vAlign w:val="bottom"/>
            <w:gridSpan w:val="3"/>
            <w:shd w:val="clear" w:color="auto" w:fill="E5FFFF"/>
          </w:tcPr>
          <w:p>
            <w:pPr>
              <w:jc w:val="right"/>
              <w:ind w:right="91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E5FFFF"/>
          </w:tcPr>
          <w:p>
            <w:pPr>
              <w:jc w:val="right"/>
              <w:spacing w:after="0" w:line="135"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E5FFFF"/>
          </w:tcPr>
          <w:p>
            <w:pPr>
              <w:spacing w:after="0"/>
              <w:rPr>
                <w:sz w:val="11"/>
                <w:szCs w:val="11"/>
                <w:color w:val="auto"/>
              </w:rPr>
            </w:pPr>
          </w:p>
        </w:tc>
        <w:tc>
          <w:tcPr>
            <w:tcW w:w="1120" w:type="dxa"/>
            <w:vAlign w:val="bottom"/>
            <w:gridSpan w:val="2"/>
            <w:shd w:val="clear" w:color="auto" w:fill="E5FF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E5FF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E5FFFF"/>
          </w:tcPr>
          <w:p>
            <w:pPr>
              <w:jc w:val="right"/>
              <w:ind w:right="220"/>
              <w:spacing w:after="0" w:line="135" w:lineRule="exact"/>
              <w:rPr>
                <w:sz w:val="20"/>
                <w:szCs w:val="20"/>
                <w:color w:val="auto"/>
              </w:rPr>
            </w:pPr>
            <w:r>
              <w:rPr>
                <w:rFonts w:ascii="Arial" w:cs="Arial" w:eastAsia="Arial" w:hAnsi="Arial"/>
                <w:sz w:val="13"/>
                <w:szCs w:val="13"/>
                <w:color w:val="auto"/>
              </w:rPr>
              <w:t>90,524</w:t>
            </w:r>
          </w:p>
        </w:tc>
        <w:tc>
          <w:tcPr>
            <w:tcW w:w="1120" w:type="dxa"/>
            <w:vAlign w:val="bottom"/>
            <w:gridSpan w:val="2"/>
            <w:shd w:val="clear" w:color="auto" w:fill="E5FFFF"/>
          </w:tcPr>
          <w:p>
            <w:pPr>
              <w:jc w:val="right"/>
              <w:ind w:right="220"/>
              <w:spacing w:after="0" w:line="135" w:lineRule="exact"/>
              <w:rPr>
                <w:sz w:val="20"/>
                <w:szCs w:val="20"/>
                <w:color w:val="auto"/>
              </w:rPr>
            </w:pPr>
            <w:r>
              <w:rPr>
                <w:rFonts w:ascii="Arial" w:cs="Arial" w:eastAsia="Arial" w:hAnsi="Arial"/>
                <w:sz w:val="13"/>
                <w:szCs w:val="13"/>
                <w:color w:val="auto"/>
              </w:rPr>
              <w:t>90,524</w:t>
            </w:r>
          </w:p>
        </w:tc>
        <w:tc>
          <w:tcPr>
            <w:tcW w:w="1120" w:type="dxa"/>
            <w:vAlign w:val="bottom"/>
            <w:gridSpan w:val="2"/>
            <w:shd w:val="clear" w:color="auto" w:fill="E5FFFF"/>
          </w:tcPr>
          <w:p>
            <w:pPr>
              <w:jc w:val="right"/>
              <w:ind w:right="220"/>
              <w:spacing w:after="0" w:line="135" w:lineRule="exact"/>
              <w:rPr>
                <w:sz w:val="20"/>
                <w:szCs w:val="20"/>
                <w:color w:val="auto"/>
              </w:rPr>
            </w:pPr>
            <w:r>
              <w:rPr>
                <w:rFonts w:ascii="Arial" w:cs="Arial" w:eastAsia="Arial" w:hAnsi="Arial"/>
                <w:sz w:val="13"/>
                <w:szCs w:val="13"/>
                <w:color w:val="auto"/>
              </w:rPr>
              <w:t>28,897</w:t>
            </w:r>
          </w:p>
        </w:tc>
        <w:tc>
          <w:tcPr>
            <w:tcW w:w="920" w:type="dxa"/>
            <w:vAlign w:val="bottom"/>
            <w:shd w:val="clear" w:color="auto" w:fill="E5FFFF"/>
          </w:tcPr>
          <w:p>
            <w:pPr>
              <w:jc w:val="right"/>
              <w:spacing w:after="0" w:line="135" w:lineRule="exact"/>
              <w:rPr>
                <w:sz w:val="20"/>
                <w:szCs w:val="20"/>
                <w:color w:val="auto"/>
              </w:rPr>
            </w:pPr>
            <w:r>
              <w:rPr>
                <w:rFonts w:ascii="Arial" w:cs="Arial" w:eastAsia="Arial" w:hAnsi="Arial"/>
                <w:sz w:val="13"/>
                <w:szCs w:val="13"/>
                <w:color w:val="auto"/>
              </w:rPr>
              <w:t>119,421</w:t>
            </w:r>
          </w:p>
        </w:tc>
        <w:tc>
          <w:tcPr>
            <w:tcW w:w="100" w:type="dxa"/>
            <w:vAlign w:val="bottom"/>
            <w:shd w:val="clear" w:color="auto" w:fill="E5FFFF"/>
          </w:tcPr>
          <w:p>
            <w:pPr>
              <w:spacing w:after="0"/>
              <w:rPr>
                <w:sz w:val="11"/>
                <w:szCs w:val="11"/>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3"/>
                <w:szCs w:val="13"/>
                <w:color w:val="auto"/>
              </w:rPr>
              <w:t>Other comprehensive loss for the period</w:t>
            </w:r>
          </w:p>
        </w:tc>
        <w:tc>
          <w:tcPr>
            <w:tcW w:w="1180" w:type="dxa"/>
            <w:vAlign w:val="bottom"/>
            <w:gridSpan w:val="3"/>
          </w:tcPr>
          <w:p>
            <w:pPr>
              <w:jc w:val="right"/>
              <w:ind w:right="91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(686)</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(686)</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(686)</w:t>
            </w:r>
          </w:p>
        </w:tc>
      </w:tr>
      <w:tr>
        <w:trPr>
          <w:trHeight w:val="97"/>
        </w:trPr>
        <w:tc>
          <w:tcPr>
            <w:tcW w:w="2380" w:type="dxa"/>
            <w:vAlign w:val="bottom"/>
            <w:tcBorders>
              <w:top w:val="single" w:sz="8" w:color="E5FFFF"/>
            </w:tcBorders>
            <w:shd w:val="clear" w:color="auto" w:fill="E5FFFF"/>
          </w:tcPr>
          <w:p>
            <w:pPr>
              <w:spacing w:after="0" w:line="97" w:lineRule="exact"/>
              <w:rPr>
                <w:sz w:val="20"/>
                <w:szCs w:val="20"/>
                <w:color w:val="auto"/>
              </w:rPr>
            </w:pPr>
            <w:r>
              <w:rPr>
                <w:rFonts w:ascii="Arial" w:cs="Arial" w:eastAsia="Arial" w:hAnsi="Arial"/>
                <w:sz w:val="10"/>
                <w:szCs w:val="10"/>
                <w:b w:val="1"/>
                <w:bCs w:val="1"/>
                <w:color w:val="auto"/>
              </w:rPr>
              <w:t>Total comprehensive (loss)/income for the</w:t>
            </w:r>
          </w:p>
        </w:tc>
        <w:tc>
          <w:tcPr>
            <w:tcW w:w="68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auto"/>
              <w:right w:val="single" w:sz="8" w:color="E5FFFF"/>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740" w:type="dxa"/>
            <w:vAlign w:val="bottom"/>
            <w:tcBorders>
              <w:top w:val="single" w:sz="8" w:color="auto"/>
            </w:tcBorders>
            <w:shd w:val="clear" w:color="auto" w:fill="E5FFFF"/>
          </w:tcPr>
          <w:p>
            <w:pPr>
              <w:spacing w:after="0"/>
              <w:rPr>
                <w:sz w:val="8"/>
                <w:szCs w:val="8"/>
                <w:color w:val="auto"/>
              </w:rPr>
            </w:pPr>
          </w:p>
        </w:tc>
        <w:tc>
          <w:tcPr>
            <w:tcW w:w="16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20" w:type="dxa"/>
            <w:vAlign w:val="bottom"/>
            <w:tcBorders>
              <w:top w:val="single" w:sz="8" w:color="auto"/>
            </w:tcBorders>
            <w:shd w:val="clear" w:color="auto" w:fill="E5FFFF"/>
          </w:tcPr>
          <w:p>
            <w:pPr>
              <w:spacing w:after="0"/>
              <w:rPr>
                <w:sz w:val="8"/>
                <w:szCs w:val="8"/>
                <w:color w:val="auto"/>
              </w:rPr>
            </w:pPr>
          </w:p>
        </w:tc>
        <w:tc>
          <w:tcPr>
            <w:tcW w:w="100" w:type="dxa"/>
            <w:vAlign w:val="bottom"/>
            <w:tcBorders>
              <w:top w:val="single" w:sz="8" w:color="E5FFFF"/>
            </w:tcBorders>
            <w:shd w:val="clear" w:color="auto" w:fill="E5FFFF"/>
          </w:tcPr>
          <w:p>
            <w:pPr>
              <w:spacing w:after="0"/>
              <w:rPr>
                <w:sz w:val="8"/>
                <w:szCs w:val="8"/>
                <w:color w:val="auto"/>
              </w:rPr>
            </w:pPr>
          </w:p>
        </w:tc>
      </w:tr>
      <w:tr>
        <w:trPr>
          <w:trHeight w:val="167"/>
        </w:trPr>
        <w:tc>
          <w:tcPr>
            <w:tcW w:w="3060" w:type="dxa"/>
            <w:vAlign w:val="bottom"/>
            <w:gridSpan w:val="2"/>
            <w:shd w:val="clear" w:color="auto" w:fill="E5FFFF"/>
          </w:tcPr>
          <w:p>
            <w:pPr>
              <w:spacing w:after="0"/>
              <w:rPr>
                <w:sz w:val="20"/>
                <w:szCs w:val="20"/>
                <w:color w:val="auto"/>
              </w:rPr>
            </w:pPr>
            <w:r>
              <w:rPr>
                <w:rFonts w:ascii="Arial" w:cs="Arial" w:eastAsia="Arial" w:hAnsi="Arial"/>
                <w:sz w:val="13"/>
                <w:szCs w:val="13"/>
                <w:b w:val="1"/>
                <w:bCs w:val="1"/>
                <w:color w:val="auto"/>
              </w:rPr>
              <w:t>period</w:t>
            </w:r>
          </w:p>
        </w:tc>
        <w:tc>
          <w:tcPr>
            <w:tcW w:w="1180" w:type="dxa"/>
            <w:vAlign w:val="bottom"/>
            <w:gridSpan w:val="3"/>
            <w:shd w:val="clear" w:color="auto" w:fill="E5FFFF"/>
          </w:tcPr>
          <w:p>
            <w:pPr>
              <w:jc w:val="right"/>
              <w:ind w:right="917"/>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E5FFFF"/>
          </w:tcPr>
          <w:p>
            <w:pPr>
              <w:jc w:val="right"/>
              <w:spacing w:after="0"/>
              <w:rPr>
                <w:sz w:val="20"/>
                <w:szCs w:val="20"/>
                <w:color w:val="auto"/>
              </w:rPr>
            </w:pPr>
            <w:r>
              <w:rPr>
                <w:rFonts w:ascii="Arial" w:cs="Arial" w:eastAsia="Arial" w:hAnsi="Arial"/>
                <w:sz w:val="13"/>
                <w:szCs w:val="13"/>
                <w:b w:val="1"/>
                <w:bCs w:val="1"/>
                <w:color w:val="auto"/>
                <w:w w:val="91"/>
              </w:rPr>
              <w:t>—</w:t>
            </w:r>
          </w:p>
        </w:tc>
        <w:tc>
          <w:tcPr>
            <w:tcW w:w="220" w:type="dxa"/>
            <w:vAlign w:val="bottom"/>
            <w:shd w:val="clear" w:color="auto" w:fill="E5FFFF"/>
          </w:tcPr>
          <w:p>
            <w:pPr>
              <w:spacing w:after="0"/>
              <w:rPr>
                <w:sz w:val="14"/>
                <w:szCs w:val="14"/>
                <w:color w:val="auto"/>
              </w:rPr>
            </w:pP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shd w:val="clear" w:color="auto" w:fill="E5FFFF"/>
          </w:tcPr>
          <w:p>
            <w:pPr>
              <w:jc w:val="right"/>
              <w:ind w:right="180"/>
              <w:spacing w:after="0"/>
              <w:rPr>
                <w:sz w:val="20"/>
                <w:szCs w:val="20"/>
                <w:color w:val="auto"/>
              </w:rPr>
            </w:pPr>
            <w:r>
              <w:rPr>
                <w:rFonts w:ascii="Arial" w:cs="Arial" w:eastAsia="Arial" w:hAnsi="Arial"/>
                <w:sz w:val="13"/>
                <w:szCs w:val="13"/>
                <w:b w:val="1"/>
                <w:bCs w:val="1"/>
                <w:color w:val="auto"/>
              </w:rPr>
              <w:t>(686)</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3"/>
                <w:szCs w:val="13"/>
                <w:b w:val="1"/>
                <w:bCs w:val="1"/>
                <w:color w:val="auto"/>
              </w:rPr>
              <w:t>90,524</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3"/>
                <w:szCs w:val="13"/>
                <w:b w:val="1"/>
                <w:bCs w:val="1"/>
                <w:color w:val="auto"/>
              </w:rPr>
              <w:t>89,838</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3"/>
                <w:szCs w:val="13"/>
                <w:b w:val="1"/>
                <w:bCs w:val="1"/>
                <w:color w:val="auto"/>
              </w:rPr>
              <w:t>28,897</w:t>
            </w:r>
          </w:p>
        </w:tc>
        <w:tc>
          <w:tcPr>
            <w:tcW w:w="920" w:type="dxa"/>
            <w:vAlign w:val="bottom"/>
            <w:shd w:val="clear" w:color="auto" w:fill="E5FFFF"/>
          </w:tcPr>
          <w:p>
            <w:pPr>
              <w:jc w:val="right"/>
              <w:spacing w:after="0"/>
              <w:rPr>
                <w:sz w:val="20"/>
                <w:szCs w:val="20"/>
                <w:color w:val="auto"/>
              </w:rPr>
            </w:pPr>
            <w:r>
              <w:rPr>
                <w:rFonts w:ascii="Arial" w:cs="Arial" w:eastAsia="Arial" w:hAnsi="Arial"/>
                <w:sz w:val="13"/>
                <w:szCs w:val="13"/>
                <w:b w:val="1"/>
                <w:bCs w:val="1"/>
                <w:color w:val="auto"/>
              </w:rPr>
              <w:t>118,735</w:t>
            </w:r>
          </w:p>
        </w:tc>
        <w:tc>
          <w:tcPr>
            <w:tcW w:w="100" w:type="dxa"/>
            <w:vAlign w:val="bottom"/>
            <w:shd w:val="clear" w:color="auto" w:fill="E5FFFF"/>
          </w:tcPr>
          <w:p>
            <w:pPr>
              <w:spacing w:after="0"/>
              <w:rPr>
                <w:sz w:val="14"/>
                <w:szCs w:val="14"/>
                <w:color w:val="auto"/>
              </w:rPr>
            </w:pPr>
          </w:p>
        </w:tc>
      </w:tr>
      <w:tr>
        <w:trPr>
          <w:trHeight w:val="142"/>
        </w:trPr>
        <w:tc>
          <w:tcPr>
            <w:tcW w:w="238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as of June 30, 2022</w:t>
            </w:r>
          </w:p>
        </w:tc>
        <w:tc>
          <w:tcPr>
            <w:tcW w:w="6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954</w:t>
            </w:r>
          </w:p>
        </w:tc>
        <w:tc>
          <w:tcPr>
            <w:tcW w:w="220" w:type="dxa"/>
            <w:vAlign w:val="bottom"/>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46</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658,888</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15,104</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25,407</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700,399</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920,058</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1,620,457</w:t>
            </w:r>
          </w:p>
        </w:tc>
        <w:tc>
          <w:tcPr>
            <w:tcW w:w="100" w:type="dxa"/>
            <w:vAlign w:val="bottom"/>
          </w:tcPr>
          <w:p>
            <w:pPr>
              <w:spacing w:after="0"/>
              <w:rPr>
                <w:sz w:val="12"/>
                <w:szCs w:val="12"/>
                <w:color w:val="auto"/>
              </w:rPr>
            </w:pPr>
          </w:p>
        </w:tc>
      </w:tr>
      <w:tr>
        <w:trPr>
          <w:trHeight w:val="20"/>
        </w:trPr>
        <w:tc>
          <w:tcPr>
            <w:tcW w:w="2380" w:type="dxa"/>
            <w:vAlign w:val="bottom"/>
            <w:tcBorders>
              <w:bottom w:val="single" w:sz="8" w:color="E5FF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r>
      <w:tr>
        <w:trPr>
          <w:trHeight w:val="197"/>
        </w:trPr>
        <w:tc>
          <w:tcPr>
            <w:tcW w:w="2380" w:type="dxa"/>
            <w:vAlign w:val="bottom"/>
            <w:tcBorders>
              <w:bottom w:val="single" w:sz="8" w:color="E5FFFF"/>
            </w:tcBorders>
            <w:shd w:val="clear" w:color="auto" w:fill="E5FFFF"/>
          </w:tcPr>
          <w:p>
            <w:pPr>
              <w:spacing w:after="0"/>
              <w:rPr>
                <w:sz w:val="17"/>
                <w:szCs w:val="17"/>
                <w:color w:val="auto"/>
              </w:rPr>
            </w:pPr>
          </w:p>
        </w:tc>
        <w:tc>
          <w:tcPr>
            <w:tcW w:w="680" w:type="dxa"/>
            <w:vAlign w:val="bottom"/>
            <w:tcBorders>
              <w:bottom w:val="single" w:sz="8" w:color="auto"/>
            </w:tcBorders>
            <w:shd w:val="clear" w:color="auto" w:fill="E5FFFF"/>
          </w:tcPr>
          <w:p>
            <w:pPr>
              <w:spacing w:after="0"/>
              <w:rPr>
                <w:sz w:val="17"/>
                <w:szCs w:val="17"/>
                <w:color w:val="auto"/>
              </w:rPr>
            </w:pPr>
          </w:p>
        </w:tc>
        <w:tc>
          <w:tcPr>
            <w:tcW w:w="220" w:type="dxa"/>
            <w:vAlign w:val="bottom"/>
            <w:tcBorders>
              <w:bottom w:val="single" w:sz="8" w:color="auto"/>
              <w:right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920" w:type="dxa"/>
            <w:vAlign w:val="bottom"/>
            <w:tcBorders>
              <w:bottom w:val="single" w:sz="8" w:color="auto"/>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r>
      <w:tr>
        <w:trPr>
          <w:trHeight w:val="142"/>
        </w:trPr>
        <w:tc>
          <w:tcPr>
            <w:tcW w:w="30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Balance as of December 31, 2022</w:t>
            </w:r>
          </w:p>
        </w:tc>
        <w:tc>
          <w:tcPr>
            <w:tcW w:w="2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954</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46</w:t>
            </w:r>
          </w:p>
        </w:tc>
        <w:tc>
          <w:tcPr>
            <w:tcW w:w="112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658,888</w:t>
            </w: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16,464</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2" w:lineRule="exact"/>
              <w:rPr>
                <w:sz w:val="20"/>
                <w:szCs w:val="20"/>
                <w:color w:val="auto"/>
              </w:rPr>
            </w:pPr>
            <w:r>
              <w:rPr>
                <w:rFonts w:ascii="Arial" w:cs="Arial" w:eastAsia="Arial" w:hAnsi="Arial"/>
                <w:sz w:val="13"/>
                <w:szCs w:val="13"/>
                <w:b w:val="1"/>
                <w:bCs w:val="1"/>
                <w:color w:val="auto"/>
              </w:rPr>
              <w:t>108,685</w:t>
            </w:r>
          </w:p>
        </w:tc>
        <w:tc>
          <w:tcPr>
            <w:tcW w:w="1120" w:type="dxa"/>
            <w:vAlign w:val="bottom"/>
            <w:gridSpan w:val="2"/>
          </w:tcPr>
          <w:p>
            <w:pPr>
              <w:jc w:val="right"/>
              <w:ind w:right="220"/>
              <w:spacing w:after="0" w:line="142" w:lineRule="exact"/>
              <w:rPr>
                <w:sz w:val="20"/>
                <w:szCs w:val="20"/>
                <w:color w:val="auto"/>
              </w:rPr>
            </w:pPr>
            <w:r>
              <w:rPr>
                <w:rFonts w:ascii="Arial" w:cs="Arial" w:eastAsia="Arial" w:hAnsi="Arial"/>
                <w:sz w:val="13"/>
                <w:szCs w:val="13"/>
                <w:b w:val="1"/>
                <w:bCs w:val="1"/>
                <w:color w:val="auto"/>
              </w:rPr>
              <w:t>785,037</w:t>
            </w:r>
          </w:p>
        </w:tc>
        <w:tc>
          <w:tcPr>
            <w:tcW w:w="1120" w:type="dxa"/>
            <w:vAlign w:val="bottom"/>
            <w:gridSpan w:val="2"/>
          </w:tcPr>
          <w:p>
            <w:pPr>
              <w:jc w:val="right"/>
              <w:ind w:right="220"/>
              <w:spacing w:after="0" w:line="142" w:lineRule="exact"/>
              <w:rPr>
                <w:sz w:val="20"/>
                <w:szCs w:val="20"/>
                <w:color w:val="auto"/>
              </w:rPr>
            </w:pPr>
            <w:r>
              <w:rPr>
                <w:rFonts w:ascii="Arial" w:cs="Arial" w:eastAsia="Arial" w:hAnsi="Arial"/>
                <w:sz w:val="13"/>
                <w:szCs w:val="13"/>
                <w:b w:val="1"/>
                <w:bCs w:val="1"/>
                <w:color w:val="auto"/>
              </w:rPr>
              <w:t>936,741</w:t>
            </w:r>
          </w:p>
        </w:tc>
        <w:tc>
          <w:tcPr>
            <w:tcW w:w="9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1,721,778</w:t>
            </w:r>
          </w:p>
        </w:tc>
        <w:tc>
          <w:tcPr>
            <w:tcW w:w="100" w:type="dxa"/>
            <w:vAlign w:val="bottom"/>
          </w:tcPr>
          <w:p>
            <w:pPr>
              <w:spacing w:after="0"/>
              <w:rPr>
                <w:sz w:val="12"/>
                <w:szCs w:val="12"/>
                <w:color w:val="auto"/>
              </w:rPr>
            </w:pPr>
          </w:p>
        </w:tc>
      </w:tr>
      <w:tr>
        <w:trPr>
          <w:trHeight w:val="101"/>
        </w:trPr>
        <w:tc>
          <w:tcPr>
            <w:tcW w:w="2380" w:type="dxa"/>
            <w:vAlign w:val="bottom"/>
            <w:tcBorders>
              <w:top w:val="single" w:sz="8" w:color="E5FFFF"/>
            </w:tcBorders>
            <w:shd w:val="clear" w:color="auto" w:fill="E5FFFF"/>
          </w:tcPr>
          <w:p>
            <w:pPr>
              <w:spacing w:after="0" w:line="101" w:lineRule="exact"/>
              <w:rPr>
                <w:sz w:val="20"/>
                <w:szCs w:val="20"/>
                <w:color w:val="auto"/>
              </w:rPr>
            </w:pPr>
            <w:r>
              <w:rPr>
                <w:rFonts w:ascii="Arial" w:cs="Arial" w:eastAsia="Arial" w:hAnsi="Arial"/>
                <w:sz w:val="10"/>
                <w:szCs w:val="10"/>
                <w:color w:val="auto"/>
              </w:rPr>
              <w:t>Dividend declared (common and preference</w:t>
            </w:r>
          </w:p>
        </w:tc>
        <w:tc>
          <w:tcPr>
            <w:tcW w:w="68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auto"/>
              <w:right w:val="single" w:sz="8" w:color="E5FFFF"/>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740" w:type="dxa"/>
            <w:vAlign w:val="bottom"/>
            <w:tcBorders>
              <w:top w:val="single" w:sz="8" w:color="auto"/>
            </w:tcBorders>
            <w:shd w:val="clear" w:color="auto" w:fill="E5FFFF"/>
          </w:tcPr>
          <w:p>
            <w:pPr>
              <w:spacing w:after="0"/>
              <w:rPr>
                <w:sz w:val="8"/>
                <w:szCs w:val="8"/>
                <w:color w:val="auto"/>
              </w:rPr>
            </w:pPr>
          </w:p>
        </w:tc>
        <w:tc>
          <w:tcPr>
            <w:tcW w:w="16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20" w:type="dxa"/>
            <w:vAlign w:val="bottom"/>
            <w:tcBorders>
              <w:top w:val="single" w:sz="8" w:color="auto"/>
            </w:tcBorders>
            <w:shd w:val="clear" w:color="auto" w:fill="E5FFFF"/>
          </w:tcPr>
          <w:p>
            <w:pPr>
              <w:spacing w:after="0"/>
              <w:rPr>
                <w:sz w:val="8"/>
                <w:szCs w:val="8"/>
                <w:color w:val="auto"/>
              </w:rPr>
            </w:pPr>
          </w:p>
        </w:tc>
        <w:tc>
          <w:tcPr>
            <w:tcW w:w="100" w:type="dxa"/>
            <w:vAlign w:val="bottom"/>
            <w:tcBorders>
              <w:top w:val="single" w:sz="8" w:color="E5FFFF"/>
            </w:tcBorders>
            <w:shd w:val="clear" w:color="auto" w:fill="E5FFFF"/>
          </w:tcPr>
          <w:p>
            <w:pPr>
              <w:spacing w:after="0"/>
              <w:rPr>
                <w:sz w:val="8"/>
                <w:szCs w:val="8"/>
                <w:color w:val="auto"/>
              </w:rPr>
            </w:pPr>
          </w:p>
        </w:tc>
      </w:tr>
      <w:tr>
        <w:trPr>
          <w:trHeight w:val="149"/>
        </w:trPr>
        <w:tc>
          <w:tcPr>
            <w:tcW w:w="3060" w:type="dxa"/>
            <w:vAlign w:val="bottom"/>
            <w:gridSpan w:val="2"/>
            <w:shd w:val="clear" w:color="auto" w:fill="E5FFFF"/>
          </w:tcPr>
          <w:p>
            <w:pPr>
              <w:spacing w:after="0"/>
              <w:rPr>
                <w:sz w:val="20"/>
                <w:szCs w:val="20"/>
                <w:color w:val="auto"/>
              </w:rPr>
            </w:pPr>
            <w:r>
              <w:rPr>
                <w:rFonts w:ascii="Arial" w:cs="Arial" w:eastAsia="Arial" w:hAnsi="Arial"/>
                <w:sz w:val="13"/>
                <w:szCs w:val="13"/>
                <w:color w:val="auto"/>
              </w:rPr>
              <w:t>shares) (Note 9)</w:t>
            </w:r>
          </w:p>
        </w:tc>
        <w:tc>
          <w:tcPr>
            <w:tcW w:w="1180" w:type="dxa"/>
            <w:vAlign w:val="bottom"/>
            <w:gridSpan w:val="3"/>
            <w:shd w:val="clear" w:color="auto" w:fill="E5FFFF"/>
          </w:tcPr>
          <w:p>
            <w:pPr>
              <w:jc w:val="right"/>
              <w:ind w:right="917"/>
              <w:spacing w:after="0"/>
              <w:rPr>
                <w:sz w:val="20"/>
                <w:szCs w:val="20"/>
                <w:color w:val="auto"/>
              </w:rPr>
            </w:pPr>
            <w:r>
              <w:rPr>
                <w:rFonts w:ascii="Arial" w:cs="Arial" w:eastAsia="Arial" w:hAnsi="Arial"/>
                <w:sz w:val="13"/>
                <w:szCs w:val="13"/>
                <w:color w:val="auto"/>
              </w:rPr>
              <w:t>—</w:t>
            </w:r>
          </w:p>
        </w:tc>
        <w:tc>
          <w:tcPr>
            <w:tcW w:w="160" w:type="dxa"/>
            <w:vAlign w:val="bottom"/>
            <w:shd w:val="clear" w:color="auto" w:fill="E5FFFF"/>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E5FFFF"/>
          </w:tcPr>
          <w:p>
            <w:pPr>
              <w:spacing w:after="0"/>
              <w:rPr>
                <w:sz w:val="12"/>
                <w:szCs w:val="12"/>
                <w:color w:val="auto"/>
              </w:rPr>
            </w:pP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E5FFFF"/>
          </w:tcPr>
          <w:p>
            <w:pPr>
              <w:jc w:val="right"/>
              <w:ind w:right="180"/>
              <w:spacing w:after="0"/>
              <w:rPr>
                <w:sz w:val="20"/>
                <w:szCs w:val="20"/>
                <w:color w:val="auto"/>
              </w:rPr>
            </w:pPr>
            <w:r>
              <w:rPr>
                <w:rFonts w:ascii="Arial" w:cs="Arial" w:eastAsia="Arial" w:hAnsi="Arial"/>
                <w:sz w:val="13"/>
                <w:szCs w:val="13"/>
                <w:color w:val="auto"/>
              </w:rPr>
              <w:t>(33,648)</w:t>
            </w:r>
          </w:p>
        </w:tc>
        <w:tc>
          <w:tcPr>
            <w:tcW w:w="1120" w:type="dxa"/>
            <w:vAlign w:val="bottom"/>
            <w:gridSpan w:val="2"/>
            <w:shd w:val="clear" w:color="auto" w:fill="E5FFFF"/>
          </w:tcPr>
          <w:p>
            <w:pPr>
              <w:jc w:val="right"/>
              <w:ind w:right="180"/>
              <w:spacing w:after="0"/>
              <w:rPr>
                <w:sz w:val="20"/>
                <w:szCs w:val="20"/>
                <w:color w:val="auto"/>
              </w:rPr>
            </w:pPr>
            <w:r>
              <w:rPr>
                <w:rFonts w:ascii="Arial" w:cs="Arial" w:eastAsia="Arial" w:hAnsi="Arial"/>
                <w:sz w:val="13"/>
                <w:szCs w:val="13"/>
                <w:color w:val="auto"/>
              </w:rPr>
              <w:t>(33,648)</w:t>
            </w:r>
          </w:p>
        </w:tc>
        <w:tc>
          <w:tcPr>
            <w:tcW w:w="1120" w:type="dxa"/>
            <w:vAlign w:val="bottom"/>
            <w:gridSpan w:val="2"/>
            <w:shd w:val="clear" w:color="auto" w:fill="E5FFFF"/>
          </w:tcPr>
          <w:p>
            <w:pPr>
              <w:jc w:val="right"/>
              <w:ind w:right="180"/>
              <w:spacing w:after="0"/>
              <w:rPr>
                <w:sz w:val="20"/>
                <w:szCs w:val="20"/>
                <w:color w:val="auto"/>
              </w:rPr>
            </w:pPr>
            <w:r>
              <w:rPr>
                <w:rFonts w:ascii="Arial" w:cs="Arial" w:eastAsia="Arial" w:hAnsi="Arial"/>
                <w:sz w:val="13"/>
                <w:szCs w:val="13"/>
                <w:color w:val="auto"/>
              </w:rPr>
              <w:t>(13,657)</w:t>
            </w:r>
          </w:p>
        </w:tc>
        <w:tc>
          <w:tcPr>
            <w:tcW w:w="1020" w:type="dxa"/>
            <w:vAlign w:val="bottom"/>
            <w:gridSpan w:val="2"/>
            <w:shd w:val="clear" w:color="auto" w:fill="E5FFFF"/>
          </w:tcPr>
          <w:p>
            <w:pPr>
              <w:jc w:val="right"/>
              <w:ind w:right="80"/>
              <w:spacing w:after="0"/>
              <w:rPr>
                <w:sz w:val="20"/>
                <w:szCs w:val="20"/>
                <w:color w:val="auto"/>
              </w:rPr>
            </w:pPr>
            <w:r>
              <w:rPr>
                <w:rFonts w:ascii="Arial" w:cs="Arial" w:eastAsia="Arial" w:hAnsi="Arial"/>
                <w:sz w:val="13"/>
                <w:szCs w:val="13"/>
                <w:color w:val="auto"/>
              </w:rPr>
              <w:t>(47,305)</w:t>
            </w:r>
          </w:p>
        </w:tc>
      </w:tr>
      <w:tr>
        <w:trPr>
          <w:trHeight w:val="121"/>
        </w:trPr>
        <w:tc>
          <w:tcPr>
            <w:tcW w:w="3060" w:type="dxa"/>
            <w:vAlign w:val="bottom"/>
            <w:gridSpan w:val="2"/>
          </w:tcPr>
          <w:p>
            <w:pPr>
              <w:spacing w:after="0" w:line="121" w:lineRule="exact"/>
              <w:rPr>
                <w:sz w:val="20"/>
                <w:szCs w:val="20"/>
                <w:color w:val="auto"/>
              </w:rPr>
            </w:pPr>
            <w:r>
              <w:rPr>
                <w:rFonts w:ascii="Arial" w:cs="Arial" w:eastAsia="Arial" w:hAnsi="Arial"/>
                <w:sz w:val="13"/>
                <w:szCs w:val="13"/>
                <w:color w:val="auto"/>
              </w:rPr>
              <w:t>Share-based compensation, net of accrued</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060" w:type="dxa"/>
            <w:vAlign w:val="bottom"/>
            <w:gridSpan w:val="2"/>
          </w:tcPr>
          <w:p>
            <w:pPr>
              <w:spacing w:after="0"/>
              <w:rPr>
                <w:sz w:val="20"/>
                <w:szCs w:val="20"/>
                <w:color w:val="auto"/>
              </w:rPr>
            </w:pPr>
            <w:r>
              <w:rPr>
                <w:rFonts w:ascii="Arial" w:cs="Arial" w:eastAsia="Arial" w:hAnsi="Arial"/>
                <w:sz w:val="13"/>
                <w:szCs w:val="13"/>
                <w:color w:val="auto"/>
              </w:rPr>
              <w:t>dividend</w:t>
            </w:r>
          </w:p>
        </w:tc>
        <w:tc>
          <w:tcPr>
            <w:tcW w:w="1180" w:type="dxa"/>
            <w:vAlign w:val="bottom"/>
            <w:gridSpan w:val="3"/>
          </w:tcPr>
          <w:p>
            <w:pPr>
              <w:jc w:val="right"/>
              <w:ind w:right="91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337</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337</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2"/>
                <w:szCs w:val="12"/>
                <w:color w:val="auto"/>
              </w:rPr>
            </w:pPr>
          </w:p>
        </w:tc>
      </w:tr>
      <w:tr>
        <w:trPr>
          <w:trHeight w:val="135"/>
        </w:trPr>
        <w:tc>
          <w:tcPr>
            <w:tcW w:w="3060" w:type="dxa"/>
            <w:vAlign w:val="bottom"/>
            <w:gridSpan w:val="2"/>
            <w:shd w:val="clear" w:color="auto" w:fill="E5FFFF"/>
          </w:tcPr>
          <w:p>
            <w:pPr>
              <w:spacing w:after="0" w:line="135" w:lineRule="exact"/>
              <w:rPr>
                <w:sz w:val="20"/>
                <w:szCs w:val="20"/>
                <w:color w:val="auto"/>
              </w:rPr>
            </w:pPr>
            <w:r>
              <w:rPr>
                <w:rFonts w:ascii="Arial" w:cs="Arial" w:eastAsia="Arial" w:hAnsi="Arial"/>
                <w:sz w:val="13"/>
                <w:szCs w:val="13"/>
                <w:color w:val="auto"/>
              </w:rPr>
              <w:t>Profit for the period</w:t>
            </w:r>
          </w:p>
        </w:tc>
        <w:tc>
          <w:tcPr>
            <w:tcW w:w="1180" w:type="dxa"/>
            <w:vAlign w:val="bottom"/>
            <w:gridSpan w:val="3"/>
            <w:shd w:val="clear" w:color="auto" w:fill="E5FFFF"/>
          </w:tcPr>
          <w:p>
            <w:pPr>
              <w:jc w:val="right"/>
              <w:ind w:right="91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E5FFFF"/>
          </w:tcPr>
          <w:p>
            <w:pPr>
              <w:jc w:val="right"/>
              <w:spacing w:after="0" w:line="135"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E5FFFF"/>
          </w:tcPr>
          <w:p>
            <w:pPr>
              <w:spacing w:after="0"/>
              <w:rPr>
                <w:sz w:val="11"/>
                <w:szCs w:val="11"/>
                <w:color w:val="auto"/>
              </w:rPr>
            </w:pPr>
          </w:p>
        </w:tc>
        <w:tc>
          <w:tcPr>
            <w:tcW w:w="1120" w:type="dxa"/>
            <w:vAlign w:val="bottom"/>
            <w:gridSpan w:val="2"/>
            <w:shd w:val="clear" w:color="auto" w:fill="E5FF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E5FF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E5FFFF"/>
          </w:tcPr>
          <w:p>
            <w:pPr>
              <w:jc w:val="right"/>
              <w:ind w:right="220"/>
              <w:spacing w:after="0" w:line="135" w:lineRule="exact"/>
              <w:rPr>
                <w:sz w:val="20"/>
                <w:szCs w:val="20"/>
                <w:color w:val="auto"/>
              </w:rPr>
            </w:pPr>
            <w:r>
              <w:rPr>
                <w:rFonts w:ascii="Arial" w:cs="Arial" w:eastAsia="Arial" w:hAnsi="Arial"/>
                <w:sz w:val="13"/>
                <w:szCs w:val="13"/>
                <w:color w:val="auto"/>
              </w:rPr>
              <w:t>64,828</w:t>
            </w:r>
          </w:p>
        </w:tc>
        <w:tc>
          <w:tcPr>
            <w:tcW w:w="1120" w:type="dxa"/>
            <w:vAlign w:val="bottom"/>
            <w:gridSpan w:val="2"/>
            <w:shd w:val="clear" w:color="auto" w:fill="E5FFFF"/>
          </w:tcPr>
          <w:p>
            <w:pPr>
              <w:jc w:val="right"/>
              <w:ind w:right="220"/>
              <w:spacing w:after="0" w:line="135" w:lineRule="exact"/>
              <w:rPr>
                <w:sz w:val="20"/>
                <w:szCs w:val="20"/>
                <w:color w:val="auto"/>
              </w:rPr>
            </w:pPr>
            <w:r>
              <w:rPr>
                <w:rFonts w:ascii="Arial" w:cs="Arial" w:eastAsia="Arial" w:hAnsi="Arial"/>
                <w:sz w:val="13"/>
                <w:szCs w:val="13"/>
                <w:color w:val="auto"/>
              </w:rPr>
              <w:t>64,828</w:t>
            </w:r>
          </w:p>
        </w:tc>
        <w:tc>
          <w:tcPr>
            <w:tcW w:w="1120" w:type="dxa"/>
            <w:vAlign w:val="bottom"/>
            <w:gridSpan w:val="2"/>
            <w:shd w:val="clear" w:color="auto" w:fill="E5FFFF"/>
          </w:tcPr>
          <w:p>
            <w:pPr>
              <w:jc w:val="right"/>
              <w:ind w:right="220"/>
              <w:spacing w:after="0" w:line="135" w:lineRule="exact"/>
              <w:rPr>
                <w:sz w:val="20"/>
                <w:szCs w:val="20"/>
                <w:color w:val="auto"/>
              </w:rPr>
            </w:pPr>
            <w:r>
              <w:rPr>
                <w:rFonts w:ascii="Arial" w:cs="Arial" w:eastAsia="Arial" w:hAnsi="Arial"/>
                <w:sz w:val="13"/>
                <w:szCs w:val="13"/>
                <w:color w:val="auto"/>
              </w:rPr>
              <w:t>53,588</w:t>
            </w:r>
          </w:p>
        </w:tc>
        <w:tc>
          <w:tcPr>
            <w:tcW w:w="920" w:type="dxa"/>
            <w:vAlign w:val="bottom"/>
            <w:shd w:val="clear" w:color="auto" w:fill="E5FFFF"/>
          </w:tcPr>
          <w:p>
            <w:pPr>
              <w:jc w:val="right"/>
              <w:spacing w:after="0" w:line="135" w:lineRule="exact"/>
              <w:rPr>
                <w:sz w:val="20"/>
                <w:szCs w:val="20"/>
                <w:color w:val="auto"/>
              </w:rPr>
            </w:pPr>
            <w:r>
              <w:rPr>
                <w:rFonts w:ascii="Arial" w:cs="Arial" w:eastAsia="Arial" w:hAnsi="Arial"/>
                <w:sz w:val="13"/>
                <w:szCs w:val="13"/>
                <w:color w:val="auto"/>
              </w:rPr>
              <w:t>118,416</w:t>
            </w:r>
          </w:p>
        </w:tc>
        <w:tc>
          <w:tcPr>
            <w:tcW w:w="100" w:type="dxa"/>
            <w:vAlign w:val="bottom"/>
            <w:shd w:val="clear" w:color="auto" w:fill="E5FFFF"/>
          </w:tcPr>
          <w:p>
            <w:pPr>
              <w:spacing w:after="0"/>
              <w:rPr>
                <w:sz w:val="11"/>
                <w:szCs w:val="11"/>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3"/>
                <w:szCs w:val="13"/>
                <w:color w:val="auto"/>
              </w:rPr>
              <w:t>Other comprehensive loss for the period</w:t>
            </w:r>
          </w:p>
        </w:tc>
        <w:tc>
          <w:tcPr>
            <w:tcW w:w="1180" w:type="dxa"/>
            <w:vAlign w:val="bottom"/>
            <w:gridSpan w:val="3"/>
          </w:tcPr>
          <w:p>
            <w:pPr>
              <w:jc w:val="right"/>
              <w:ind w:right="91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(963)</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(963)</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(963)</w:t>
            </w:r>
          </w:p>
        </w:tc>
      </w:tr>
      <w:tr>
        <w:trPr>
          <w:trHeight w:val="97"/>
        </w:trPr>
        <w:tc>
          <w:tcPr>
            <w:tcW w:w="2380" w:type="dxa"/>
            <w:vAlign w:val="bottom"/>
            <w:tcBorders>
              <w:top w:val="single" w:sz="8" w:color="E5FFFF"/>
            </w:tcBorders>
            <w:shd w:val="clear" w:color="auto" w:fill="E5FFFF"/>
          </w:tcPr>
          <w:p>
            <w:pPr>
              <w:spacing w:after="0" w:line="97" w:lineRule="exact"/>
              <w:rPr>
                <w:sz w:val="20"/>
                <w:szCs w:val="20"/>
                <w:color w:val="auto"/>
              </w:rPr>
            </w:pPr>
            <w:r>
              <w:rPr>
                <w:rFonts w:ascii="Arial" w:cs="Arial" w:eastAsia="Arial" w:hAnsi="Arial"/>
                <w:sz w:val="10"/>
                <w:szCs w:val="10"/>
                <w:b w:val="1"/>
                <w:bCs w:val="1"/>
                <w:color w:val="auto"/>
              </w:rPr>
              <w:t>Total comprehensive (loss)/income for the</w:t>
            </w:r>
          </w:p>
        </w:tc>
        <w:tc>
          <w:tcPr>
            <w:tcW w:w="68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auto"/>
              <w:right w:val="single" w:sz="8" w:color="E5FFFF"/>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740" w:type="dxa"/>
            <w:vAlign w:val="bottom"/>
            <w:tcBorders>
              <w:top w:val="single" w:sz="8" w:color="auto"/>
            </w:tcBorders>
            <w:shd w:val="clear" w:color="auto" w:fill="E5FFFF"/>
          </w:tcPr>
          <w:p>
            <w:pPr>
              <w:spacing w:after="0"/>
              <w:rPr>
                <w:sz w:val="8"/>
                <w:szCs w:val="8"/>
                <w:color w:val="auto"/>
              </w:rPr>
            </w:pPr>
          </w:p>
        </w:tc>
        <w:tc>
          <w:tcPr>
            <w:tcW w:w="16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920" w:type="dxa"/>
            <w:vAlign w:val="bottom"/>
            <w:tcBorders>
              <w:top w:val="single" w:sz="8" w:color="auto"/>
            </w:tcBorders>
            <w:shd w:val="clear" w:color="auto" w:fill="E5FFFF"/>
          </w:tcPr>
          <w:p>
            <w:pPr>
              <w:spacing w:after="0"/>
              <w:rPr>
                <w:sz w:val="8"/>
                <w:szCs w:val="8"/>
                <w:color w:val="auto"/>
              </w:rPr>
            </w:pPr>
          </w:p>
        </w:tc>
        <w:tc>
          <w:tcPr>
            <w:tcW w:w="100" w:type="dxa"/>
            <w:vAlign w:val="bottom"/>
            <w:tcBorders>
              <w:top w:val="single" w:sz="8" w:color="E5FFFF"/>
            </w:tcBorders>
            <w:shd w:val="clear" w:color="auto" w:fill="E5FFFF"/>
          </w:tcPr>
          <w:p>
            <w:pPr>
              <w:spacing w:after="0"/>
              <w:rPr>
                <w:sz w:val="8"/>
                <w:szCs w:val="8"/>
                <w:color w:val="auto"/>
              </w:rPr>
            </w:pPr>
          </w:p>
        </w:tc>
      </w:tr>
      <w:tr>
        <w:trPr>
          <w:trHeight w:val="167"/>
        </w:trPr>
        <w:tc>
          <w:tcPr>
            <w:tcW w:w="2380" w:type="dxa"/>
            <w:vAlign w:val="bottom"/>
            <w:shd w:val="clear" w:color="auto" w:fill="E5FFFF"/>
          </w:tcPr>
          <w:p>
            <w:pPr>
              <w:spacing w:after="0"/>
              <w:rPr>
                <w:sz w:val="20"/>
                <w:szCs w:val="20"/>
                <w:color w:val="auto"/>
              </w:rPr>
            </w:pPr>
            <w:r>
              <w:rPr>
                <w:rFonts w:ascii="Arial" w:cs="Arial" w:eastAsia="Arial" w:hAnsi="Arial"/>
                <w:sz w:val="13"/>
                <w:szCs w:val="13"/>
                <w:b w:val="1"/>
                <w:bCs w:val="1"/>
                <w:color w:val="auto"/>
              </w:rPr>
              <w:t>period</w:t>
            </w:r>
          </w:p>
        </w:tc>
        <w:tc>
          <w:tcPr>
            <w:tcW w:w="680" w:type="dxa"/>
            <w:vAlign w:val="bottom"/>
            <w:shd w:val="clear" w:color="auto" w:fill="E5FFFF"/>
          </w:tcPr>
          <w:p>
            <w:pPr>
              <w:spacing w:after="0"/>
              <w:rPr>
                <w:sz w:val="14"/>
                <w:szCs w:val="14"/>
                <w:color w:val="auto"/>
              </w:rPr>
            </w:pPr>
          </w:p>
        </w:tc>
        <w:tc>
          <w:tcPr>
            <w:tcW w:w="1180" w:type="dxa"/>
            <w:vAlign w:val="bottom"/>
            <w:gridSpan w:val="3"/>
            <w:shd w:val="clear" w:color="auto" w:fill="E5FFFF"/>
          </w:tcPr>
          <w:p>
            <w:pPr>
              <w:jc w:val="right"/>
              <w:ind w:right="917"/>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E5FFFF"/>
          </w:tcPr>
          <w:p>
            <w:pPr>
              <w:jc w:val="right"/>
              <w:spacing w:after="0"/>
              <w:rPr>
                <w:sz w:val="20"/>
                <w:szCs w:val="20"/>
                <w:color w:val="auto"/>
              </w:rPr>
            </w:pPr>
            <w:r>
              <w:rPr>
                <w:rFonts w:ascii="Arial" w:cs="Arial" w:eastAsia="Arial" w:hAnsi="Arial"/>
                <w:sz w:val="13"/>
                <w:szCs w:val="13"/>
                <w:b w:val="1"/>
                <w:bCs w:val="1"/>
                <w:color w:val="auto"/>
                <w:w w:val="91"/>
              </w:rPr>
              <w:t>—</w:t>
            </w:r>
          </w:p>
        </w:tc>
        <w:tc>
          <w:tcPr>
            <w:tcW w:w="220" w:type="dxa"/>
            <w:vAlign w:val="bottom"/>
            <w:shd w:val="clear" w:color="auto" w:fill="E5FFFF"/>
          </w:tcPr>
          <w:p>
            <w:pPr>
              <w:spacing w:after="0"/>
              <w:rPr>
                <w:sz w:val="14"/>
                <w:szCs w:val="14"/>
                <w:color w:val="auto"/>
              </w:rPr>
            </w:pP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shd w:val="clear" w:color="auto" w:fill="E5FFFF"/>
          </w:tcPr>
          <w:p>
            <w:pPr>
              <w:jc w:val="right"/>
              <w:ind w:right="180"/>
              <w:spacing w:after="0"/>
              <w:rPr>
                <w:sz w:val="20"/>
                <w:szCs w:val="20"/>
                <w:color w:val="auto"/>
              </w:rPr>
            </w:pPr>
            <w:r>
              <w:rPr>
                <w:rFonts w:ascii="Arial" w:cs="Arial" w:eastAsia="Arial" w:hAnsi="Arial"/>
                <w:sz w:val="13"/>
                <w:szCs w:val="13"/>
                <w:b w:val="1"/>
                <w:bCs w:val="1"/>
                <w:color w:val="auto"/>
              </w:rPr>
              <w:t>(963)</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3"/>
                <w:szCs w:val="13"/>
                <w:b w:val="1"/>
                <w:bCs w:val="1"/>
                <w:color w:val="auto"/>
              </w:rPr>
              <w:t>64,828</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3"/>
                <w:szCs w:val="13"/>
                <w:b w:val="1"/>
                <w:bCs w:val="1"/>
                <w:color w:val="auto"/>
              </w:rPr>
              <w:t>63,865</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3"/>
                <w:szCs w:val="13"/>
                <w:b w:val="1"/>
                <w:bCs w:val="1"/>
                <w:color w:val="auto"/>
              </w:rPr>
              <w:t>53,588</w:t>
            </w:r>
          </w:p>
        </w:tc>
        <w:tc>
          <w:tcPr>
            <w:tcW w:w="920" w:type="dxa"/>
            <w:vAlign w:val="bottom"/>
            <w:shd w:val="clear" w:color="auto" w:fill="E5FFFF"/>
          </w:tcPr>
          <w:p>
            <w:pPr>
              <w:jc w:val="right"/>
              <w:spacing w:after="0"/>
              <w:rPr>
                <w:sz w:val="20"/>
                <w:szCs w:val="20"/>
                <w:color w:val="auto"/>
              </w:rPr>
            </w:pPr>
            <w:r>
              <w:rPr>
                <w:rFonts w:ascii="Arial" w:cs="Arial" w:eastAsia="Arial" w:hAnsi="Arial"/>
                <w:sz w:val="13"/>
                <w:szCs w:val="13"/>
                <w:b w:val="1"/>
                <w:bCs w:val="1"/>
                <w:color w:val="auto"/>
              </w:rPr>
              <w:t>117,453</w:t>
            </w:r>
          </w:p>
        </w:tc>
        <w:tc>
          <w:tcPr>
            <w:tcW w:w="100" w:type="dxa"/>
            <w:vAlign w:val="bottom"/>
            <w:shd w:val="clear" w:color="auto" w:fill="E5FFFF"/>
          </w:tcPr>
          <w:p>
            <w:pPr>
              <w:spacing w:after="0"/>
              <w:rPr>
                <w:sz w:val="14"/>
                <w:szCs w:val="14"/>
                <w:color w:val="auto"/>
              </w:rPr>
            </w:pPr>
          </w:p>
        </w:tc>
      </w:tr>
      <w:tr>
        <w:trPr>
          <w:trHeight w:val="20"/>
        </w:trPr>
        <w:tc>
          <w:tcPr>
            <w:tcW w:w="2380" w:type="dxa"/>
            <w:vAlign w:val="bottom"/>
            <w:shd w:val="clear" w:color="auto" w:fill="E5FF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E5FFFF"/>
            </w:tcBorders>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r>
      <w:tr>
        <w:trPr>
          <w:trHeight w:val="155"/>
        </w:trPr>
        <w:tc>
          <w:tcPr>
            <w:tcW w:w="2380" w:type="dxa"/>
            <w:vAlign w:val="bottom"/>
          </w:tcPr>
          <w:p>
            <w:pPr>
              <w:spacing w:after="0"/>
              <w:rPr>
                <w:sz w:val="20"/>
                <w:szCs w:val="20"/>
                <w:color w:val="auto"/>
              </w:rPr>
            </w:pPr>
            <w:r>
              <w:rPr>
                <w:rFonts w:ascii="Arial" w:cs="Arial" w:eastAsia="Arial" w:hAnsi="Arial"/>
                <w:sz w:val="13"/>
                <w:szCs w:val="13"/>
                <w:b w:val="1"/>
                <w:bCs w:val="1"/>
                <w:color w:val="auto"/>
              </w:rPr>
              <w:t>Balance as of June 30, 2023</w:t>
            </w:r>
          </w:p>
        </w:tc>
        <w:tc>
          <w:tcPr>
            <w:tcW w:w="6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w w:val="82"/>
              </w:rPr>
              <w:t>954</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w w:val="82"/>
              </w:rPr>
              <w:t>46</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658,888</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15,838</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139,865</w:t>
            </w:r>
          </w:p>
        </w:tc>
        <w:tc>
          <w:tcPr>
            <w:tcW w:w="2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815,591</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976,672</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1,792,263</w:t>
            </w:r>
          </w:p>
        </w:tc>
        <w:tc>
          <w:tcPr>
            <w:tcW w:w="100" w:type="dxa"/>
            <w:vAlign w:val="bottom"/>
          </w:tcPr>
          <w:p>
            <w:pPr>
              <w:spacing w:after="0"/>
              <w:rPr>
                <w:sz w:val="13"/>
                <w:szCs w:val="13"/>
                <w:color w:val="auto"/>
              </w:rPr>
            </w:pPr>
          </w:p>
        </w:tc>
      </w:tr>
      <w:tr>
        <w:trPr>
          <w:trHeight w:val="20"/>
        </w:trPr>
        <w:tc>
          <w:tcPr>
            <w:tcW w:w="2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-2528570</wp:posOffset>
            </wp:positionV>
            <wp:extent cx="68580" cy="2512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251206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73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b w:val="1"/>
                <w:bCs w:val="1"/>
                <w:color w:val="auto"/>
              </w:rPr>
              <w:t>For the six months ended June 30, 2022 and 2023</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7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For the six months ended</w:t>
            </w:r>
          </w:p>
        </w:tc>
      </w:tr>
      <w:tr>
        <w:trPr>
          <w:trHeight w:val="219"/>
        </w:trPr>
        <w:tc>
          <w:tcPr>
            <w:tcW w:w="7320" w:type="dxa"/>
            <w:vAlign w:val="bottom"/>
          </w:tcPr>
          <w:p>
            <w:pPr>
              <w:spacing w:after="0"/>
              <w:rPr>
                <w:sz w:val="19"/>
                <w:szCs w:val="19"/>
                <w:color w:val="auto"/>
              </w:rPr>
            </w:pPr>
          </w:p>
        </w:tc>
        <w:tc>
          <w:tcPr>
            <w:tcW w:w="880" w:type="dxa"/>
            <w:vAlign w:val="bottom"/>
          </w:tcPr>
          <w:p>
            <w:pPr>
              <w:ind w:left="280"/>
              <w:spacing w:after="0"/>
              <w:rPr>
                <w:sz w:val="20"/>
                <w:szCs w:val="20"/>
                <w:color w:val="auto"/>
              </w:rPr>
            </w:pPr>
            <w:r>
              <w:rPr>
                <w:rFonts w:ascii="Arial" w:cs="Arial" w:eastAsia="Arial" w:hAnsi="Arial"/>
                <w:sz w:val="16"/>
                <w:szCs w:val="16"/>
                <w:b w:val="1"/>
                <w:bCs w:val="1"/>
                <w:color w:val="auto"/>
              </w:rPr>
              <w:t>Note</w:t>
            </w:r>
          </w:p>
        </w:tc>
        <w:tc>
          <w:tcPr>
            <w:tcW w:w="24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June 30, 2022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June 30, 2023</w:t>
            </w:r>
          </w:p>
        </w:tc>
      </w:tr>
      <w:tr>
        <w:trPr>
          <w:trHeight w:val="212"/>
        </w:trPr>
        <w:tc>
          <w:tcPr>
            <w:tcW w:w="73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8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Profit for the period</w:t>
            </w: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119,421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118,416</w:t>
            </w:r>
          </w:p>
        </w:tc>
        <w:tc>
          <w:tcPr>
            <w:tcW w:w="100" w:type="dxa"/>
            <w:vAlign w:val="bottom"/>
          </w:tcPr>
          <w:p>
            <w:pPr>
              <w:spacing w:after="0"/>
              <w:rPr>
                <w:sz w:val="18"/>
                <w:szCs w:val="18"/>
                <w:color w:val="auto"/>
              </w:rPr>
            </w:pPr>
          </w:p>
        </w:tc>
      </w:tr>
      <w:tr>
        <w:trPr>
          <w:trHeight w:val="219"/>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8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2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6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Depreciation</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4, 5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112,841</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116,134</w:t>
            </w:r>
          </w:p>
        </w:tc>
        <w:tc>
          <w:tcPr>
            <w:tcW w:w="100" w:type="dxa"/>
            <w:vAlign w:val="bottom"/>
          </w:tcPr>
          <w:p>
            <w:pPr>
              <w:spacing w:after="0"/>
              <w:rPr>
                <w:sz w:val="17"/>
                <w:szCs w:val="17"/>
                <w:color w:val="auto"/>
              </w:rPr>
            </w:pPr>
          </w:p>
        </w:tc>
      </w:tr>
      <w:tr>
        <w:trPr>
          <w:trHeight w:val="203"/>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56,911</w:t>
            </w:r>
          </w:p>
        </w:tc>
        <w:tc>
          <w:tcPr>
            <w:tcW w:w="2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11,740</w:t>
            </w:r>
          </w:p>
        </w:tc>
        <w:tc>
          <w:tcPr>
            <w:tcW w:w="100" w:type="dxa"/>
            <w:vAlign w:val="bottom"/>
            <w:shd w:val="clear" w:color="auto" w:fill="E5FF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577</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17"/>
                <w:szCs w:val="17"/>
                <w:color w:val="auto"/>
              </w:rPr>
            </w:pPr>
          </w:p>
        </w:tc>
      </w:tr>
      <w:tr>
        <w:trPr>
          <w:trHeight w:val="203"/>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168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(935)</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(1,525)</w:t>
            </w: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Financial income</w:t>
            </w:r>
          </w:p>
        </w:tc>
        <w:tc>
          <w:tcPr>
            <w:tcW w:w="880" w:type="dxa"/>
            <w:vAlign w:val="bottom"/>
          </w:tcPr>
          <w:p>
            <w:pPr>
              <w:spacing w:after="0"/>
              <w:rPr>
                <w:sz w:val="18"/>
                <w:szCs w:val="18"/>
                <w:color w:val="auto"/>
              </w:rPr>
            </w:pPr>
          </w:p>
        </w:tc>
        <w:tc>
          <w:tcPr>
            <w:tcW w:w="1680" w:type="dxa"/>
            <w:vAlign w:val="bottom"/>
            <w:gridSpan w:val="3"/>
          </w:tcPr>
          <w:p>
            <w:pPr>
              <w:jc w:val="right"/>
              <w:ind w:right="120"/>
              <w:spacing w:after="0"/>
              <w:rPr>
                <w:sz w:val="20"/>
                <w:szCs w:val="20"/>
                <w:color w:val="auto"/>
              </w:rPr>
            </w:pPr>
            <w:r>
              <w:rPr>
                <w:rFonts w:ascii="Arial" w:cs="Arial" w:eastAsia="Arial" w:hAnsi="Arial"/>
                <w:sz w:val="16"/>
                <w:szCs w:val="16"/>
                <w:color w:val="auto"/>
              </w:rPr>
              <w:t>(412)</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(9,925)</w:t>
            </w:r>
          </w:p>
        </w:tc>
      </w:tr>
      <w:tr>
        <w:trPr>
          <w:trHeight w:val="219"/>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880" w:type="dxa"/>
            <w:vAlign w:val="bottom"/>
            <w:shd w:val="clear" w:color="auto" w:fill="E5FFFF"/>
          </w:tcPr>
          <w:p>
            <w:pPr>
              <w:spacing w:after="0"/>
              <w:rPr>
                <w:sz w:val="19"/>
                <w:szCs w:val="19"/>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76,835</w:t>
            </w:r>
          </w:p>
        </w:tc>
        <w:tc>
          <w:tcPr>
            <w:tcW w:w="200" w:type="dxa"/>
            <w:vAlign w:val="bottom"/>
            <w:shd w:val="clear" w:color="auto" w:fill="E5FFFF"/>
          </w:tcPr>
          <w:p>
            <w:pPr>
              <w:spacing w:after="0"/>
              <w:rPr>
                <w:sz w:val="19"/>
                <w:szCs w:val="19"/>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128,054</w:t>
            </w:r>
          </w:p>
        </w:tc>
        <w:tc>
          <w:tcPr>
            <w:tcW w:w="100" w:type="dxa"/>
            <w:vAlign w:val="bottom"/>
            <w:shd w:val="clear" w:color="auto" w:fill="E5FFFF"/>
          </w:tcPr>
          <w:p>
            <w:pPr>
              <w:spacing w:after="0"/>
              <w:rPr>
                <w:sz w:val="19"/>
                <w:szCs w:val="19"/>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w w:val="99"/>
              </w:rPr>
              <w:t>Gain on derivatives (excluding realized loss/gain on forward foreign exchange contracts held for trading)</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680" w:type="dxa"/>
            <w:vAlign w:val="bottom"/>
            <w:gridSpan w:val="3"/>
          </w:tcPr>
          <w:p>
            <w:pPr>
              <w:jc w:val="right"/>
              <w:ind w:right="120"/>
              <w:spacing w:after="0"/>
              <w:rPr>
                <w:sz w:val="20"/>
                <w:szCs w:val="20"/>
                <w:color w:val="auto"/>
              </w:rPr>
            </w:pPr>
            <w:r>
              <w:rPr>
                <w:rFonts w:ascii="Arial" w:cs="Arial" w:eastAsia="Arial" w:hAnsi="Arial"/>
                <w:sz w:val="16"/>
                <w:szCs w:val="16"/>
                <w:color w:val="auto"/>
              </w:rPr>
              <w:t>(47,558)</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(8,235)</w:t>
            </w:r>
          </w:p>
        </w:tc>
      </w:tr>
      <w:tr>
        <w:trPr>
          <w:trHeight w:val="227"/>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8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463</w:t>
            </w:r>
          </w:p>
        </w:tc>
        <w:tc>
          <w:tcPr>
            <w:tcW w:w="200" w:type="dxa"/>
            <w:vAlign w:val="bottom"/>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E5FFFF"/>
          </w:tcPr>
          <w:p>
            <w:pPr>
              <w:spacing w:after="0"/>
              <w:rPr>
                <w:sz w:val="19"/>
                <w:szCs w:val="19"/>
                <w:color w:val="auto"/>
              </w:rPr>
            </w:pPr>
          </w:p>
        </w:tc>
      </w:tr>
      <w:tr>
        <w:trPr>
          <w:trHeight w:val="210"/>
        </w:trPr>
        <w:tc>
          <w:tcPr>
            <w:tcW w:w="7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318,143</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356,295</w:t>
            </w:r>
          </w:p>
        </w:tc>
        <w:tc>
          <w:tcPr>
            <w:tcW w:w="100" w:type="dxa"/>
            <w:vAlign w:val="bottom"/>
          </w:tcPr>
          <w:p>
            <w:pPr>
              <w:spacing w:after="0"/>
              <w:rPr>
                <w:sz w:val="18"/>
                <w:szCs w:val="18"/>
                <w:color w:val="auto"/>
              </w:rPr>
            </w:pPr>
          </w:p>
        </w:tc>
      </w:tr>
      <w:tr>
        <w:trPr>
          <w:trHeight w:val="209"/>
        </w:trPr>
        <w:tc>
          <w:tcPr>
            <w:tcW w:w="73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880" w:type="dxa"/>
            <w:vAlign w:val="bottom"/>
            <w:tcBorders>
              <w:top w:val="single" w:sz="8" w:color="E5FFFF"/>
              <w:bottom w:val="single" w:sz="8" w:color="E5FFFF"/>
            </w:tcBorders>
            <w:shd w:val="clear" w:color="auto" w:fill="E5FFFF"/>
          </w:tcPr>
          <w:p>
            <w:pPr>
              <w:spacing w:after="0"/>
              <w:rPr>
                <w:sz w:val="18"/>
                <w:szCs w:val="18"/>
                <w:color w:val="auto"/>
              </w:rPr>
            </w:pP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(6,583</w:t>
            </w:r>
          </w:p>
        </w:tc>
        <w:tc>
          <w:tcPr>
            <w:tcW w:w="200" w:type="dxa"/>
            <w:vAlign w:val="bottom"/>
            <w:tcBorders>
              <w:top w:val="single" w:sz="8" w:color="E5FFFF"/>
              <w:bottom w:val="single" w:sz="8" w:color="E5FFFF"/>
            </w:tcBorders>
            <w:shd w:val="clear" w:color="auto" w:fill="E5FFFF"/>
          </w:tcPr>
          <w:p>
            <w:pPr>
              <w:jc w:val="right"/>
              <w:ind w:right="120"/>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(12,570</w:t>
            </w:r>
          </w:p>
        </w:tc>
        <w:tc>
          <w:tcPr>
            <w:tcW w:w="100" w:type="dxa"/>
            <w:vAlign w:val="bottom"/>
            <w:tcBorders>
              <w:top w:val="single" w:sz="8" w:color="E5FFFF"/>
              <w:bottom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color w:val="auto"/>
                <w:w w:val="73"/>
              </w:rPr>
              <w:t>)</w:t>
            </w:r>
          </w:p>
        </w:tc>
      </w:t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8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311,560</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343,725</w:t>
            </w:r>
          </w:p>
        </w:tc>
        <w:tc>
          <w:tcPr>
            <w:tcW w:w="100" w:type="dxa"/>
            <w:vAlign w:val="bottom"/>
          </w:tcPr>
          <w:p>
            <w:pPr>
              <w:spacing w:after="0"/>
              <w:rPr>
                <w:sz w:val="19"/>
                <w:szCs w:val="19"/>
                <w:color w:val="auto"/>
              </w:rPr>
            </w:pPr>
          </w:p>
        </w:tc>
      </w:tr>
      <w:tr>
        <w:trPr>
          <w:trHeight w:val="212"/>
        </w:trPr>
        <w:tc>
          <w:tcPr>
            <w:tcW w:w="73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8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880" w:type="dxa"/>
            <w:vAlign w:val="bottom"/>
          </w:tcPr>
          <w:p>
            <w:pPr>
              <w:spacing w:after="0"/>
              <w:rPr>
                <w:sz w:val="18"/>
                <w:szCs w:val="18"/>
                <w:color w:val="auto"/>
              </w:rPr>
            </w:pPr>
          </w:p>
        </w:tc>
        <w:tc>
          <w:tcPr>
            <w:tcW w:w="1680" w:type="dxa"/>
            <w:vAlign w:val="bottom"/>
            <w:gridSpan w:val="3"/>
          </w:tcPr>
          <w:p>
            <w:pPr>
              <w:jc w:val="right"/>
              <w:ind w:right="120"/>
              <w:spacing w:after="0"/>
              <w:rPr>
                <w:sz w:val="20"/>
                <w:szCs w:val="20"/>
                <w:color w:val="auto"/>
              </w:rPr>
            </w:pPr>
            <w:r>
              <w:rPr>
                <w:rFonts w:ascii="Arial" w:cs="Arial" w:eastAsia="Arial" w:hAnsi="Arial"/>
                <w:sz w:val="16"/>
                <w:szCs w:val="16"/>
                <w:color w:val="auto"/>
              </w:rPr>
              <w:t>(117,196)</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(121,688)</w:t>
            </w:r>
          </w:p>
        </w:tc>
      </w:tr>
      <w:tr>
        <w:trPr>
          <w:trHeight w:val="219"/>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Proceeds from sale and leasebacks of tangible fixed assets, net</w:t>
            </w:r>
          </w:p>
        </w:tc>
        <w:tc>
          <w:tcPr>
            <w:tcW w:w="880" w:type="dxa"/>
            <w:vAlign w:val="bottom"/>
            <w:shd w:val="clear" w:color="auto" w:fill="E5FFFF"/>
          </w:tcPr>
          <w:p>
            <w:pPr>
              <w:spacing w:after="0"/>
              <w:rPr>
                <w:sz w:val="19"/>
                <w:szCs w:val="19"/>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123,448</w:t>
            </w:r>
          </w:p>
        </w:tc>
        <w:tc>
          <w:tcPr>
            <w:tcW w:w="200" w:type="dxa"/>
            <w:vAlign w:val="bottom"/>
            <w:shd w:val="clear" w:color="auto" w:fill="E5FFFF"/>
          </w:tcPr>
          <w:p>
            <w:pPr>
              <w:spacing w:after="0"/>
              <w:rPr>
                <w:sz w:val="19"/>
                <w:szCs w:val="19"/>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278,297</w:t>
            </w:r>
          </w:p>
        </w:tc>
        <w:tc>
          <w:tcPr>
            <w:tcW w:w="100" w:type="dxa"/>
            <w:vAlign w:val="bottom"/>
            <w:shd w:val="clear" w:color="auto" w:fill="E5FFFF"/>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Proceeds from Floating Storage Regasification Unit (“FSRU”) forthcoming sale</w:t>
            </w: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79,526</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106,896</w:t>
            </w:r>
          </w:p>
        </w:tc>
        <w:tc>
          <w:tcPr>
            <w:tcW w:w="100" w:type="dxa"/>
            <w:vAlign w:val="bottom"/>
          </w:tcPr>
          <w:p>
            <w:pPr>
              <w:spacing w:after="0"/>
              <w:rPr>
                <w:sz w:val="18"/>
                <w:szCs w:val="18"/>
                <w:color w:val="auto"/>
              </w:rPr>
            </w:pPr>
          </w:p>
        </w:tc>
      </w:tr>
      <w:tr>
        <w:trPr>
          <w:trHeight w:val="219"/>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Other investments</w:t>
            </w:r>
          </w:p>
        </w:tc>
        <w:tc>
          <w:tcPr>
            <w:tcW w:w="880" w:type="dxa"/>
            <w:vAlign w:val="bottom"/>
            <w:shd w:val="clear" w:color="auto" w:fill="E5FFFF"/>
          </w:tcPr>
          <w:p>
            <w:pPr>
              <w:spacing w:after="0"/>
              <w:rPr>
                <w:sz w:val="19"/>
                <w:szCs w:val="19"/>
                <w:color w:val="auto"/>
              </w:rPr>
            </w:pPr>
          </w:p>
        </w:tc>
        <w:tc>
          <w:tcPr>
            <w:tcW w:w="168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(103)</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(13,229)</w:t>
            </w: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Payments for right-of-use assets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(4,312)</w:t>
            </w:r>
          </w:p>
        </w:tc>
      </w:tr>
      <w:tr>
        <w:trPr>
          <w:trHeight w:val="219"/>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Dividends received from associate</w:t>
            </w:r>
          </w:p>
        </w:tc>
        <w:tc>
          <w:tcPr>
            <w:tcW w:w="8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E5FFFF"/>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Purchase of short-term cash deposits</w:t>
            </w:r>
          </w:p>
        </w:tc>
        <w:tc>
          <w:tcPr>
            <w:tcW w:w="880" w:type="dxa"/>
            <w:vAlign w:val="bottom"/>
          </w:tcPr>
          <w:p>
            <w:pPr>
              <w:spacing w:after="0"/>
              <w:rPr>
                <w:sz w:val="18"/>
                <w:szCs w:val="18"/>
                <w:color w:val="auto"/>
              </w:rPr>
            </w:pPr>
          </w:p>
        </w:tc>
        <w:tc>
          <w:tcPr>
            <w:tcW w:w="1680" w:type="dxa"/>
            <w:vAlign w:val="bottom"/>
            <w:gridSpan w:val="3"/>
          </w:tcPr>
          <w:p>
            <w:pPr>
              <w:jc w:val="right"/>
              <w:ind w:right="120"/>
              <w:spacing w:after="0"/>
              <w:rPr>
                <w:sz w:val="20"/>
                <w:szCs w:val="20"/>
                <w:color w:val="auto"/>
              </w:rPr>
            </w:pPr>
            <w:r>
              <w:rPr>
                <w:rFonts w:ascii="Arial" w:cs="Arial" w:eastAsia="Arial" w:hAnsi="Arial"/>
                <w:sz w:val="16"/>
                <w:szCs w:val="16"/>
                <w:color w:val="auto"/>
              </w:rPr>
              <w:t>(10,000)</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(92,000)</w:t>
            </w:r>
          </w:p>
        </w:tc>
      </w:tr>
      <w:tr>
        <w:trPr>
          <w:trHeight w:val="219"/>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cash deposits</w:t>
            </w:r>
          </w:p>
        </w:tc>
        <w:tc>
          <w:tcPr>
            <w:tcW w:w="8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87,000</w:t>
            </w:r>
          </w:p>
        </w:tc>
        <w:tc>
          <w:tcPr>
            <w:tcW w:w="100" w:type="dxa"/>
            <w:vAlign w:val="bottom"/>
            <w:shd w:val="clear" w:color="auto" w:fill="E5FFFF"/>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9,575</w:t>
            </w:r>
          </w:p>
        </w:tc>
        <w:tc>
          <w:tcPr>
            <w:tcW w:w="100" w:type="dxa"/>
            <w:vAlign w:val="bottom"/>
          </w:tcPr>
          <w:p>
            <w:pPr>
              <w:spacing w:after="0"/>
              <w:rPr>
                <w:sz w:val="18"/>
                <w:szCs w:val="18"/>
                <w:color w:val="auto"/>
              </w:rPr>
            </w:pPr>
          </w:p>
        </w:tc>
      </w:tr>
      <w:tr>
        <w:trPr>
          <w:trHeight w:val="226"/>
        </w:trPr>
        <w:tc>
          <w:tcPr>
            <w:tcW w:w="7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Net cash provided by investing activities</w:t>
            </w:r>
          </w:p>
        </w:tc>
        <w:tc>
          <w:tcPr>
            <w:tcW w:w="880" w:type="dxa"/>
            <w:vAlign w:val="bottom"/>
            <w:shd w:val="clear" w:color="auto" w:fill="E5FFFF"/>
          </w:tcPr>
          <w:p>
            <w:pPr>
              <w:spacing w:after="0"/>
              <w:rPr>
                <w:sz w:val="19"/>
                <w:szCs w:val="19"/>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75,897</w:t>
            </w:r>
          </w:p>
        </w:tc>
        <w:tc>
          <w:tcPr>
            <w:tcW w:w="200" w:type="dxa"/>
            <w:vAlign w:val="bottom"/>
            <w:shd w:val="clear" w:color="auto" w:fill="E5FFFF"/>
          </w:tcPr>
          <w:p>
            <w:pPr>
              <w:spacing w:after="0"/>
              <w:rPr>
                <w:sz w:val="19"/>
                <w:szCs w:val="19"/>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250,964</w:t>
            </w:r>
          </w:p>
        </w:tc>
        <w:tc>
          <w:tcPr>
            <w:tcW w:w="100" w:type="dxa"/>
            <w:vAlign w:val="bottom"/>
            <w:shd w:val="clear" w:color="auto" w:fill="E5FFFF"/>
          </w:tcPr>
          <w:p>
            <w:pPr>
              <w:spacing w:after="0"/>
              <w:rPr>
                <w:sz w:val="19"/>
                <w:szCs w:val="19"/>
                <w:color w:val="auto"/>
              </w:rPr>
            </w:pPr>
          </w:p>
        </w:tc>
      </w:tr>
      <w:tr>
        <w:trPr>
          <w:trHeight w:val="206"/>
        </w:trPr>
        <w:tc>
          <w:tcPr>
            <w:tcW w:w="73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Proceeds from loans and bonds, net of discount</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312,638</w:t>
            </w:r>
          </w:p>
        </w:tc>
        <w:tc>
          <w:tcPr>
            <w:tcW w:w="2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82,444</w:t>
            </w:r>
          </w:p>
        </w:tc>
        <w:tc>
          <w:tcPr>
            <w:tcW w:w="100" w:type="dxa"/>
            <w:vAlign w:val="bottom"/>
            <w:shd w:val="clear" w:color="auto" w:fill="E5FFFF"/>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Loan and bond repayments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680" w:type="dxa"/>
            <w:vAlign w:val="bottom"/>
            <w:gridSpan w:val="3"/>
          </w:tcPr>
          <w:p>
            <w:pPr>
              <w:jc w:val="right"/>
              <w:ind w:right="120"/>
              <w:spacing w:after="0"/>
              <w:rPr>
                <w:sz w:val="20"/>
                <w:szCs w:val="20"/>
                <w:color w:val="auto"/>
              </w:rPr>
            </w:pPr>
            <w:r>
              <w:rPr>
                <w:rFonts w:ascii="Arial" w:cs="Arial" w:eastAsia="Arial" w:hAnsi="Arial"/>
                <w:sz w:val="16"/>
                <w:szCs w:val="16"/>
                <w:color w:val="auto"/>
              </w:rPr>
              <w:t>(543,116)</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(374,023)</w:t>
            </w: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Principal elements of lease payments</w:t>
            </w:r>
          </w:p>
        </w:tc>
        <w:tc>
          <w:tcPr>
            <w:tcW w:w="880" w:type="dxa"/>
            <w:vAlign w:val="bottom"/>
            <w:shd w:val="clear" w:color="auto" w:fill="E5FFFF"/>
          </w:tcPr>
          <w:p>
            <w:pPr>
              <w:spacing w:after="0"/>
              <w:rPr>
                <w:sz w:val="18"/>
                <w:szCs w:val="18"/>
                <w:color w:val="auto"/>
              </w:rPr>
            </w:pPr>
          </w:p>
        </w:tc>
        <w:tc>
          <w:tcPr>
            <w:tcW w:w="168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(18,707)</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(27,868)</w:t>
            </w: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Interest paid</w:t>
            </w:r>
          </w:p>
        </w:tc>
        <w:tc>
          <w:tcPr>
            <w:tcW w:w="880" w:type="dxa"/>
            <w:vAlign w:val="bottom"/>
          </w:tcPr>
          <w:p>
            <w:pPr>
              <w:spacing w:after="0"/>
              <w:rPr>
                <w:sz w:val="18"/>
                <w:szCs w:val="18"/>
                <w:color w:val="auto"/>
              </w:rPr>
            </w:pPr>
          </w:p>
        </w:tc>
        <w:tc>
          <w:tcPr>
            <w:tcW w:w="1680" w:type="dxa"/>
            <w:vAlign w:val="bottom"/>
            <w:gridSpan w:val="3"/>
          </w:tcPr>
          <w:p>
            <w:pPr>
              <w:jc w:val="right"/>
              <w:ind w:right="120"/>
              <w:spacing w:after="0"/>
              <w:rPr>
                <w:sz w:val="20"/>
                <w:szCs w:val="20"/>
                <w:color w:val="auto"/>
              </w:rPr>
            </w:pPr>
            <w:r>
              <w:rPr>
                <w:rFonts w:ascii="Arial" w:cs="Arial" w:eastAsia="Arial" w:hAnsi="Arial"/>
                <w:sz w:val="16"/>
                <w:szCs w:val="16"/>
                <w:color w:val="auto"/>
              </w:rPr>
              <w:t>(73,511)</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(114,245)</w:t>
            </w:r>
          </w:p>
        </w:tc>
      </w:tr>
      <w:tr>
        <w:trPr>
          <w:trHeight w:val="219"/>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Release of cash collaterals for swaps</w:t>
            </w:r>
          </w:p>
        </w:tc>
        <w:tc>
          <w:tcPr>
            <w:tcW w:w="880" w:type="dxa"/>
            <w:vAlign w:val="bottom"/>
            <w:shd w:val="clear" w:color="auto" w:fill="E5FFFF"/>
          </w:tcPr>
          <w:p>
            <w:pPr>
              <w:spacing w:after="0"/>
              <w:rPr>
                <w:sz w:val="19"/>
                <w:szCs w:val="19"/>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990</w:t>
            </w:r>
          </w:p>
        </w:tc>
        <w:tc>
          <w:tcPr>
            <w:tcW w:w="200" w:type="dxa"/>
            <w:vAlign w:val="bottom"/>
            <w:shd w:val="clear" w:color="auto" w:fill="E5FFFF"/>
          </w:tcPr>
          <w:p>
            <w:pPr>
              <w:spacing w:after="0"/>
              <w:rPr>
                <w:sz w:val="19"/>
                <w:szCs w:val="19"/>
                <w:color w:val="auto"/>
              </w:rPr>
            </w:pPr>
          </w:p>
        </w:tc>
        <w:tc>
          <w:tcPr>
            <w:tcW w:w="136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Payment of loan and bond issuance costs</w:t>
            </w:r>
          </w:p>
        </w:tc>
        <w:tc>
          <w:tcPr>
            <w:tcW w:w="880" w:type="dxa"/>
            <w:vAlign w:val="bottom"/>
          </w:tcPr>
          <w:p>
            <w:pPr>
              <w:spacing w:after="0"/>
              <w:rPr>
                <w:sz w:val="18"/>
                <w:szCs w:val="18"/>
                <w:color w:val="auto"/>
              </w:rPr>
            </w:pPr>
          </w:p>
        </w:tc>
        <w:tc>
          <w:tcPr>
            <w:tcW w:w="1680" w:type="dxa"/>
            <w:vAlign w:val="bottom"/>
            <w:gridSpan w:val="3"/>
          </w:tcPr>
          <w:p>
            <w:pPr>
              <w:jc w:val="right"/>
              <w:ind w:right="120"/>
              <w:spacing w:after="0"/>
              <w:rPr>
                <w:sz w:val="20"/>
                <w:szCs w:val="20"/>
                <w:color w:val="auto"/>
              </w:rPr>
            </w:pPr>
            <w:r>
              <w:rPr>
                <w:rFonts w:ascii="Arial" w:cs="Arial" w:eastAsia="Arial" w:hAnsi="Arial"/>
                <w:sz w:val="16"/>
                <w:szCs w:val="16"/>
                <w:color w:val="auto"/>
              </w:rPr>
              <w:t>(1,580)</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(724)</w:t>
            </w:r>
          </w:p>
        </w:tc>
      </w:tr>
      <w:tr>
        <w:trPr>
          <w:trHeight w:val="205"/>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Proceeds from interest rate swaps termination</w:t>
            </w:r>
          </w:p>
        </w:tc>
        <w:tc>
          <w:tcPr>
            <w:tcW w:w="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w:t>
            </w:r>
          </w:p>
        </w:tc>
        <w:tc>
          <w:tcPr>
            <w:tcW w:w="24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3,706</w:t>
            </w:r>
          </w:p>
        </w:tc>
        <w:tc>
          <w:tcPr>
            <w:tcW w:w="100" w:type="dxa"/>
            <w:vAlign w:val="bottom"/>
            <w:shd w:val="clear" w:color="auto" w:fill="E5FFFF"/>
          </w:tcPr>
          <w:p>
            <w:pPr>
              <w:spacing w:after="0"/>
              <w:rPr>
                <w:sz w:val="17"/>
                <w:szCs w:val="17"/>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Payment of equity raising costs</w:t>
            </w:r>
          </w:p>
        </w:tc>
        <w:tc>
          <w:tcPr>
            <w:tcW w:w="880" w:type="dxa"/>
            <w:vAlign w:val="bottom"/>
          </w:tcPr>
          <w:p>
            <w:pPr>
              <w:spacing w:after="0"/>
              <w:rPr>
                <w:sz w:val="18"/>
                <w:szCs w:val="18"/>
                <w:color w:val="auto"/>
              </w:rPr>
            </w:pPr>
          </w:p>
        </w:tc>
        <w:tc>
          <w:tcPr>
            <w:tcW w:w="1680" w:type="dxa"/>
            <w:vAlign w:val="bottom"/>
            <w:gridSpan w:val="3"/>
          </w:tcPr>
          <w:p>
            <w:pPr>
              <w:jc w:val="right"/>
              <w:ind w:right="120"/>
              <w:spacing w:after="0"/>
              <w:rPr>
                <w:sz w:val="20"/>
                <w:szCs w:val="20"/>
                <w:color w:val="auto"/>
              </w:rPr>
            </w:pPr>
            <w:r>
              <w:rPr>
                <w:rFonts w:ascii="Arial" w:cs="Arial" w:eastAsia="Arial" w:hAnsi="Arial"/>
                <w:sz w:val="16"/>
                <w:szCs w:val="16"/>
                <w:color w:val="auto"/>
              </w:rPr>
              <w:t>(20)</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Dividends paid (common and preference)</w:t>
            </w:r>
          </w:p>
        </w:tc>
        <w:tc>
          <w:tcPr>
            <w:tcW w:w="880" w:type="dxa"/>
            <w:vAlign w:val="bottom"/>
            <w:shd w:val="clear" w:color="auto" w:fill="E5FFFF"/>
          </w:tcPr>
          <w:p>
            <w:pPr>
              <w:spacing w:after="0"/>
              <w:rPr>
                <w:sz w:val="19"/>
                <w:szCs w:val="19"/>
                <w:color w:val="auto"/>
              </w:rPr>
            </w:pPr>
          </w:p>
        </w:tc>
        <w:tc>
          <w:tcPr>
            <w:tcW w:w="168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(55,400)</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(44,789)</w:t>
            </w:r>
          </w:p>
        </w:tc>
      </w:tr>
      <w:tr>
        <w:trPr>
          <w:trHeight w:val="227"/>
        </w:trPr>
        <w:tc>
          <w:tcPr>
            <w:tcW w:w="7320" w:type="dxa"/>
            <w:vAlign w:val="bottom"/>
          </w:tcPr>
          <w:p>
            <w:pPr>
              <w:spacing w:after="0"/>
              <w:rPr>
                <w:sz w:val="20"/>
                <w:szCs w:val="20"/>
                <w:color w:val="auto"/>
              </w:rPr>
            </w:pPr>
            <w:r>
              <w:rPr>
                <w:rFonts w:ascii="Arial" w:cs="Arial" w:eastAsia="Arial" w:hAnsi="Arial"/>
                <w:sz w:val="16"/>
                <w:szCs w:val="16"/>
                <w:color w:val="auto"/>
              </w:rPr>
              <w:t>Repurchase of GasLog Partners’ preference units</w:t>
            </w:r>
          </w:p>
        </w:tc>
        <w:tc>
          <w:tcPr>
            <w:tcW w:w="880" w:type="dxa"/>
            <w:vAlign w:val="bottom"/>
          </w:tcPr>
          <w:p>
            <w:pPr>
              <w:spacing w:after="0"/>
              <w:rPr>
                <w:sz w:val="19"/>
                <w:szCs w:val="19"/>
                <w:color w:val="auto"/>
              </w:rPr>
            </w:pPr>
          </w:p>
        </w:tc>
        <w:tc>
          <w:tcPr>
            <w:tcW w:w="1680" w:type="dxa"/>
            <w:vAlign w:val="bottom"/>
            <w:gridSpan w:val="3"/>
          </w:tcPr>
          <w:p>
            <w:pPr>
              <w:jc w:val="right"/>
              <w:ind w:right="120"/>
              <w:spacing w:after="0"/>
              <w:rPr>
                <w:sz w:val="20"/>
                <w:szCs w:val="20"/>
                <w:color w:val="auto"/>
              </w:rPr>
            </w:pPr>
            <w:r>
              <w:rPr>
                <w:rFonts w:ascii="Arial" w:cs="Arial" w:eastAsia="Arial" w:hAnsi="Arial"/>
                <w:sz w:val="16"/>
                <w:szCs w:val="16"/>
                <w:color w:val="auto"/>
              </w:rPr>
              <w:t>(18,740)</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73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88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(397,446</w:t>
            </w:r>
          </w:p>
        </w:tc>
        <w:tc>
          <w:tcPr>
            <w:tcW w:w="200" w:type="dxa"/>
            <w:vAlign w:val="bottom"/>
            <w:tcBorders>
              <w:top w:val="single" w:sz="8" w:color="E5FFFF"/>
            </w:tcBorders>
            <w:shd w:val="clear" w:color="auto" w:fill="E5FFFF"/>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(475,499</w:t>
            </w:r>
          </w:p>
        </w:tc>
        <w:tc>
          <w:tcPr>
            <w:tcW w:w="100" w:type="dxa"/>
            <w:vAlign w:val="bottom"/>
            <w:tcBorders>
              <w:top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06"/>
        </w:trPr>
        <w:tc>
          <w:tcPr>
            <w:tcW w:w="7320" w:type="dxa"/>
            <w:vAlign w:val="bottom"/>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7"/>
                <w:szCs w:val="17"/>
                <w:color w:val="auto"/>
              </w:rPr>
            </w:pPr>
          </w:p>
        </w:tc>
      </w:tr>
      <w:tr>
        <w:trPr>
          <w:trHeight w:val="226"/>
        </w:trPr>
        <w:tc>
          <w:tcPr>
            <w:tcW w:w="7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(Decrease)/increase in cash and cash equivalents</w:t>
            </w:r>
          </w:p>
        </w:tc>
        <w:tc>
          <w:tcPr>
            <w:tcW w:w="8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(10,469)</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119,838</w:t>
            </w:r>
          </w:p>
        </w:tc>
        <w:tc>
          <w:tcPr>
            <w:tcW w:w="100" w:type="dxa"/>
            <w:vAlign w:val="bottom"/>
            <w:shd w:val="clear" w:color="auto" w:fill="E5FFFF"/>
          </w:tcPr>
          <w:p>
            <w:pPr>
              <w:spacing w:after="0"/>
              <w:rPr>
                <w:sz w:val="19"/>
                <w:szCs w:val="19"/>
                <w:color w:val="auto"/>
              </w:rPr>
            </w:pPr>
          </w:p>
        </w:tc>
      </w:tr>
      <w:tr>
        <w:trPr>
          <w:trHeight w:val="206"/>
        </w:trPr>
        <w:tc>
          <w:tcPr>
            <w:tcW w:w="73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88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282,246</w:t>
            </w:r>
          </w:p>
        </w:tc>
        <w:tc>
          <w:tcPr>
            <w:tcW w:w="20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368,286</w:t>
            </w:r>
          </w:p>
        </w:tc>
        <w:tc>
          <w:tcPr>
            <w:tcW w:w="100" w:type="dxa"/>
            <w:vAlign w:val="bottom"/>
            <w:tcBorders>
              <w:bottom w:val="single" w:sz="8" w:color="E5FFFF"/>
            </w:tcBorders>
          </w:tcPr>
          <w:p>
            <w:pPr>
              <w:spacing w:after="0"/>
              <w:rPr>
                <w:sz w:val="17"/>
                <w:szCs w:val="17"/>
                <w:color w:val="auto"/>
              </w:rPr>
            </w:pPr>
          </w:p>
        </w:tc>
      </w:tr>
      <w:tr>
        <w:trPr>
          <w:trHeight w:val="263"/>
        </w:trPr>
        <w:tc>
          <w:tcPr>
            <w:tcW w:w="7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880" w:type="dxa"/>
            <w:vAlign w:val="bottom"/>
            <w:shd w:val="clear" w:color="auto" w:fill="E5FFFF"/>
          </w:tcPr>
          <w:p>
            <w:pPr>
              <w:spacing w:after="0"/>
              <w:rPr>
                <w:sz w:val="22"/>
                <w:szCs w:val="22"/>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271,777</w:t>
            </w:r>
          </w:p>
        </w:tc>
        <w:tc>
          <w:tcPr>
            <w:tcW w:w="200" w:type="dxa"/>
            <w:vAlign w:val="bottom"/>
            <w:shd w:val="clear" w:color="auto" w:fill="E5FFFF"/>
          </w:tcPr>
          <w:p>
            <w:pPr>
              <w:spacing w:after="0"/>
              <w:rPr>
                <w:sz w:val="22"/>
                <w:szCs w:val="22"/>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488,124</w:t>
            </w:r>
          </w:p>
        </w:tc>
        <w:tc>
          <w:tcPr>
            <w:tcW w:w="100" w:type="dxa"/>
            <w:vAlign w:val="bottom"/>
            <w:shd w:val="clear" w:color="auto" w:fill="E5FFFF"/>
          </w:tcPr>
          <w:p>
            <w:pPr>
              <w:spacing w:after="0"/>
              <w:rPr>
                <w:sz w:val="22"/>
                <w:szCs w:val="22"/>
                <w:color w:val="auto"/>
              </w:rPr>
            </w:pPr>
          </w:p>
        </w:tc>
      </w:tr>
      <w:tr>
        <w:trPr>
          <w:trHeight w:val="200"/>
        </w:trPr>
        <w:tc>
          <w:tcPr>
            <w:tcW w:w="7320" w:type="dxa"/>
            <w:vAlign w:val="bottom"/>
            <w:tcBorders>
              <w:top w:val="single" w:sz="8" w:color="E5FFFF"/>
            </w:tcBorders>
          </w:tcPr>
          <w:p>
            <w:pPr>
              <w:spacing w:after="0"/>
              <w:rPr>
                <w:sz w:val="17"/>
                <w:szCs w:val="17"/>
                <w:color w:val="auto"/>
              </w:rPr>
            </w:pPr>
          </w:p>
        </w:tc>
        <w:tc>
          <w:tcPr>
            <w:tcW w:w="880" w:type="dxa"/>
            <w:vAlign w:val="bottom"/>
            <w:tcBorders>
              <w:top w:val="single" w:sz="8" w:color="E5FFFF"/>
            </w:tcBorders>
          </w:tcPr>
          <w:p>
            <w:pPr>
              <w:spacing w:after="0"/>
              <w:rPr>
                <w:sz w:val="17"/>
                <w:szCs w:val="17"/>
                <w:color w:val="auto"/>
              </w:rPr>
            </w:pPr>
          </w:p>
        </w:tc>
        <w:tc>
          <w:tcPr>
            <w:tcW w:w="240" w:type="dxa"/>
            <w:vAlign w:val="bottom"/>
            <w:tcBorders>
              <w:top w:val="single" w:sz="8" w:color="E5FF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Borders>
              <w:top w:val="single" w:sz="8" w:color="E5FF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E5FFFF"/>
            </w:tcBorders>
          </w:tcPr>
          <w:p>
            <w:pPr>
              <w:spacing w:after="0"/>
              <w:rPr>
                <w:sz w:val="17"/>
                <w:szCs w:val="17"/>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8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12,130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22,066</w:t>
            </w:r>
          </w:p>
        </w:tc>
        <w:tc>
          <w:tcPr>
            <w:tcW w:w="100" w:type="dxa"/>
            <w:vAlign w:val="bottom"/>
          </w:tcPr>
          <w:p>
            <w:pPr>
              <w:spacing w:after="0"/>
              <w:rPr>
                <w:sz w:val="18"/>
                <w:szCs w:val="18"/>
                <w:color w:val="auto"/>
              </w:rPr>
            </w:pPr>
          </w:p>
        </w:tc>
      </w:tr>
      <w:tr>
        <w:trPr>
          <w:trHeight w:val="219"/>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Capital expenditures included in liabilities at the end of the period – Right-of-use assets</w:t>
            </w:r>
          </w:p>
        </w:tc>
        <w:tc>
          <w:tcPr>
            <w:tcW w:w="880" w:type="dxa"/>
            <w:vAlign w:val="bottom"/>
            <w:shd w:val="clear" w:color="auto" w:fill="E5FFFF"/>
          </w:tcPr>
          <w:p>
            <w:pPr>
              <w:spacing w:after="0"/>
              <w:rPr>
                <w:sz w:val="19"/>
                <w:szCs w:val="19"/>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169</w:t>
            </w:r>
          </w:p>
        </w:tc>
        <w:tc>
          <w:tcPr>
            <w:tcW w:w="200" w:type="dxa"/>
            <w:vAlign w:val="bottom"/>
            <w:shd w:val="clear" w:color="auto" w:fill="E5FFFF"/>
          </w:tcPr>
          <w:p>
            <w:pPr>
              <w:spacing w:after="0"/>
              <w:rPr>
                <w:sz w:val="19"/>
                <w:szCs w:val="19"/>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3,317</w:t>
            </w:r>
          </w:p>
        </w:tc>
        <w:tc>
          <w:tcPr>
            <w:tcW w:w="100" w:type="dxa"/>
            <w:vAlign w:val="bottom"/>
            <w:shd w:val="clear" w:color="auto" w:fill="E5FFFF"/>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Loan issuance costs included in liabilities at the end of the period</w:t>
            </w: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211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5,990</w:t>
            </w:r>
          </w:p>
        </w:tc>
        <w:tc>
          <w:tcPr>
            <w:tcW w:w="100" w:type="dxa"/>
            <w:vAlign w:val="bottom"/>
          </w:tcPr>
          <w:p>
            <w:pPr>
              <w:spacing w:after="0"/>
              <w:rPr>
                <w:sz w:val="18"/>
                <w:szCs w:val="18"/>
                <w:color w:val="auto"/>
              </w:rPr>
            </w:pPr>
          </w:p>
        </w:tc>
      </w:tr>
      <w:tr>
        <w:trPr>
          <w:trHeight w:val="219"/>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Dividend declared included in liabilities at the end of the period</w:t>
            </w:r>
          </w:p>
        </w:tc>
        <w:tc>
          <w:tcPr>
            <w:tcW w:w="880" w:type="dxa"/>
            <w:vAlign w:val="bottom"/>
            <w:shd w:val="clear" w:color="auto" w:fill="E5FFFF"/>
          </w:tcPr>
          <w:p>
            <w:pPr>
              <w:spacing w:after="0"/>
              <w:rPr>
                <w:sz w:val="19"/>
                <w:szCs w:val="19"/>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2,516</w:t>
            </w:r>
          </w:p>
        </w:tc>
        <w:tc>
          <w:tcPr>
            <w:tcW w:w="200" w:type="dxa"/>
            <w:vAlign w:val="bottom"/>
            <w:shd w:val="clear" w:color="auto" w:fill="E5FFFF"/>
          </w:tcPr>
          <w:p>
            <w:pPr>
              <w:spacing w:after="0"/>
              <w:rPr>
                <w:sz w:val="19"/>
                <w:szCs w:val="19"/>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2,516</w:t>
            </w:r>
          </w:p>
        </w:tc>
        <w:tc>
          <w:tcPr>
            <w:tcW w:w="100" w:type="dxa"/>
            <w:vAlign w:val="bottom"/>
            <w:shd w:val="clear" w:color="auto" w:fill="E5FFFF"/>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Non-cash prepayment of lease payments</w:t>
            </w:r>
          </w:p>
        </w:tc>
        <w:tc>
          <w:tcPr>
            <w:tcW w:w="8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26,557</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24,459</w:t>
            </w:r>
          </w:p>
        </w:tc>
        <w:tc>
          <w:tcPr>
            <w:tcW w:w="100" w:type="dxa"/>
            <w:vAlign w:val="bottom"/>
          </w:tcPr>
          <w:p>
            <w:pPr>
              <w:spacing w:after="0"/>
              <w:rPr>
                <w:sz w:val="18"/>
                <w:szCs w:val="18"/>
                <w:color w:val="auto"/>
              </w:rPr>
            </w:pPr>
          </w:p>
        </w:tc>
      </w:tr>
      <w:tr>
        <w:trPr>
          <w:trHeight w:val="219"/>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Capitalized imputed interest included in long-term liabilities at the end of the period</w:t>
            </w:r>
          </w:p>
        </w:tc>
        <w:tc>
          <w:tcPr>
            <w:tcW w:w="880" w:type="dxa"/>
            <w:vAlign w:val="bottom"/>
            <w:shd w:val="clear" w:color="auto" w:fill="E5FFFF"/>
          </w:tcPr>
          <w:p>
            <w:pPr>
              <w:spacing w:after="0"/>
              <w:rPr>
                <w:sz w:val="19"/>
                <w:szCs w:val="19"/>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1,198</w:t>
            </w:r>
          </w:p>
        </w:tc>
        <w:tc>
          <w:tcPr>
            <w:tcW w:w="200" w:type="dxa"/>
            <w:vAlign w:val="bottom"/>
            <w:shd w:val="clear" w:color="auto" w:fill="E5FFFF"/>
          </w:tcPr>
          <w:p>
            <w:pPr>
              <w:spacing w:after="0"/>
              <w:rPr>
                <w:sz w:val="19"/>
                <w:szCs w:val="19"/>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7,352</w:t>
            </w:r>
          </w:p>
        </w:tc>
        <w:tc>
          <w:tcPr>
            <w:tcW w:w="100" w:type="dxa"/>
            <w:vAlign w:val="bottom"/>
            <w:shd w:val="clear" w:color="auto" w:fill="E5FFFF"/>
          </w:tcPr>
          <w:p>
            <w:pPr>
              <w:spacing w:after="0"/>
              <w:rPr>
                <w:sz w:val="19"/>
                <w:szCs w:val="19"/>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6"/>
                <w:szCs w:val="16"/>
                <w:color w:val="auto"/>
              </w:rPr>
              <w:t>Capitalized interest included in current liabilities at the end of the period</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2,546</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-7239635</wp:posOffset>
            </wp:positionV>
            <wp:extent cx="68580" cy="7244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724408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2022 and 2023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239" w:lineRule="exact"/>
        <w:rPr>
          <w:sz w:val="20"/>
          <w:szCs w:val="20"/>
          <w:color w:val="auto"/>
        </w:rPr>
      </w:pPr>
    </w:p>
    <w:p>
      <w:pPr>
        <w:ind w:right="140" w:firstLine="324"/>
        <w:spacing w:after="0" w:line="271" w:lineRule="auto"/>
        <w:rPr>
          <w:sz w:val="20"/>
          <w:szCs w:val="20"/>
          <w:color w:val="auto"/>
        </w:rPr>
      </w:pPr>
      <w:r>
        <w:rPr>
          <w:rFonts w:ascii="Arial" w:cs="Arial" w:eastAsia="Arial" w:hAnsi="Arial"/>
          <w:sz w:val="16"/>
          <w:szCs w:val="16"/>
          <w:color w:val="auto"/>
        </w:rPr>
        <w:t>GasLog Ltd. (“GasLog”) was incorporated in Bermuda on July 16, 2003. GasLog and its subsidiaries (the “Company” or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lease asset companies, right-of-use asset companies and through its vessel management services subsidiary. The Group’s operations are carried out from offices in Piraeus, London and Singapore. The registered office of GasLog is Clarendon House, 2 Church Street, Hamilton HM 11, Bermuda.</w:t>
      </w:r>
    </w:p>
    <w:p>
      <w:pPr>
        <w:spacing w:after="0" w:line="190" w:lineRule="exact"/>
        <w:rPr>
          <w:sz w:val="20"/>
          <w:szCs w:val="20"/>
          <w:color w:val="auto"/>
        </w:rPr>
      </w:pPr>
    </w:p>
    <w:p>
      <w:pPr>
        <w:ind w:right="60" w:firstLine="324"/>
        <w:spacing w:after="0" w:line="289" w:lineRule="auto"/>
        <w:rPr>
          <w:sz w:val="20"/>
          <w:szCs w:val="20"/>
          <w:color w:val="auto"/>
        </w:rPr>
      </w:pPr>
      <w:r>
        <w:rPr>
          <w:rFonts w:ascii="Arial" w:cs="Arial" w:eastAsia="Arial" w:hAnsi="Arial"/>
          <w:sz w:val="15"/>
          <w:szCs w:val="15"/>
          <w:color w:val="auto"/>
        </w:rPr>
        <w:t>On February 21, 2021, GasLog entered into an agreement and plan of merger (the “2021 Merger Agreement”) with BlackRock’s Global Energy &amp; Power Infrastructure Team (collectively, “GEPIF”), pursuant to which GEPIF acquired all of the outstanding common shares of GasLog Ltd. that were not held by certain existing shareholders of GasLog Ltd. for a purchase price of $5.80 in cash per share (the “2021 Transaction”). On June 4, 2021, the special general meeting of shareholders (the “Special Meeting”) was held, and shareholders approved (i) the previously announced Merger Agreement, (ii) the merger and (iii) the statutory merger agreement contemplated by the Merger Agreement. Trading in GasLog’s common shares on the New York Stock Exchange (“NYSE”) was suspended and the delisting of the common shares from the NYSE became effective on June 21, 2021. GasLog’s 8.75% Series A Cumulative Redeemable Perpetual Preference Shares (“Preference Shares”) remain outstanding and continue to trade in the NYSE under the ticker symbol “GLOG PR A”.</w:t>
      </w:r>
    </w:p>
    <w:p>
      <w:pPr>
        <w:spacing w:after="0" w:line="180" w:lineRule="exact"/>
        <w:rPr>
          <w:sz w:val="20"/>
          <w:szCs w:val="20"/>
          <w:color w:val="auto"/>
        </w:rPr>
      </w:pPr>
    </w:p>
    <w:p>
      <w:pPr>
        <w:ind w:right="20" w:firstLine="324"/>
        <w:spacing w:after="0" w:line="315" w:lineRule="auto"/>
        <w:rPr>
          <w:sz w:val="20"/>
          <w:szCs w:val="20"/>
          <w:color w:val="auto"/>
        </w:rPr>
      </w:pPr>
      <w:r>
        <w:rPr>
          <w:rFonts w:ascii="Arial" w:cs="Arial" w:eastAsia="Arial" w:hAnsi="Arial"/>
          <w:sz w:val="14"/>
          <w:szCs w:val="14"/>
          <w:color w:val="auto"/>
        </w:rPr>
        <w:t>Following the consummation of the 2021 Transaction on June 9, 2021, the Company, Blenheim Holdings Ltd., Blenheim Special Investments Holding Ltd. and Olympic LNG Investments Ltd. (collectively, the “Rolling Shareholders”) and GEPIF entered into a shareholders’ agreement with respect to the governance of the Company (the “Shareholders’ Agreement”). Pursuant to the Shareholders’ Agreement, the board of directors of the Company were reduced to five persons, and the Rolling Shareholders that are party to the Shareholders’ Agreement will appoint a majority of the Company’s board of directors in accordance with the terms of the Shareholders’ Agreement. In addition, Peter G. Livanos holds a proxy to vote the shares of the Rolling Shareholders under the terms of the Shareholders’ Agreement and, as a result of holding such proxy, controls more than a majority of the voting stock of the Company and controls the right to appoint a majority of the board of the Company.</w:t>
      </w:r>
    </w:p>
    <w:p>
      <w:pPr>
        <w:spacing w:after="0" w:line="163" w:lineRule="exact"/>
        <w:rPr>
          <w:sz w:val="20"/>
          <w:szCs w:val="20"/>
          <w:color w:val="auto"/>
        </w:rPr>
      </w:pPr>
    </w:p>
    <w:p>
      <w:pPr>
        <w:ind w:right="100" w:firstLine="324"/>
        <w:spacing w:after="0" w:line="288" w:lineRule="auto"/>
        <w:rPr>
          <w:sz w:val="20"/>
          <w:szCs w:val="20"/>
          <w:color w:val="auto"/>
        </w:rPr>
      </w:pPr>
      <w:r>
        <w:rPr>
          <w:rFonts w:ascii="Arial" w:cs="Arial" w:eastAsia="Arial" w:hAnsi="Arial"/>
          <w:sz w:val="15"/>
          <w:szCs w:val="15"/>
          <w:color w:val="auto"/>
        </w:rPr>
        <w:t>On January 24, 2023, the board of directors extended to GasLog Partners LP (“GasLog Partners” or the “Partnership”) an unsolicited non-binding proposal to acquire all of the outstanding common units representing limited partner interests of the Partnership not already beneficially owned by GasLog. On April 6, 2023, GasLog entered into an Agreement and Plan of Merger (the “Merger Agreement”) with the Partnership, GasLog Partners GP LLC, the general partner of the Partnership, and Saturn Merger Sub LLC, a wholly owned subsidiary of GasLog (“Merger Sub”). Pursuant to the Merger Agreement, (i) Merger Sub would merge with and into the Partnership, with the Partnership surviving as a direct subsidiary of GasLog, and (ii) GasLog would acquire the outstanding common units of the Partnership not beneficially owned by GasLog for overall consideration of $8.65 per common unit in cash (the “Transaction”), consisting in part of a special distribution by the Partnership of $3.28 per common unit in cash (the “Special Distribution”) that would be distributed to the Partnership’s unitholders in connection with the closing of the Transaction and the remainder to be paid by GasLog as merger consideration at the closing of the Transaction.</w:t>
      </w:r>
    </w:p>
    <w:p>
      <w:pPr>
        <w:spacing w:after="0" w:line="180" w:lineRule="exact"/>
        <w:rPr>
          <w:sz w:val="20"/>
          <w:szCs w:val="20"/>
          <w:color w:val="auto"/>
        </w:rPr>
      </w:pPr>
    </w:p>
    <w:p>
      <w:pPr>
        <w:ind w:right="60" w:firstLine="324"/>
        <w:spacing w:after="0" w:line="271" w:lineRule="auto"/>
        <w:rPr>
          <w:sz w:val="20"/>
          <w:szCs w:val="20"/>
          <w:color w:val="auto"/>
        </w:rPr>
      </w:pPr>
      <w:r>
        <w:rPr>
          <w:rFonts w:ascii="Arial" w:cs="Arial" w:eastAsia="Arial" w:hAnsi="Arial"/>
          <w:sz w:val="16"/>
          <w:szCs w:val="16"/>
          <w:color w:val="auto"/>
        </w:rPr>
        <w:t>The conflicts committee (the “Conflicts Committee”) of the Partnership’s board of directors, comprised solely of independent directors and advised by its own independent legal and financial advisors, unanimously recommended that the Partnership’s board of directors approve the Merger Agreement and determined that the Transaction was in the best interests of the Partnership and the holders of its common units unaffiliated with GasLog. Acting upon the recommendation and approval of the Conflicts Committee, the Partnership’s board of directors unanimously approved the Merger Agreement and the Transaction and recommended that the common unitholders of the Partnership vote in favor of the Transaction.</w:t>
      </w:r>
    </w:p>
    <w:p>
      <w:pPr>
        <w:spacing w:after="0" w:line="190" w:lineRule="exact"/>
        <w:rPr>
          <w:sz w:val="20"/>
          <w:szCs w:val="20"/>
          <w:color w:val="auto"/>
        </w:rPr>
      </w:pPr>
    </w:p>
    <w:p>
      <w:pPr>
        <w:ind w:firstLine="324"/>
        <w:spacing w:after="0" w:line="285" w:lineRule="auto"/>
        <w:rPr>
          <w:sz w:val="20"/>
          <w:szCs w:val="20"/>
          <w:color w:val="auto"/>
        </w:rPr>
      </w:pPr>
      <w:r>
        <w:rPr>
          <w:rFonts w:ascii="Arial" w:cs="Arial" w:eastAsia="Arial" w:hAnsi="Arial"/>
          <w:sz w:val="15"/>
          <w:szCs w:val="15"/>
          <w:color w:val="auto"/>
        </w:rPr>
        <w:t>The Transaction was approved at the special meeting of the common unitholders of the Partnership held on July 7, 2023, based on the affirmative vote (in person or by proxy) of the holders of at least a majority of the common units of the Partnership entitled to vote thereon, voting as a single class, subject to a cutback for certain unitholders beneficially owning more than 4.9% of the outstanding common units (as provided for in the Partnership’s Seventh Amended and Restated Agreement of Limited Partnership and described in the proxy statement of the Partnership dated June 5, 2023 as filed with the Securities Exchange Commission (“SEC”)). The payment date for the Special Distribution was July 12, 2023. The Transaction closed on July 13, 2023 at 6:30 a.m. Eastern Time (the “Effective Time”) upon the filing of the certificate of merger with the Marshall Islands Registrar of Corporations. At the Effective Time, each common unit that was issued and outstanding immediately prior to the Effective Time (other than common units that, as of immediately prior to the Effective Time, were held by GasLog) was converted into the right to receive $5.37 in cash, without interest and reduced by any applicable tax withholding, for each common unit. Accordingly,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NYSE was suspended on July 13, 2023, and delisting of the common units took place on July 24, 2023. The Partnership’s 8.625% Series A Cumulative Redeemable Perpetual Fixed to Floating Rate Preference Units (the “Partnership’s Series A Preference Units”), 8.200% Series B Cumulative Redeemable Perpetual Fixed to Floating Rate Preference Units (the “Partnership’s Series B Preference Units”) and 8.500% Series C Cumulative Redeemable Perpetual Fixed to Floating Rate Preference Units (the “Partnership’s Series C Preference Units”) remain outstanding and continue to trade on the NYSE.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GasLog Partners is consolidated in the Group’s financial statements.</w:t>
      </w:r>
    </w:p>
    <w:p>
      <w:pPr>
        <w:spacing w:after="0" w:line="23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merger consideration was partially financed by the borrowing of a term loan in an aggregate principal amount of $50,000 under a Bridge Facility Agreement dated July 3, 2023 (the “Bridge Facility Agreement”), among Merger Sub, as the original borrower, GasLog, as guarantor, DNB</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1" w:name="page22"/>
    <w:bookmarkEnd w:id="21"/>
    <w:p>
      <w:pPr>
        <w:ind w:right="100"/>
        <w:spacing w:after="0" w:line="278" w:lineRule="auto"/>
        <w:rPr>
          <w:sz w:val="20"/>
          <w:szCs w:val="20"/>
          <w:color w:val="auto"/>
        </w:rPr>
      </w:pPr>
      <w:r>
        <w:rPr>
          <w:rFonts w:ascii="Arial" w:cs="Arial" w:eastAsia="Arial" w:hAnsi="Arial"/>
          <w:sz w:val="16"/>
          <w:szCs w:val="16"/>
          <w:color w:val="auto"/>
        </w:rPr>
        <w:t>(UK) Ltd., as arranger and bookrunner, the lenders party thereto and DNB Bank ASA, London Branch, as agent, with the Partnership succeeding to the obligations of Merger Sub upon the consummation of the Transaction. The aggregate principal amount outstanding under the Bridge Facility Agreement was repaid in full, together with accrued and unpaid interest, on July 26, 2023.</w:t>
      </w:r>
    </w:p>
    <w:p>
      <w:pPr>
        <w:spacing w:after="0" w:line="184" w:lineRule="exact"/>
        <w:rPr>
          <w:sz w:val="20"/>
          <w:szCs w:val="20"/>
          <w:color w:val="auto"/>
        </w:rPr>
      </w:pPr>
    </w:p>
    <w:p>
      <w:pPr>
        <w:ind w:right="40" w:firstLine="324"/>
        <w:spacing w:after="0" w:line="297" w:lineRule="auto"/>
        <w:rPr>
          <w:sz w:val="20"/>
          <w:szCs w:val="20"/>
          <w:color w:val="auto"/>
        </w:rPr>
      </w:pPr>
      <w:r>
        <w:rPr>
          <w:rFonts w:ascii="Arial" w:cs="Arial" w:eastAsia="Arial" w:hAnsi="Arial"/>
          <w:sz w:val="15"/>
          <w:szCs w:val="15"/>
          <w:color w:val="auto"/>
        </w:rPr>
        <w:t>The accompanying unaudited condensed consolidated financial statements include the financial statements of GasLog and its subsidiaries. All subsidiaries included in the unaudited condensed consolidated financial statements are 100% held (either directly or indirectly) by GasLog, except for GasLog Partners and its subsidiaries. In comparison to the Group’s structure for the year ended December 31, 2022, Saturn Merge Sub LLC was incorporated in April 2023 and no other new subsidiaries were established or acquired in the six months ended June 30, 2023 while GAS-Two Panama S.A. was dissolved in June 2023.</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23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 xml:space="preserve">These unaudited condensed consolidated financial statements have been prepared in accordance with International Accounting Standard (“IAS”) 34 </w:t>
      </w:r>
      <w:r>
        <w:rPr>
          <w:rFonts w:ascii="Arial" w:cs="Arial" w:eastAsia="Arial" w:hAnsi="Arial"/>
          <w:sz w:val="16"/>
          <w:szCs w:val="16"/>
          <w:i w:val="1"/>
          <w:iCs w:val="1"/>
          <w:color w:val="auto"/>
        </w:rPr>
        <w:t>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as issued by the International Accounting Standards Board (“IASB”). Certain information and footnote disclosures required by International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(“IFRS”) for a complete set of annual financial statements have been omitted, and, therefore, these unaudited condensed consolidated financial statements should be read in conjunction with the Group’s annual consolidated financial statements as of and for the year ended December 31, 2022, filed on an Annual Report on Form 20-F with the SEC on March 3, 2023.</w:t>
      </w:r>
    </w:p>
    <w:p>
      <w:pPr>
        <w:spacing w:after="0" w:line="190"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Company’s annual consolidated financial statements for the year ended December 31, 2022 and remain unchanged.</w:t>
      </w:r>
    </w:p>
    <w:p>
      <w:pPr>
        <w:spacing w:after="0" w:line="172" w:lineRule="exact"/>
        <w:rPr>
          <w:sz w:val="20"/>
          <w:szCs w:val="20"/>
          <w:color w:val="auto"/>
        </w:rPr>
      </w:pPr>
    </w:p>
    <w:p>
      <w:pPr>
        <w:ind w:right="20" w:firstLine="324"/>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84" w:lineRule="exact"/>
        <w:rPr>
          <w:sz w:val="20"/>
          <w:szCs w:val="20"/>
          <w:color w:val="auto"/>
        </w:rPr>
      </w:pPr>
    </w:p>
    <w:p>
      <w:pPr>
        <w:jc w:val="both"/>
        <w:ind w:right="300" w:firstLine="324"/>
        <w:spacing w:after="0" w:line="278" w:lineRule="auto"/>
        <w:rPr>
          <w:sz w:val="20"/>
          <w:szCs w:val="20"/>
          <w:color w:val="auto"/>
        </w:rPr>
      </w:pPr>
      <w:r>
        <w:rPr>
          <w:rFonts w:ascii="Arial" w:cs="Arial" w:eastAsia="Arial" w:hAnsi="Arial"/>
          <w:sz w:val="16"/>
          <w:szCs w:val="16"/>
          <w:color w:val="auto"/>
        </w:rPr>
        <w:t>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2022.</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August 3, 2023, GasLog’s board of directors authorized the unaudited condensed consolidated financial statements for issuance.</w:t>
      </w:r>
    </w:p>
    <w:p>
      <w:pPr>
        <w:spacing w:after="0" w:line="235" w:lineRule="exact"/>
        <w:rPr>
          <w:sz w:val="20"/>
          <w:szCs w:val="20"/>
          <w:color w:val="auto"/>
        </w:rPr>
      </w:pPr>
    </w:p>
    <w:p>
      <w:pPr>
        <w:ind w:right="220" w:firstLine="324"/>
        <w:spacing w:after="0" w:line="278" w:lineRule="auto"/>
        <w:rPr>
          <w:sz w:val="20"/>
          <w:szCs w:val="20"/>
          <w:color w:val="auto"/>
        </w:rPr>
      </w:pPr>
      <w:r>
        <w:rPr>
          <w:rFonts w:ascii="Arial" w:cs="Arial" w:eastAsia="Arial" w:hAnsi="Arial"/>
          <w:sz w:val="16"/>
          <w:szCs w:val="16"/>
          <w:color w:val="auto"/>
        </w:rPr>
        <w:t>As of June 30, 2023, GasLog’s current assets totaled $657,587, while current liabilities totaled $659,229, resulting in a negative working capital position of $1,642. Current liabilities include $73,614 of unearned revenue in relation to hires received in advance of June 30, 2023 (which represents a non-cash liability that will be recognized as revenue in July as the services are rendered).</w:t>
      </w:r>
    </w:p>
    <w:p>
      <w:pPr>
        <w:spacing w:after="0" w:line="184" w:lineRule="exact"/>
        <w:rPr>
          <w:sz w:val="20"/>
          <w:szCs w:val="20"/>
          <w:color w:val="auto"/>
        </w:rPr>
      </w:pPr>
    </w:p>
    <w:p>
      <w:pPr>
        <w:ind w:right="100" w:firstLine="324"/>
        <w:spacing w:after="0" w:line="318" w:lineRule="auto"/>
        <w:rPr>
          <w:sz w:val="20"/>
          <w:szCs w:val="20"/>
          <w:color w:val="auto"/>
        </w:rPr>
      </w:pPr>
      <w:r>
        <w:rPr>
          <w:rFonts w:ascii="Arial" w:cs="Arial" w:eastAsia="Arial" w:hAnsi="Arial"/>
          <w:sz w:val="14"/>
          <w:szCs w:val="14"/>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Management anticipates that its primary sources of funds over the next twelve months will be available cash, cash from operations, existing and future borrowings and future sale and leaseback transactions. Management believes that these anticipated sources of funds will be sufficient for the Company to meet its liquidity needs and to comply with its financial covenants for at least twelve months from the date of this report and therefore it is appropriate to prepare the financial statements on a going concern basis.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standards and amendments relevant to the Group were effective in the current period:</w:t>
      </w:r>
    </w:p>
    <w:p>
      <w:pPr>
        <w:spacing w:after="0" w:line="235" w:lineRule="exact"/>
        <w:rPr>
          <w:sz w:val="20"/>
          <w:szCs w:val="20"/>
          <w:color w:val="auto"/>
        </w:rPr>
      </w:pPr>
    </w:p>
    <w:p>
      <w:pPr>
        <w:jc w:val="both"/>
        <w:ind w:right="40" w:firstLine="324"/>
        <w:spacing w:after="0" w:line="273" w:lineRule="auto"/>
        <w:rPr>
          <w:sz w:val="20"/>
          <w:szCs w:val="20"/>
          <w:color w:val="auto"/>
        </w:rPr>
      </w:pPr>
      <w:r>
        <w:rPr>
          <w:rFonts w:ascii="Arial" w:cs="Arial" w:eastAsia="Arial" w:hAnsi="Arial"/>
          <w:sz w:val="16"/>
          <w:szCs w:val="16"/>
          <w:color w:val="auto"/>
        </w:rPr>
        <w:t xml:space="preserve">In February 2021, the IASB amended IAS 1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IFRS Practice Statement 2 and IAS 8 </w:t>
      </w:r>
      <w:r>
        <w:rPr>
          <w:rFonts w:ascii="Arial" w:cs="Arial" w:eastAsia="Arial" w:hAnsi="Arial"/>
          <w:sz w:val="16"/>
          <w:szCs w:val="16"/>
          <w:i w:val="1"/>
          <w:iCs w:val="1"/>
          <w:color w:val="auto"/>
        </w:rPr>
        <w:t>Accounting Policies, Changes in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Estimates and Errors </w:t>
      </w:r>
      <w:r>
        <w:rPr>
          <w:rFonts w:ascii="Arial" w:cs="Arial" w:eastAsia="Arial" w:hAnsi="Arial"/>
          <w:sz w:val="16"/>
          <w:szCs w:val="16"/>
          <w:color w:val="auto"/>
        </w:rPr>
        <w:t>to improve accounting policy disclosures and to help the users of the financial statements to distinguish between changes in accounting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accounting policies. The amendments are effective for annual periods beginning on or after January 1, 2023. These amendments did not have a material impact on the Group’s financial statements.</w:t>
      </w:r>
    </w:p>
    <w:p>
      <w:pPr>
        <w:spacing w:after="0" w:line="189" w:lineRule="exact"/>
        <w:rPr>
          <w:sz w:val="20"/>
          <w:szCs w:val="20"/>
          <w:color w:val="auto"/>
        </w:rPr>
      </w:pPr>
    </w:p>
    <w:p>
      <w:pPr>
        <w:ind w:right="340" w:firstLine="324"/>
        <w:spacing w:after="0" w:line="293" w:lineRule="auto"/>
        <w:rPr>
          <w:sz w:val="20"/>
          <w:szCs w:val="20"/>
          <w:color w:val="auto"/>
        </w:rPr>
      </w:pPr>
      <w:r>
        <w:rPr>
          <w:rFonts w:ascii="Arial" w:cs="Arial" w:eastAsia="Arial" w:hAnsi="Arial"/>
          <w:sz w:val="16"/>
          <w:szCs w:val="16"/>
          <w:color w:val="auto"/>
        </w:rPr>
        <w:t>All other IFRS standards and amendments that became effective in the current period are not relevant to the Group or are not material with respect to the Group’s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right="500" w:firstLine="324"/>
        <w:spacing w:after="0" w:line="293" w:lineRule="auto"/>
        <w:rPr>
          <w:sz w:val="20"/>
          <w:szCs w:val="20"/>
          <w:color w:val="auto"/>
        </w:rPr>
      </w:pPr>
      <w:r>
        <w:rPr>
          <w:rFonts w:ascii="Arial" w:cs="Arial" w:eastAsia="Arial" w:hAnsi="Arial"/>
          <w:sz w:val="16"/>
          <w:szCs w:val="16"/>
          <w:color w:val="auto"/>
        </w:rPr>
        <w:t>At the date of authorization of these consolidated financial statements, the following standards and amendments relevant to the Group were in issue but not yet effective:</w:t>
      </w:r>
    </w:p>
    <w:p>
      <w:pPr>
        <w:spacing w:after="0" w:line="172" w:lineRule="exact"/>
        <w:rPr>
          <w:sz w:val="20"/>
          <w:szCs w:val="20"/>
          <w:color w:val="auto"/>
        </w:rPr>
      </w:pPr>
    </w:p>
    <w:p>
      <w:pPr>
        <w:ind w:right="20" w:firstLine="324"/>
        <w:spacing w:after="0" w:line="269" w:lineRule="auto"/>
        <w:rPr>
          <w:sz w:val="20"/>
          <w:szCs w:val="20"/>
          <w:color w:val="auto"/>
        </w:rPr>
      </w:pPr>
      <w:r>
        <w:rPr>
          <w:rFonts w:ascii="Arial" w:cs="Arial" w:eastAsia="Arial" w:hAnsi="Arial"/>
          <w:sz w:val="16"/>
          <w:szCs w:val="16"/>
          <w:color w:val="auto"/>
        </w:rPr>
        <w:t xml:space="preserve">In January 2020, the IASB issued a narrow-scope amendment to IAS 1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(as further amended in October 2022),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clarifies what IAS 1 means when it refers to the “settlement” of a liability as the extinguishment of a liability with cash, other economic resources or an entity’s own equity instruments. The amendment will be effective for annual periods beginning on or after January 1, 2024 and should be applied retrospectively in accordance with IAS 8 </w:t>
      </w:r>
      <w:r>
        <w:rPr>
          <w:rFonts w:ascii="Arial" w:cs="Arial" w:eastAsia="Arial" w:hAnsi="Arial"/>
          <w:sz w:val="16"/>
          <w:szCs w:val="16"/>
          <w:i w:val="1"/>
          <w:iCs w:val="1"/>
          <w:color w:val="auto"/>
        </w:rPr>
        <w:t>Accounting Policies, Changes in</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Estimates and Errors</w:t>
      </w:r>
      <w:r>
        <w:rPr>
          <w:rFonts w:ascii="Arial" w:cs="Arial" w:eastAsia="Arial" w:hAnsi="Arial"/>
          <w:sz w:val="16"/>
          <w:szCs w:val="16"/>
          <w:color w:val="auto"/>
        </w:rPr>
        <w:t>. Earlier application is permitted. Management anticipates that this amendment will not have a material impact on the Group’s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13" w:right="439" w:bottom="1440" w:gutter="0" w:footer="0" w:header="0"/>
        </w:sectPr>
      </w:pPr>
    </w:p>
    <w:bookmarkStart w:id="22" w:name="page23"/>
    <w:bookmarkEnd w:id="22"/>
    <w:p>
      <w:pPr>
        <w:ind w:right="140" w:firstLine="324"/>
        <w:spacing w:after="0" w:line="291" w:lineRule="auto"/>
        <w:rPr>
          <w:sz w:val="20"/>
          <w:szCs w:val="20"/>
          <w:color w:val="auto"/>
        </w:rPr>
      </w:pPr>
      <w:r>
        <w:rPr>
          <w:rFonts w:ascii="Arial" w:cs="Arial" w:eastAsia="Arial" w:hAnsi="Arial"/>
          <w:sz w:val="15"/>
          <w:szCs w:val="15"/>
          <w:color w:val="auto"/>
        </w:rPr>
        <w:t xml:space="preserve">In June 2023, the International Sustainability Standards Board (“ISSB”) issued IFRS S1 </w:t>
      </w:r>
      <w:r>
        <w:rPr>
          <w:rFonts w:ascii="Arial" w:cs="Arial" w:eastAsia="Arial" w:hAnsi="Arial"/>
          <w:sz w:val="15"/>
          <w:szCs w:val="15"/>
          <w:i w:val="1"/>
          <w:iCs w:val="1"/>
          <w:color w:val="auto"/>
        </w:rPr>
        <w:t>General Requirements for Disclosure of Sustainability-related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Information </w:t>
      </w:r>
      <w:r>
        <w:rPr>
          <w:rFonts w:ascii="Arial" w:cs="Arial" w:eastAsia="Arial" w:hAnsi="Arial"/>
          <w:sz w:val="15"/>
          <w:szCs w:val="15"/>
          <w:color w:val="auto"/>
        </w:rPr>
        <w:t>and IFRS S2</w:t>
      </w:r>
      <w:r>
        <w:rPr>
          <w:rFonts w:ascii="Arial" w:cs="Arial" w:eastAsia="Arial" w:hAnsi="Arial"/>
          <w:sz w:val="15"/>
          <w:szCs w:val="15"/>
          <w:i w:val="1"/>
          <w:iCs w:val="1"/>
          <w:color w:val="auto"/>
        </w:rPr>
        <w:t xml:space="preserve"> Climate-related Disclosures</w:t>
      </w:r>
      <w:r>
        <w:rPr>
          <w:rFonts w:ascii="Arial" w:cs="Arial" w:eastAsia="Arial" w:hAnsi="Arial"/>
          <w:sz w:val="15"/>
          <w:szCs w:val="15"/>
          <w:color w:val="auto"/>
        </w:rPr>
        <w:t>. The objective of IFRS S1 and IFRS S2 is to require an entity to disclose information about its sustainability-related</w:t>
      </w:r>
      <w:r>
        <w:rPr>
          <w:rFonts w:ascii="Arial" w:cs="Arial" w:eastAsia="Arial" w:hAnsi="Arial"/>
          <w:sz w:val="15"/>
          <w:szCs w:val="15"/>
          <w:i w:val="1"/>
          <w:iCs w:val="1"/>
          <w:color w:val="auto"/>
        </w:rPr>
        <w:t xml:space="preserve"> </w:t>
      </w:r>
      <w:r>
        <w:rPr>
          <w:rFonts w:ascii="Arial" w:cs="Arial" w:eastAsia="Arial" w:hAnsi="Arial"/>
          <w:sz w:val="15"/>
          <w:szCs w:val="15"/>
          <w:color w:val="auto"/>
        </w:rPr>
        <w:t>risks and opportunities and climate-related risks and opportunities, respectively, that is useful to users of general purpose financial reports in making decisions relating to providing resources to the entity. IFRS S1 is effective for annual reporting periods beginning on or after January 1, 2024 with earlier application permitted as long as IFRS S2 is also applied. IFRS S2 is effective for annual reporting periods beginning on or after January 1, 2024 with earlier application permitted as long as IFRS S1 is also applied. Management anticipates that this amendment will have a disclosure impact on the Group’s financial statements.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impact of all other IFRS standards and amendments issued but not yet adopted is not expected to be material with respect to the Group’s financial statements.</w:t>
      </w:r>
    </w:p>
    <w:p>
      <w:pPr>
        <w:sectPr>
          <w:pgSz w:w="11900" w:h="16838" w:orient="portrait"/>
          <w:cols w:equalWidth="0" w:num="1">
            <w:col w:w="11220"/>
          </w:cols>
          <w:pgMar w:left="320" w:top="913" w:right="35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Investment in Associates and Joint Operations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movements in investment in associates are reported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6772275" cy="8229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2275" cy="82296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As of January 1, 2023</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Additions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Share of profit of associates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Dividend declared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Associates</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28,823</w:t>
      </w:r>
    </w:p>
    <w:p>
      <w:pPr>
        <w:spacing w:after="0" w:line="22" w:lineRule="exact"/>
        <w:rPr>
          <w:sz w:val="20"/>
          <w:szCs w:val="20"/>
          <w:color w:val="auto"/>
        </w:rPr>
      </w:pPr>
    </w:p>
    <w:p>
      <w:pPr>
        <w:jc w:val="right"/>
        <w:ind w:right="640"/>
        <w:spacing w:after="0"/>
        <w:rPr>
          <w:sz w:val="20"/>
          <w:szCs w:val="20"/>
          <w:color w:val="auto"/>
        </w:rPr>
      </w:pPr>
      <w:r>
        <w:rPr>
          <w:rFonts w:ascii="Arial" w:cs="Arial" w:eastAsia="Arial" w:hAnsi="Arial"/>
          <w:sz w:val="16"/>
          <w:szCs w:val="16"/>
          <w:color w:val="auto"/>
        </w:rPr>
        <w:t>13,229</w:t>
      </w:r>
    </w:p>
    <w:p>
      <w:pPr>
        <w:spacing w:after="0" w:line="19" w:lineRule="exact"/>
        <w:rPr>
          <w:sz w:val="20"/>
          <w:szCs w:val="20"/>
          <w:color w:val="auto"/>
        </w:rPr>
      </w:pPr>
    </w:p>
    <w:p>
      <w:pPr>
        <w:jc w:val="right"/>
        <w:ind w:right="640"/>
        <w:spacing w:after="0"/>
        <w:rPr>
          <w:sz w:val="20"/>
          <w:szCs w:val="20"/>
          <w:color w:val="auto"/>
        </w:rPr>
      </w:pPr>
      <w:r>
        <w:rPr>
          <w:rFonts w:ascii="Arial" w:cs="Arial" w:eastAsia="Arial" w:hAnsi="Arial"/>
          <w:sz w:val="16"/>
          <w:szCs w:val="16"/>
          <w:color w:val="auto"/>
        </w:rPr>
        <w:t>1,525</w:t>
      </w:r>
    </w:p>
    <w:p>
      <w:pPr>
        <w:spacing w:after="0" w:line="19" w:lineRule="exact"/>
        <w:rPr>
          <w:sz w:val="20"/>
          <w:szCs w:val="20"/>
          <w:color w:val="auto"/>
        </w:rPr>
      </w:pPr>
    </w:p>
    <w:p>
      <w:pPr>
        <w:jc w:val="right"/>
        <w:ind w:right="600"/>
        <w:spacing w:after="0"/>
        <w:rPr>
          <w:sz w:val="20"/>
          <w:szCs w:val="20"/>
          <w:color w:val="auto"/>
        </w:rPr>
      </w:pPr>
      <w:r>
        <w:rPr>
          <w:rFonts w:ascii="Arial" w:cs="Arial" w:eastAsia="Arial" w:hAnsi="Arial"/>
          <w:sz w:val="16"/>
          <w:szCs w:val="16"/>
          <w:color w:val="auto"/>
        </w:rPr>
        <w:t>(1,013)</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42,564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37465</wp:posOffset>
            </wp:positionV>
            <wp:extent cx="10115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00" w:space="720"/>
            <w:col w:w="1800"/>
          </w:cols>
          <w:pgMar w:left="320" w:top="913" w:right="359" w:bottom="1440" w:gutter="0" w:footer="0" w:header="0"/>
          <w:type w:val="continuous"/>
        </w:sectPr>
      </w:pP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additions of $13,229 relate mainly to capital contribution of $3,871 and subordinated loan of $9,047 for the investment in Gastrade S.A. (“Gastrade”).</w:t>
      </w:r>
    </w:p>
    <w:p>
      <w:pPr>
        <w:spacing w:after="0" w:line="235"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On April 3, 2023, the Company acquired a 33.3% shareholding in CLEOS SINGLE MEMBER PRIVATE COMPANY (“CLEOS”), a single member private company for the a) conduct of scientific research in the fields of energy, fuels and technology in general, b) provision of consulting services to the partners, c) commercial exploitation of any technologies developed and d) development and implementation of innovative decarbonization technologies. The Company contributed the amount of $248. The investment in CLEOS is classified as joint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Tangible Fixed Assets and Vessels Under Construction</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movements in tangible fixed assets and vessels under construction are reported in the following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Office property</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Total</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and other</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tangible fixed</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5"/>
              </w:rPr>
              <w:t>Vessels under</w:t>
            </w:r>
          </w:p>
        </w:tc>
      </w:tr>
      <w:tr>
        <w:trPr>
          <w:trHeight w:val="213"/>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Vessels</w:t>
            </w: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tangible assets</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construction</w:t>
            </w:r>
          </w:p>
        </w:tc>
      </w:tr>
      <w:tr>
        <w:trPr>
          <w:trHeight w:val="172"/>
        </w:trPr>
        <w:tc>
          <w:tcPr>
            <w:tcW w:w="5240" w:type="dxa"/>
            <w:vAlign w:val="bottom"/>
            <w:tcBorders>
              <w:top w:val="single" w:sz="8" w:color="E5FFFF"/>
            </w:tcBorders>
            <w:gridSpan w:val="4"/>
            <w:shd w:val="clear" w:color="auto" w:fill="E5FFFF"/>
          </w:tcPr>
          <w:p>
            <w:pPr>
              <w:spacing w:after="0" w:line="172" w:lineRule="exact"/>
              <w:rPr>
                <w:sz w:val="20"/>
                <w:szCs w:val="20"/>
                <w:color w:val="auto"/>
              </w:rPr>
            </w:pPr>
            <w:r>
              <w:rPr>
                <w:rFonts w:ascii="Arial" w:cs="Arial" w:eastAsia="Arial" w:hAnsi="Arial"/>
                <w:sz w:val="16"/>
                <w:szCs w:val="16"/>
                <w:b w:val="1"/>
                <w:bCs w:val="1"/>
                <w:color w:val="auto"/>
              </w:rPr>
              <w:t>Cost</w:t>
            </w:r>
          </w:p>
        </w:tc>
        <w:tc>
          <w:tcPr>
            <w:tcW w:w="1180" w:type="dxa"/>
            <w:vAlign w:val="bottom"/>
            <w:tcBorders>
              <w:top w:val="single" w:sz="8" w:color="auto"/>
              <w:right w:val="single" w:sz="8" w:color="E5FFFF"/>
            </w:tcBorders>
            <w:shd w:val="clear" w:color="auto" w:fill="E5FFFF"/>
          </w:tcPr>
          <w:p>
            <w:pPr>
              <w:spacing w:after="0"/>
              <w:rPr>
                <w:sz w:val="14"/>
                <w:szCs w:val="14"/>
                <w:color w:val="auto"/>
              </w:rPr>
            </w:pPr>
          </w:p>
        </w:tc>
        <w:tc>
          <w:tcPr>
            <w:tcW w:w="200" w:type="dxa"/>
            <w:vAlign w:val="bottom"/>
            <w:tcBorders>
              <w:top w:val="single" w:sz="8" w:color="E5FFFF"/>
            </w:tcBorders>
            <w:shd w:val="clear" w:color="auto" w:fill="E5FFFF"/>
          </w:tcPr>
          <w:p>
            <w:pPr>
              <w:spacing w:after="0"/>
              <w:rPr>
                <w:sz w:val="14"/>
                <w:szCs w:val="14"/>
                <w:color w:val="auto"/>
              </w:rPr>
            </w:pPr>
          </w:p>
        </w:tc>
        <w:tc>
          <w:tcPr>
            <w:tcW w:w="1180" w:type="dxa"/>
            <w:vAlign w:val="bottom"/>
            <w:tcBorders>
              <w:top w:val="single" w:sz="8" w:color="auto"/>
            </w:tcBorders>
            <w:shd w:val="clear" w:color="auto" w:fill="E5FFFF"/>
          </w:tcPr>
          <w:p>
            <w:pPr>
              <w:spacing w:after="0"/>
              <w:rPr>
                <w:sz w:val="14"/>
                <w:szCs w:val="14"/>
                <w:color w:val="auto"/>
              </w:rPr>
            </w:pPr>
          </w:p>
        </w:tc>
        <w:tc>
          <w:tcPr>
            <w:tcW w:w="220" w:type="dxa"/>
            <w:vAlign w:val="bottom"/>
            <w:tcBorders>
              <w:top w:val="single" w:sz="8" w:color="E5FFFF"/>
            </w:tcBorders>
            <w:shd w:val="clear" w:color="auto" w:fill="E5FFFF"/>
          </w:tcPr>
          <w:p>
            <w:pPr>
              <w:spacing w:after="0"/>
              <w:rPr>
                <w:sz w:val="14"/>
                <w:szCs w:val="14"/>
                <w:color w:val="auto"/>
              </w:rPr>
            </w:pPr>
          </w:p>
        </w:tc>
        <w:tc>
          <w:tcPr>
            <w:tcW w:w="1160" w:type="dxa"/>
            <w:vAlign w:val="bottom"/>
            <w:tcBorders>
              <w:top w:val="single" w:sz="8" w:color="auto"/>
            </w:tcBorders>
            <w:shd w:val="clear" w:color="auto" w:fill="E5FFFF"/>
          </w:tcPr>
          <w:p>
            <w:pPr>
              <w:spacing w:after="0"/>
              <w:rPr>
                <w:sz w:val="14"/>
                <w:szCs w:val="14"/>
                <w:color w:val="auto"/>
              </w:rPr>
            </w:pPr>
          </w:p>
        </w:tc>
        <w:tc>
          <w:tcPr>
            <w:tcW w:w="220" w:type="dxa"/>
            <w:vAlign w:val="bottom"/>
            <w:tcBorders>
              <w:top w:val="single" w:sz="8" w:color="E5FFFF"/>
            </w:tcBorders>
            <w:shd w:val="clear" w:color="auto" w:fill="E5FFFF"/>
          </w:tcPr>
          <w:p>
            <w:pPr>
              <w:spacing w:after="0"/>
              <w:rPr>
                <w:sz w:val="14"/>
                <w:szCs w:val="14"/>
                <w:color w:val="auto"/>
              </w:rPr>
            </w:pPr>
          </w:p>
        </w:tc>
        <w:tc>
          <w:tcPr>
            <w:tcW w:w="116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r>
      <w:tr>
        <w:trPr>
          <w:trHeight w:val="20"/>
        </w:trPr>
        <w:tc>
          <w:tcPr>
            <w:tcW w:w="320" w:type="dxa"/>
            <w:vAlign w:val="bottom"/>
            <w:tcBorders>
              <w:top w:val="single" w:sz="8" w:color="auto"/>
            </w:tcBorders>
            <w:shd w:val="clear" w:color="auto" w:fill="E5FFFF"/>
          </w:tcPr>
          <w:p>
            <w:pPr>
              <w:spacing w:after="0" w:line="20" w:lineRule="exact"/>
              <w:rPr>
                <w:sz w:val="1"/>
                <w:szCs w:val="1"/>
                <w:color w:val="auto"/>
              </w:rPr>
            </w:pPr>
          </w:p>
        </w:tc>
        <w:tc>
          <w:tcPr>
            <w:tcW w:w="720" w:type="dxa"/>
            <w:vAlign w:val="bottom"/>
            <w:tcBorders>
              <w:top w:val="single" w:sz="8" w:color="E5FFFF"/>
            </w:tcBorders>
            <w:shd w:val="clear" w:color="auto" w:fill="E5FFFF"/>
          </w:tcPr>
          <w:p>
            <w:pPr>
              <w:spacing w:after="0" w:line="20" w:lineRule="exact"/>
              <w:rPr>
                <w:sz w:val="1"/>
                <w:szCs w:val="1"/>
                <w:color w:val="auto"/>
              </w:rPr>
            </w:pPr>
          </w:p>
        </w:tc>
        <w:tc>
          <w:tcPr>
            <w:tcW w:w="2260" w:type="dxa"/>
            <w:vAlign w:val="bottom"/>
            <w:tcBorders>
              <w:top w:val="single" w:sz="8" w:color="E5FFFF"/>
            </w:tcBorders>
            <w:shd w:val="clear" w:color="auto" w:fill="E5FFFF"/>
          </w:tcPr>
          <w:p>
            <w:pPr>
              <w:spacing w:after="0" w:line="20" w:lineRule="exact"/>
              <w:rPr>
                <w:sz w:val="1"/>
                <w:szCs w:val="1"/>
                <w:color w:val="auto"/>
              </w:rPr>
            </w:pPr>
          </w:p>
        </w:tc>
        <w:tc>
          <w:tcPr>
            <w:tcW w:w="1940" w:type="dxa"/>
            <w:vAlign w:val="bottom"/>
            <w:tcBorders>
              <w:top w:val="single" w:sz="8" w:color="E5FFFF"/>
            </w:tcBorders>
            <w:shd w:val="clear" w:color="auto" w:fill="E5FFFF"/>
          </w:tcPr>
          <w:p>
            <w:pPr>
              <w:spacing w:after="0" w:line="20" w:lineRule="exact"/>
              <w:rPr>
                <w:sz w:val="1"/>
                <w:szCs w:val="1"/>
                <w:color w:val="auto"/>
              </w:rPr>
            </w:pPr>
          </w:p>
        </w:tc>
        <w:tc>
          <w:tcPr>
            <w:tcW w:w="1180" w:type="dxa"/>
            <w:vAlign w:val="bottom"/>
            <w:tcBorders>
              <w:top w:val="single" w:sz="8" w:color="E5FFFF"/>
              <w:right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E5FFFF"/>
            </w:tcBorders>
            <w:shd w:val="clear" w:color="auto" w:fill="E5FFFF"/>
          </w:tcPr>
          <w:p>
            <w:pPr>
              <w:spacing w:after="0" w:line="20" w:lineRule="exact"/>
              <w:rPr>
                <w:sz w:val="1"/>
                <w:szCs w:val="1"/>
                <w:color w:val="auto"/>
              </w:rPr>
            </w:pPr>
          </w:p>
        </w:tc>
        <w:tc>
          <w:tcPr>
            <w:tcW w:w="1180" w:type="dxa"/>
            <w:vAlign w:val="bottom"/>
            <w:tcBorders>
              <w:top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E5FFFF"/>
            </w:tcBorders>
            <w:shd w:val="clear" w:color="auto" w:fill="E5FFFF"/>
          </w:tcPr>
          <w:p>
            <w:pPr>
              <w:spacing w:after="0" w:line="20" w:lineRule="exact"/>
              <w:rPr>
                <w:sz w:val="1"/>
                <w:szCs w:val="1"/>
                <w:color w:val="auto"/>
              </w:rPr>
            </w:pPr>
          </w:p>
        </w:tc>
        <w:tc>
          <w:tcPr>
            <w:tcW w:w="1160" w:type="dxa"/>
            <w:vAlign w:val="bottom"/>
            <w:tcBorders>
              <w:top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E5FFFF"/>
            </w:tcBorders>
            <w:shd w:val="clear" w:color="auto" w:fill="E5FFFF"/>
          </w:tcPr>
          <w:p>
            <w:pPr>
              <w:spacing w:after="0" w:line="20" w:lineRule="exact"/>
              <w:rPr>
                <w:sz w:val="1"/>
                <w:szCs w:val="1"/>
                <w:color w:val="auto"/>
              </w:rPr>
            </w:pPr>
          </w:p>
        </w:tc>
        <w:tc>
          <w:tcPr>
            <w:tcW w:w="116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E5FFFF"/>
            </w:tcBorders>
            <w:shd w:val="clear" w:color="auto" w:fill="E5FFFF"/>
          </w:tcPr>
          <w:p>
            <w:pPr>
              <w:spacing w:after="0" w:line="20" w:lineRule="exact"/>
              <w:rPr>
                <w:sz w:val="1"/>
                <w:szCs w:val="1"/>
                <w:color w:val="auto"/>
              </w:rPr>
            </w:pPr>
          </w:p>
        </w:tc>
      </w:tr>
      <w:tr>
        <w:trPr>
          <w:trHeight w:val="203"/>
        </w:trPr>
        <w:tc>
          <w:tcPr>
            <w:tcW w:w="5240" w:type="dxa"/>
            <w:vAlign w:val="bottom"/>
            <w:gridSpan w:val="4"/>
          </w:tcPr>
          <w:p>
            <w:pPr>
              <w:spacing w:after="0"/>
              <w:rPr>
                <w:sz w:val="20"/>
                <w:szCs w:val="20"/>
                <w:color w:val="auto"/>
              </w:rPr>
            </w:pPr>
            <w:r>
              <w:rPr>
                <w:rFonts w:ascii="Arial" w:cs="Arial" w:eastAsia="Arial" w:hAnsi="Arial"/>
                <w:sz w:val="16"/>
                <w:szCs w:val="16"/>
                <w:color w:val="auto"/>
              </w:rPr>
              <w:t>As of January 1, 2023</w:t>
            </w:r>
          </w:p>
        </w:tc>
        <w:tc>
          <w:tcPr>
            <w:tcW w:w="1180" w:type="dxa"/>
            <w:vAlign w:val="bottom"/>
          </w:tcPr>
          <w:p>
            <w:pPr>
              <w:jc w:val="right"/>
              <w:spacing w:after="0"/>
              <w:rPr>
                <w:sz w:val="20"/>
                <w:szCs w:val="20"/>
                <w:color w:val="auto"/>
              </w:rPr>
            </w:pPr>
            <w:r>
              <w:rPr>
                <w:rFonts w:ascii="Arial" w:cs="Arial" w:eastAsia="Arial" w:hAnsi="Arial"/>
                <w:sz w:val="16"/>
                <w:szCs w:val="16"/>
                <w:color w:val="auto"/>
              </w:rPr>
              <w:t>5,739,816</w:t>
            </w:r>
          </w:p>
        </w:tc>
        <w:tc>
          <w:tcPr>
            <w:tcW w:w="20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41,222</w:t>
            </w:r>
          </w:p>
        </w:tc>
        <w:tc>
          <w:tcPr>
            <w:tcW w:w="1160" w:type="dxa"/>
            <w:vAlign w:val="bottom"/>
          </w:tcPr>
          <w:p>
            <w:pPr>
              <w:jc w:val="right"/>
              <w:spacing w:after="0"/>
              <w:rPr>
                <w:sz w:val="20"/>
                <w:szCs w:val="20"/>
                <w:color w:val="auto"/>
              </w:rPr>
            </w:pPr>
            <w:r>
              <w:rPr>
                <w:rFonts w:ascii="Arial" w:cs="Arial" w:eastAsia="Arial" w:hAnsi="Arial"/>
                <w:sz w:val="16"/>
                <w:szCs w:val="16"/>
                <w:color w:val="auto"/>
              </w:rPr>
              <w:t>5,781,038</w:t>
            </w:r>
          </w:p>
        </w:tc>
        <w:tc>
          <w:tcPr>
            <w:tcW w:w="22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221,076</w:t>
            </w:r>
          </w:p>
        </w:tc>
      </w:tr>
      <w:tr>
        <w:trPr>
          <w:trHeight w:val="203"/>
        </w:trPr>
        <w:tc>
          <w:tcPr>
            <w:tcW w:w="52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Additions</w:t>
            </w:r>
          </w:p>
        </w:tc>
        <w:tc>
          <w:tcPr>
            <w:tcW w:w="11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9,561</w:t>
            </w:r>
          </w:p>
        </w:tc>
        <w:tc>
          <w:tcPr>
            <w:tcW w:w="20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1,879</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11,440</w:t>
            </w:r>
          </w:p>
        </w:tc>
        <w:tc>
          <w:tcPr>
            <w:tcW w:w="220" w:type="dxa"/>
            <w:vAlign w:val="bottom"/>
            <w:shd w:val="clear" w:color="auto" w:fill="E5FFFF"/>
          </w:tcPr>
          <w:p>
            <w:pPr>
              <w:spacing w:after="0"/>
              <w:rPr>
                <w:sz w:val="17"/>
                <w:szCs w:val="17"/>
                <w:color w:val="auto"/>
              </w:rPr>
            </w:pPr>
          </w:p>
        </w:tc>
        <w:tc>
          <w:tcPr>
            <w:tcW w:w="12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130,698</w:t>
            </w:r>
          </w:p>
        </w:tc>
      </w:tr>
      <w:tr>
        <w:trPr>
          <w:trHeight w:val="203"/>
        </w:trPr>
        <w:tc>
          <w:tcPr>
            <w:tcW w:w="5240" w:type="dxa"/>
            <w:vAlign w:val="bottom"/>
            <w:gridSpan w:val="4"/>
          </w:tcPr>
          <w:p>
            <w:pPr>
              <w:spacing w:after="0"/>
              <w:rPr>
                <w:sz w:val="20"/>
                <w:szCs w:val="20"/>
                <w:color w:val="auto"/>
              </w:rPr>
            </w:pPr>
            <w:r>
              <w:rPr>
                <w:rFonts w:ascii="Arial" w:cs="Arial" w:eastAsia="Arial" w:hAnsi="Arial"/>
                <w:sz w:val="16"/>
                <w:szCs w:val="16"/>
                <w:color w:val="auto"/>
              </w:rPr>
              <w:t>Disposals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(410,348)</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(410,348)</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2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Transfer under Vessels under construction</w:t>
            </w:r>
          </w:p>
        </w:tc>
        <w:tc>
          <w:tcPr>
            <w:tcW w:w="13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(167,863)</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(167,863)</w:t>
            </w:r>
          </w:p>
        </w:tc>
        <w:tc>
          <w:tcPr>
            <w:tcW w:w="12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103,929</w:t>
            </w:r>
          </w:p>
        </w:tc>
      </w:tr>
      <w:tr>
        <w:trPr>
          <w:trHeight w:val="203"/>
        </w:trPr>
        <w:tc>
          <w:tcPr>
            <w:tcW w:w="5240" w:type="dxa"/>
            <w:vAlign w:val="bottom"/>
            <w:gridSpan w:val="4"/>
          </w:tcPr>
          <w:p>
            <w:pPr>
              <w:spacing w:after="0"/>
              <w:rPr>
                <w:sz w:val="20"/>
                <w:szCs w:val="20"/>
                <w:color w:val="auto"/>
              </w:rPr>
            </w:pPr>
            <w:r>
              <w:rPr>
                <w:rFonts w:ascii="Arial" w:cs="Arial" w:eastAsia="Arial" w:hAnsi="Arial"/>
                <w:sz w:val="16"/>
                <w:szCs w:val="16"/>
                <w:color w:val="auto"/>
              </w:rPr>
              <w:t>Transfer under Vessel held for sale</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(164,050)</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(164,050)</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52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Fully amortized fixed assets</w:t>
            </w:r>
          </w:p>
        </w:tc>
        <w:tc>
          <w:tcPr>
            <w:tcW w:w="13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(9,383)</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(9,383)</w:t>
            </w:r>
          </w:p>
        </w:tc>
        <w:tc>
          <w:tcPr>
            <w:tcW w:w="12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5240" w:type="dxa"/>
            <w:vAlign w:val="bottom"/>
            <w:gridSpan w:val="4"/>
          </w:tcPr>
          <w:p>
            <w:pPr>
              <w:spacing w:after="0"/>
              <w:rPr>
                <w:sz w:val="20"/>
                <w:szCs w:val="20"/>
                <w:color w:val="auto"/>
              </w:rPr>
            </w:pPr>
            <w:r>
              <w:rPr>
                <w:rFonts w:ascii="Arial" w:cs="Arial" w:eastAsia="Arial" w:hAnsi="Arial"/>
                <w:sz w:val="16"/>
                <w:szCs w:val="16"/>
                <w:b w:val="1"/>
                <w:bCs w:val="1"/>
                <w:color w:val="auto"/>
              </w:rPr>
              <w:t>As of June 30, 2023</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4,997,733</w:t>
            </w:r>
          </w:p>
        </w:tc>
        <w:tc>
          <w:tcPr>
            <w:tcW w:w="2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43,101</w:t>
            </w:r>
          </w:p>
        </w:tc>
        <w:tc>
          <w:tcPr>
            <w:tcW w:w="2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5,040,834</w:t>
            </w:r>
          </w:p>
        </w:tc>
        <w:tc>
          <w:tcPr>
            <w:tcW w:w="2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455,703</w:t>
            </w:r>
          </w:p>
        </w:tc>
        <w:tc>
          <w:tcPr>
            <w:tcW w:w="120" w:type="dxa"/>
            <w:vAlign w:val="bottom"/>
          </w:tcPr>
          <w:p>
            <w:pPr>
              <w:spacing w:after="0"/>
              <w:rPr>
                <w:sz w:val="17"/>
                <w:szCs w:val="17"/>
                <w:color w:val="auto"/>
              </w:rPr>
            </w:pPr>
          </w:p>
        </w:tc>
      </w:tr>
      <w:tr>
        <w:trPr>
          <w:trHeight w:val="210"/>
        </w:trPr>
        <w:tc>
          <w:tcPr>
            <w:tcW w:w="3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260" w:type="dxa"/>
            <w:vAlign w:val="bottom"/>
            <w:shd w:val="clear" w:color="auto" w:fill="E5FFFF"/>
          </w:tcPr>
          <w:p>
            <w:pPr>
              <w:spacing w:after="0"/>
              <w:rPr>
                <w:sz w:val="18"/>
                <w:szCs w:val="18"/>
                <w:color w:val="auto"/>
              </w:rPr>
            </w:pPr>
          </w:p>
        </w:tc>
        <w:tc>
          <w:tcPr>
            <w:tcW w:w="1940" w:type="dxa"/>
            <w:vAlign w:val="bottom"/>
            <w:shd w:val="clear" w:color="auto" w:fill="E5FFFF"/>
          </w:tcPr>
          <w:p>
            <w:pPr>
              <w:spacing w:after="0"/>
              <w:rPr>
                <w:sz w:val="18"/>
                <w:szCs w:val="18"/>
                <w:color w:val="auto"/>
              </w:rPr>
            </w:pPr>
          </w:p>
        </w:tc>
        <w:tc>
          <w:tcPr>
            <w:tcW w:w="1180" w:type="dxa"/>
            <w:vAlign w:val="bottom"/>
            <w:tcBorders>
              <w:right w:val="single" w:sz="8" w:color="E5FFFF"/>
            </w:tcBorders>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r>
      <w:tr>
        <w:trPr>
          <w:trHeight w:val="175"/>
        </w:trPr>
        <w:tc>
          <w:tcPr>
            <w:tcW w:w="524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Accumulated depreciation and Impairment loss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52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As of January 1, 2023</w:t>
            </w:r>
          </w:p>
        </w:tc>
        <w:tc>
          <w:tcPr>
            <w:tcW w:w="11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1,259,394</w:t>
            </w:r>
          </w:p>
        </w:tc>
        <w:tc>
          <w:tcPr>
            <w:tcW w:w="20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6,981</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1,266,375</w:t>
            </w:r>
          </w:p>
        </w:tc>
        <w:tc>
          <w:tcPr>
            <w:tcW w:w="220" w:type="dxa"/>
            <w:vAlign w:val="bottom"/>
            <w:shd w:val="clear" w:color="auto" w:fill="E5FFFF"/>
          </w:tcPr>
          <w:p>
            <w:pPr>
              <w:spacing w:after="0"/>
              <w:rPr>
                <w:sz w:val="17"/>
                <w:szCs w:val="17"/>
                <w:color w:val="auto"/>
              </w:rPr>
            </w:pPr>
          </w:p>
        </w:tc>
        <w:tc>
          <w:tcPr>
            <w:tcW w:w="12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10,977</w:t>
            </w:r>
          </w:p>
        </w:tc>
      </w:tr>
      <w:tr>
        <w:trPr>
          <w:trHeight w:val="203"/>
        </w:trPr>
        <w:tc>
          <w:tcPr>
            <w:tcW w:w="5240" w:type="dxa"/>
            <w:vAlign w:val="bottom"/>
            <w:gridSpan w:val="4"/>
          </w:tcPr>
          <w:p>
            <w:pPr>
              <w:spacing w:after="0"/>
              <w:rPr>
                <w:sz w:val="20"/>
                <w:szCs w:val="20"/>
                <w:color w:val="auto"/>
              </w:rPr>
            </w:pPr>
            <w:r>
              <w:rPr>
                <w:rFonts w:ascii="Arial" w:cs="Arial" w:eastAsia="Arial" w:hAnsi="Arial"/>
                <w:sz w:val="16"/>
                <w:szCs w:val="16"/>
                <w:color w:val="auto"/>
              </w:rPr>
              <w:t>Depreciation</w:t>
            </w:r>
          </w:p>
        </w:tc>
        <w:tc>
          <w:tcPr>
            <w:tcW w:w="1180" w:type="dxa"/>
            <w:vAlign w:val="bottom"/>
          </w:tcPr>
          <w:p>
            <w:pPr>
              <w:jc w:val="right"/>
              <w:spacing w:after="0"/>
              <w:rPr>
                <w:sz w:val="20"/>
                <w:szCs w:val="20"/>
                <w:color w:val="auto"/>
              </w:rPr>
            </w:pPr>
            <w:r>
              <w:rPr>
                <w:rFonts w:ascii="Arial" w:cs="Arial" w:eastAsia="Arial" w:hAnsi="Arial"/>
                <w:sz w:val="16"/>
                <w:szCs w:val="16"/>
                <w:color w:val="auto"/>
              </w:rPr>
              <w:t>72,945</w:t>
            </w:r>
          </w:p>
        </w:tc>
        <w:tc>
          <w:tcPr>
            <w:tcW w:w="20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306</w:t>
            </w:r>
          </w:p>
        </w:tc>
        <w:tc>
          <w:tcPr>
            <w:tcW w:w="1160" w:type="dxa"/>
            <w:vAlign w:val="bottom"/>
          </w:tcPr>
          <w:p>
            <w:pPr>
              <w:jc w:val="right"/>
              <w:spacing w:after="0"/>
              <w:rPr>
                <w:sz w:val="20"/>
                <w:szCs w:val="20"/>
                <w:color w:val="auto"/>
              </w:rPr>
            </w:pPr>
            <w:r>
              <w:rPr>
                <w:rFonts w:ascii="Arial" w:cs="Arial" w:eastAsia="Arial" w:hAnsi="Arial"/>
                <w:sz w:val="16"/>
                <w:szCs w:val="16"/>
                <w:color w:val="auto"/>
              </w:rPr>
              <w:t>73,251</w:t>
            </w:r>
          </w:p>
        </w:tc>
        <w:tc>
          <w:tcPr>
            <w:tcW w:w="22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2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Disposals</w:t>
            </w:r>
          </w:p>
        </w:tc>
        <w:tc>
          <w:tcPr>
            <w:tcW w:w="13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(106,284)</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(106,284)</w:t>
            </w:r>
          </w:p>
        </w:tc>
        <w:tc>
          <w:tcPr>
            <w:tcW w:w="12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240" w:type="dxa"/>
            <w:vAlign w:val="bottom"/>
            <w:gridSpan w:val="4"/>
          </w:tcPr>
          <w:p>
            <w:pPr>
              <w:spacing w:after="0"/>
              <w:rPr>
                <w:sz w:val="20"/>
                <w:szCs w:val="20"/>
                <w:color w:val="auto"/>
              </w:rPr>
            </w:pPr>
            <w:r>
              <w:rPr>
                <w:rFonts w:ascii="Arial" w:cs="Arial" w:eastAsia="Arial" w:hAnsi="Arial"/>
                <w:sz w:val="16"/>
                <w:szCs w:val="16"/>
                <w:color w:val="auto"/>
              </w:rPr>
              <w:t>Transfer under Vessels under construction</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(63,934)</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(63,934)</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2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Transfer under Vessel held for sale</w:t>
            </w:r>
          </w:p>
        </w:tc>
        <w:tc>
          <w:tcPr>
            <w:tcW w:w="13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(109,600)</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(109,600)</w:t>
            </w:r>
          </w:p>
        </w:tc>
        <w:tc>
          <w:tcPr>
            <w:tcW w:w="12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240" w:type="dxa"/>
            <w:vAlign w:val="bottom"/>
            <w:gridSpan w:val="4"/>
          </w:tcPr>
          <w:p>
            <w:pPr>
              <w:spacing w:after="0"/>
              <w:rPr>
                <w:sz w:val="20"/>
                <w:szCs w:val="20"/>
                <w:color w:val="auto"/>
              </w:rPr>
            </w:pPr>
            <w:r>
              <w:rPr>
                <w:rFonts w:ascii="Arial" w:cs="Arial" w:eastAsia="Arial" w:hAnsi="Arial"/>
                <w:sz w:val="16"/>
                <w:szCs w:val="16"/>
                <w:color w:val="auto"/>
              </w:rPr>
              <w:t>Impairment loss</w:t>
            </w:r>
          </w:p>
        </w:tc>
        <w:tc>
          <w:tcPr>
            <w:tcW w:w="1180" w:type="dxa"/>
            <w:vAlign w:val="bottom"/>
          </w:tcPr>
          <w:p>
            <w:pPr>
              <w:jc w:val="right"/>
              <w:spacing w:after="0"/>
              <w:rPr>
                <w:sz w:val="20"/>
                <w:szCs w:val="20"/>
                <w:color w:val="auto"/>
              </w:rPr>
            </w:pPr>
            <w:r>
              <w:rPr>
                <w:rFonts w:ascii="Arial" w:cs="Arial" w:eastAsia="Arial" w:hAnsi="Arial"/>
                <w:sz w:val="16"/>
                <w:szCs w:val="16"/>
                <w:color w:val="auto"/>
              </w:rPr>
              <w:t>15,528</w:t>
            </w:r>
          </w:p>
        </w:tc>
        <w:tc>
          <w:tcPr>
            <w:tcW w:w="20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15,528</w:t>
            </w:r>
          </w:p>
        </w:tc>
        <w:tc>
          <w:tcPr>
            <w:tcW w:w="22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52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Fully amortized fixed assets</w:t>
            </w:r>
          </w:p>
        </w:tc>
        <w:tc>
          <w:tcPr>
            <w:tcW w:w="13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(9,383)</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(9,383)</w:t>
            </w:r>
          </w:p>
        </w:tc>
        <w:tc>
          <w:tcPr>
            <w:tcW w:w="12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5240" w:type="dxa"/>
            <w:vAlign w:val="bottom"/>
            <w:gridSpan w:val="4"/>
          </w:tcPr>
          <w:p>
            <w:pPr>
              <w:spacing w:after="0"/>
              <w:rPr>
                <w:sz w:val="20"/>
                <w:szCs w:val="20"/>
                <w:color w:val="auto"/>
              </w:rPr>
            </w:pPr>
            <w:r>
              <w:rPr>
                <w:rFonts w:ascii="Arial" w:cs="Arial" w:eastAsia="Arial" w:hAnsi="Arial"/>
                <w:sz w:val="16"/>
                <w:szCs w:val="16"/>
                <w:b w:val="1"/>
                <w:bCs w:val="1"/>
                <w:color w:val="auto"/>
              </w:rPr>
              <w:t>As of June 30, 2023</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1,058,666</w:t>
            </w:r>
          </w:p>
        </w:tc>
        <w:tc>
          <w:tcPr>
            <w:tcW w:w="2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7,287</w:t>
            </w:r>
          </w:p>
        </w:tc>
        <w:tc>
          <w:tcPr>
            <w:tcW w:w="2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1,065,953</w:t>
            </w:r>
          </w:p>
        </w:tc>
        <w:tc>
          <w:tcPr>
            <w:tcW w:w="2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10,977</w:t>
            </w:r>
          </w:p>
        </w:tc>
        <w:tc>
          <w:tcPr>
            <w:tcW w:w="120" w:type="dxa"/>
            <w:vAlign w:val="bottom"/>
          </w:tcPr>
          <w:p>
            <w:pPr>
              <w:spacing w:after="0"/>
              <w:rPr>
                <w:sz w:val="17"/>
                <w:szCs w:val="17"/>
                <w:color w:val="auto"/>
              </w:rPr>
            </w:pPr>
          </w:p>
        </w:tc>
      </w:tr>
      <w:tr>
        <w:trPr>
          <w:trHeight w:val="209"/>
        </w:trPr>
        <w:tc>
          <w:tcPr>
            <w:tcW w:w="3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260" w:type="dxa"/>
            <w:vAlign w:val="bottom"/>
            <w:shd w:val="clear" w:color="auto" w:fill="E5FFFF"/>
          </w:tcPr>
          <w:p>
            <w:pPr>
              <w:spacing w:after="0"/>
              <w:rPr>
                <w:sz w:val="18"/>
                <w:szCs w:val="18"/>
                <w:color w:val="auto"/>
              </w:rPr>
            </w:pPr>
          </w:p>
        </w:tc>
        <w:tc>
          <w:tcPr>
            <w:tcW w:w="1940" w:type="dxa"/>
            <w:vAlign w:val="bottom"/>
            <w:shd w:val="clear" w:color="auto" w:fill="E5FFFF"/>
          </w:tcPr>
          <w:p>
            <w:pPr>
              <w:spacing w:after="0"/>
              <w:rPr>
                <w:sz w:val="18"/>
                <w:szCs w:val="18"/>
                <w:color w:val="auto"/>
              </w:rPr>
            </w:pPr>
          </w:p>
        </w:tc>
        <w:tc>
          <w:tcPr>
            <w:tcW w:w="1180" w:type="dxa"/>
            <w:vAlign w:val="bottom"/>
            <w:tcBorders>
              <w:right w:val="single" w:sz="8" w:color="E5FFFF"/>
            </w:tcBorders>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r>
      <w:tr>
        <w:trPr>
          <w:trHeight w:val="176"/>
        </w:trPr>
        <w:tc>
          <w:tcPr>
            <w:tcW w:w="524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Net book value</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3"/>
        </w:trPr>
        <w:tc>
          <w:tcPr>
            <w:tcW w:w="5240" w:type="dxa"/>
            <w:vAlign w:val="bottom"/>
            <w:gridSpan w:val="4"/>
            <w:shd w:val="clear" w:color="auto" w:fill="E5FFFF"/>
          </w:tcPr>
          <w:p>
            <w:pPr>
              <w:spacing w:after="0"/>
              <w:rPr>
                <w:sz w:val="20"/>
                <w:szCs w:val="20"/>
                <w:color w:val="auto"/>
              </w:rPr>
            </w:pPr>
            <w:r>
              <w:rPr>
                <w:rFonts w:ascii="Arial" w:cs="Arial" w:eastAsia="Arial" w:hAnsi="Arial"/>
                <w:sz w:val="16"/>
                <w:szCs w:val="16"/>
                <w:b w:val="1"/>
                <w:bCs w:val="1"/>
                <w:color w:val="auto"/>
              </w:rPr>
              <w:t>As of December 31, 2022</w:t>
            </w:r>
          </w:p>
        </w:tc>
        <w:tc>
          <w:tcPr>
            <w:tcW w:w="11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4,480,422</w:t>
            </w:r>
          </w:p>
        </w:tc>
        <w:tc>
          <w:tcPr>
            <w:tcW w:w="20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34,241</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4,514,663</w:t>
            </w:r>
          </w:p>
        </w:tc>
        <w:tc>
          <w:tcPr>
            <w:tcW w:w="22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210,099</w:t>
            </w:r>
          </w:p>
        </w:tc>
      </w:tr>
      <w:tr>
        <w:trPr>
          <w:trHeight w:val="20"/>
        </w:trPr>
        <w:tc>
          <w:tcPr>
            <w:tcW w:w="320" w:type="dxa"/>
            <w:vAlign w:val="bottom"/>
            <w:shd w:val="clear" w:color="auto" w:fill="E5FFFF"/>
          </w:tcPr>
          <w:p>
            <w:pPr>
              <w:spacing w:after="0" w:line="20" w:lineRule="exact"/>
              <w:rPr>
                <w:sz w:val="1"/>
                <w:szCs w:val="1"/>
                <w:color w:val="auto"/>
              </w:rPr>
            </w:pPr>
          </w:p>
        </w:tc>
        <w:tc>
          <w:tcPr>
            <w:tcW w:w="720" w:type="dxa"/>
            <w:vAlign w:val="bottom"/>
            <w:shd w:val="clear" w:color="auto" w:fill="E5FFFF"/>
          </w:tcPr>
          <w:p>
            <w:pPr>
              <w:spacing w:after="0" w:line="20" w:lineRule="exact"/>
              <w:rPr>
                <w:sz w:val="1"/>
                <w:szCs w:val="1"/>
                <w:color w:val="auto"/>
              </w:rPr>
            </w:pPr>
          </w:p>
        </w:tc>
        <w:tc>
          <w:tcPr>
            <w:tcW w:w="2260" w:type="dxa"/>
            <w:vAlign w:val="bottom"/>
            <w:shd w:val="clear" w:color="auto" w:fill="E5FFFF"/>
          </w:tcPr>
          <w:p>
            <w:pPr>
              <w:spacing w:after="0" w:line="20" w:lineRule="exact"/>
              <w:rPr>
                <w:sz w:val="1"/>
                <w:szCs w:val="1"/>
                <w:color w:val="auto"/>
              </w:rPr>
            </w:pPr>
          </w:p>
        </w:tc>
        <w:tc>
          <w:tcPr>
            <w:tcW w:w="1940" w:type="dxa"/>
            <w:vAlign w:val="bottom"/>
            <w:shd w:val="clear" w:color="auto" w:fill="E5FFFF"/>
          </w:tcPr>
          <w:p>
            <w:pPr>
              <w:spacing w:after="0" w:line="20" w:lineRule="exact"/>
              <w:rPr>
                <w:sz w:val="1"/>
                <w:szCs w:val="1"/>
                <w:color w:val="auto"/>
              </w:rPr>
            </w:pPr>
          </w:p>
        </w:tc>
        <w:tc>
          <w:tcPr>
            <w:tcW w:w="1180" w:type="dxa"/>
            <w:vAlign w:val="bottom"/>
            <w:tcBorders>
              <w:right w:val="single" w:sz="8" w:color="E5FFFF"/>
            </w:tcBorders>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r>
      <w:tr>
        <w:trPr>
          <w:trHeight w:val="210"/>
        </w:trPr>
        <w:tc>
          <w:tcPr>
            <w:tcW w:w="5240" w:type="dxa"/>
            <w:vAlign w:val="bottom"/>
            <w:gridSpan w:val="4"/>
          </w:tcPr>
          <w:p>
            <w:pPr>
              <w:spacing w:after="0"/>
              <w:rPr>
                <w:sz w:val="20"/>
                <w:szCs w:val="20"/>
                <w:color w:val="auto"/>
              </w:rPr>
            </w:pPr>
            <w:r>
              <w:rPr>
                <w:rFonts w:ascii="Arial" w:cs="Arial" w:eastAsia="Arial" w:hAnsi="Arial"/>
                <w:sz w:val="16"/>
                <w:szCs w:val="16"/>
                <w:b w:val="1"/>
                <w:bCs w:val="1"/>
                <w:color w:val="auto"/>
              </w:rPr>
              <w:t>As of June 30, 2023</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3,939,067</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35,814</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3,974,881</w:t>
            </w: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444,726</w:t>
            </w:r>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-3368040</wp:posOffset>
            </wp:positionV>
            <wp:extent cx="68580" cy="33604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3360420"/>
                    </a:xfrm>
                    <a:prstGeom prst="rect">
                      <a:avLst/>
                    </a:prstGeom>
                    <a:noFill/>
                  </pic:spPr>
                </pic:pic>
              </a:graphicData>
            </a:graphic>
          </wp:anchor>
        </w:drawing>
      </w:r>
    </w:p>
    <w:p>
      <w:pPr>
        <w:spacing w:after="0" w:line="186"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Vessels with an aggregate carrying amount of $3,939,067 as of June 30, 2023 (December 31, 2022: $4,480,422) have been pledged as collateral under the terms of the Group’s credit facilities.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On February 2, 2022, GasLog entered into an agreement for the sale of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a 153,600 cubic meters (“cbm”) tri-fuel diesel</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13"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5"/>
          <w:szCs w:val="15"/>
          <w:color w:val="auto"/>
        </w:rPr>
        <w:t>electric propulsion (“TFDE”) LNG carrier built in 2010 to Gastrade for $265,086, payable in installments, following its conversion to an FSRU expected to be completed by</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 fourth quarter of 2023. On February 3, 2022, GasLog, through its subsidiary GAS-fifteen Ltd., issued a Final Notice to Proceed to Seatrium O&amp;G (Americas) Limited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(“Seatrium”) ex. Keppel Shipyard Ltd. (“Keppel”) to convert the </w:t>
      </w:r>
      <w:r>
        <w:rPr>
          <w:rFonts w:ascii="Arial" w:cs="Arial" w:eastAsia="Arial" w:hAnsi="Arial"/>
          <w:sz w:val="15"/>
          <w:szCs w:val="15"/>
          <w:i w:val="1"/>
          <w:iCs w:val="1"/>
          <w:color w:val="auto"/>
        </w:rPr>
        <w:t>GasLog Chelsea</w:t>
      </w:r>
      <w:r>
        <w:rPr>
          <w:rFonts w:ascii="Arial" w:cs="Arial" w:eastAsia="Arial" w:hAnsi="Arial"/>
          <w:sz w:val="15"/>
          <w:szCs w:val="15"/>
          <w:color w:val="auto"/>
        </w:rPr>
        <w:t>, into a FSRU in connection with the Final Investment Decision (“FID”) taken by Gastrade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the construction of a regasification terminal in Alexandroupolis. In February 2023, the </w:t>
      </w:r>
      <w:r>
        <w:rPr>
          <w:rFonts w:ascii="Arial" w:cs="Arial" w:eastAsia="Arial" w:hAnsi="Arial"/>
          <w:sz w:val="14"/>
          <w:szCs w:val="14"/>
          <w:i w:val="1"/>
          <w:iCs w:val="1"/>
          <w:color w:val="auto"/>
        </w:rPr>
        <w:t>GasLog Chelsea</w:t>
      </w:r>
      <w:r>
        <w:rPr>
          <w:rFonts w:ascii="Arial" w:cs="Arial" w:eastAsia="Arial" w:hAnsi="Arial"/>
          <w:sz w:val="14"/>
          <w:szCs w:val="14"/>
          <w:color w:val="auto"/>
        </w:rPr>
        <w:t xml:space="preserve"> changed from the flag of Bermuda to the flag of Greece and was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renamed to </w:t>
      </w:r>
      <w:r>
        <w:rPr>
          <w:rFonts w:ascii="Arial" w:cs="Arial" w:eastAsia="Arial" w:hAnsi="Arial"/>
          <w:sz w:val="14"/>
          <w:szCs w:val="14"/>
          <w:i w:val="1"/>
          <w:iCs w:val="1"/>
          <w:color w:val="auto"/>
        </w:rPr>
        <w:t>Alexandroupoli</w:t>
      </w:r>
      <w:r>
        <w:rPr>
          <w:rFonts w:ascii="Arial" w:cs="Arial" w:eastAsia="Arial" w:hAnsi="Arial"/>
          <w:sz w:val="14"/>
          <w:szCs w:val="14"/>
          <w:color w:val="auto"/>
        </w:rPr>
        <w:t xml:space="preserve">. The proceeds from the sale of the </w:t>
      </w:r>
      <w:r>
        <w:rPr>
          <w:rFonts w:ascii="Arial" w:cs="Arial" w:eastAsia="Arial" w:hAnsi="Arial"/>
          <w:sz w:val="14"/>
          <w:szCs w:val="14"/>
          <w:i w:val="1"/>
          <w:iCs w:val="1"/>
          <w:color w:val="auto"/>
        </w:rPr>
        <w:t>GasLog Chelsea</w:t>
      </w:r>
      <w:r>
        <w:rPr>
          <w:rFonts w:ascii="Arial" w:cs="Arial" w:eastAsia="Arial" w:hAnsi="Arial"/>
          <w:sz w:val="14"/>
          <w:szCs w:val="14"/>
          <w:color w:val="auto"/>
        </w:rPr>
        <w:t xml:space="preserve"> and specifically the amount of $215,528 (December 31, 2022: $108,632) (including $3,460</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of extra proceeds due to variation orders, December 31, 2022: $2,598) already received as of June 30, 2023 and the amount of $53,018 to be received in the future were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considered as a significant financing component according to IFRS 15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and are recognized under Other non-current liabilities.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Consequently, the Group assessed the interest to be capitalized over time relating to the transaction, and the capitalized amount as of June 30, 2023 was $7,352</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2022: $3,294) and was included in Vessels Under Construction. Following the signing of this agreement, as of March 31, 2022, the vessel was remeasured at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 lower of its carrying amount and its recoverable amount (value in use), and a non-cash impairment loss of $19,350 was recorded. In the six months ended June 30, 2023,</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Group recorded an impairment reversal of $3,788 in relation to the write-off of a cost included in Tangible Fixed Assets before the remeasurement of the </w:t>
      </w:r>
      <w:r>
        <w:rPr>
          <w:rFonts w:ascii="Arial" w:cs="Arial" w:eastAsia="Arial" w:hAnsi="Arial"/>
          <w:sz w:val="14"/>
          <w:szCs w:val="14"/>
          <w:i w:val="1"/>
          <w:iCs w:val="1"/>
          <w:color w:val="auto"/>
        </w:rPr>
        <w:t>GasLog Skagen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and the recognition of an impairment loss of $9,534 on March 31, 2022.</w:t>
      </w:r>
    </w:p>
    <w:p>
      <w:pPr>
        <w:spacing w:after="0" w:line="231" w:lineRule="exact"/>
        <w:rPr>
          <w:sz w:val="20"/>
          <w:szCs w:val="20"/>
          <w:color w:val="auto"/>
        </w:rPr>
      </w:pPr>
    </w:p>
    <w:p>
      <w:pPr>
        <w:ind w:right="80" w:firstLine="324"/>
        <w:spacing w:after="0" w:line="271" w:lineRule="auto"/>
        <w:rPr>
          <w:sz w:val="20"/>
          <w:szCs w:val="20"/>
          <w:color w:val="auto"/>
        </w:rPr>
      </w:pPr>
      <w:r>
        <w:rPr>
          <w:rFonts w:ascii="Arial" w:cs="Arial" w:eastAsia="Arial" w:hAnsi="Arial"/>
          <w:sz w:val="16"/>
          <w:szCs w:val="16"/>
          <w:color w:val="auto"/>
        </w:rPr>
        <w:t xml:space="preserve">On March 30, 2023, GAS-five Ltd. and GAS-nine Ltd. completed the sale and leaseback of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respectively, with a wholly-owned subsidiary of China Development Bank Leasing (“CDBL”) (Note 5). During the six-month period ended June 30, 2023, both vessels were initially remeasured at the lower of their carrying amount and fair value less costs to sell and a non-cash impairment loss of $142 and $6,053 was recorded for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respectively. Upon completion of the transactions, a loss on disposal of $660 and $649 was recorded in the consolidated statement of profit or loss for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w:t>
      </w:r>
      <w:r>
        <w:rPr>
          <w:rFonts w:ascii="Arial" w:cs="Arial" w:eastAsia="Arial" w:hAnsi="Arial"/>
          <w:sz w:val="16"/>
          <w:szCs w:val="16"/>
          <w:i w:val="1"/>
          <w:iCs w:val="1"/>
          <w:color w:val="auto"/>
        </w:rPr>
        <w:t>GasLog Saratoga</w:t>
      </w:r>
      <w:r>
        <w:rPr>
          <w:rFonts w:ascii="Arial" w:cs="Arial" w:eastAsia="Arial" w:hAnsi="Arial"/>
          <w:sz w:val="16"/>
          <w:szCs w:val="16"/>
          <w:color w:val="auto"/>
        </w:rPr>
        <w:t>, respectively.</w:t>
      </w:r>
    </w:p>
    <w:p>
      <w:pPr>
        <w:spacing w:after="0" w:line="190" w:lineRule="exact"/>
        <w:rPr>
          <w:sz w:val="20"/>
          <w:szCs w:val="20"/>
          <w:color w:val="auto"/>
        </w:rPr>
      </w:pPr>
    </w:p>
    <w:p>
      <w:pPr>
        <w:jc w:val="both"/>
        <w:ind w:right="120" w:firstLine="324"/>
        <w:spacing w:after="0" w:line="271" w:lineRule="auto"/>
        <w:rPr>
          <w:sz w:val="20"/>
          <w:szCs w:val="20"/>
          <w:color w:val="auto"/>
        </w:rPr>
      </w:pPr>
      <w:r>
        <w:rPr>
          <w:rFonts w:ascii="Arial" w:cs="Arial" w:eastAsia="Arial" w:hAnsi="Arial"/>
          <w:sz w:val="16"/>
          <w:szCs w:val="16"/>
          <w:color w:val="auto"/>
        </w:rPr>
        <w:t xml:space="preserve">On January 17, 2023, GasLog Hellas-2 Special Maritime Enterprise, the vessel-owning entity of the </w:t>
      </w:r>
      <w:r>
        <w:rPr>
          <w:rFonts w:ascii="Arial" w:cs="Arial" w:eastAsia="Arial" w:hAnsi="Arial"/>
          <w:sz w:val="16"/>
          <w:szCs w:val="16"/>
          <w:i w:val="1"/>
          <w:iCs w:val="1"/>
          <w:color w:val="auto"/>
        </w:rPr>
        <w:t>GasLog Athens</w:t>
      </w:r>
      <w:r>
        <w:rPr>
          <w:rFonts w:ascii="Arial" w:cs="Arial" w:eastAsia="Arial" w:hAnsi="Arial"/>
          <w:sz w:val="16"/>
          <w:szCs w:val="16"/>
          <w:color w:val="auto"/>
        </w:rPr>
        <w:t xml:space="preserve">, entered into a Memorandum of Agreement with respect to the sale of its vessel to an unrelated third party, with the transaction expected to be completed upon redelivery of the vessel from its current charterer. All criteria outlined by IFRS 5 </w:t>
      </w:r>
      <w:r>
        <w:rPr>
          <w:rFonts w:ascii="Arial" w:cs="Arial" w:eastAsia="Arial" w:hAnsi="Arial"/>
          <w:sz w:val="16"/>
          <w:szCs w:val="16"/>
          <w:i w:val="1"/>
          <w:iCs w:val="1"/>
          <w:color w:val="auto"/>
        </w:rPr>
        <w:t>Non-current Assets Held for Sale and Discontinued Operations</w:t>
      </w:r>
      <w:r>
        <w:rPr>
          <w:rFonts w:ascii="Arial" w:cs="Arial" w:eastAsia="Arial" w:hAnsi="Arial"/>
          <w:sz w:val="16"/>
          <w:szCs w:val="16"/>
          <w:color w:val="auto"/>
        </w:rPr>
        <w:t xml:space="preserve"> were deemed to have been met as of January 31, 2023. As a result, the carrying amount of the </w:t>
      </w:r>
      <w:r>
        <w:rPr>
          <w:rFonts w:ascii="Arial" w:cs="Arial" w:eastAsia="Arial" w:hAnsi="Arial"/>
          <w:sz w:val="16"/>
          <w:szCs w:val="16"/>
          <w:i w:val="1"/>
          <w:iCs w:val="1"/>
          <w:color w:val="auto"/>
        </w:rPr>
        <w:t>GasLog Athens</w:t>
      </w:r>
      <w:r>
        <w:rPr>
          <w:rFonts w:ascii="Arial" w:cs="Arial" w:eastAsia="Arial" w:hAnsi="Arial"/>
          <w:sz w:val="16"/>
          <w:szCs w:val="16"/>
          <w:color w:val="auto"/>
        </w:rPr>
        <w:t xml:space="preserve"> ($63,783) was remeasured at the lower between carrying amount and fair value less costs to sell, resulting in the recognition of an impairment loss of $9,333 and was reclassified as “Vessel held for sale” (within current assets).</w:t>
      </w:r>
    </w:p>
    <w:p>
      <w:pPr>
        <w:spacing w:after="0" w:line="190"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As of June 30, 2023, the Company concluded that there were no events or circumstances triggering the existence of potential impairment or reversal of impairment of its remaining vessels.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Vessels under construction</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2023, GasLog has the following newbuildings on order at Daewoo Shipbuilding and Marine Engineering Co., Ltd. (“DSME”):</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2"/>
              </w:rPr>
              <w:t>Date of</w:t>
            </w:r>
          </w:p>
        </w:tc>
        <w:tc>
          <w:tcPr>
            <w:tcW w:w="8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c>
          <w:tcPr>
            <w:tcW w:w="6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3"/>
              </w:rPr>
              <w:t>Cargo Capacity</w:t>
            </w:r>
          </w:p>
        </w:tc>
      </w:tr>
      <w:tr>
        <w:trPr>
          <w:trHeight w:val="213"/>
        </w:trPr>
        <w:tc>
          <w:tcPr>
            <w:tcW w:w="1960" w:type="dxa"/>
            <w:vAlign w:val="bottom"/>
            <w:gridSpan w:val="2"/>
          </w:tcPr>
          <w:p>
            <w:pPr>
              <w:spacing w:after="0"/>
              <w:rPr>
                <w:sz w:val="20"/>
                <w:szCs w:val="20"/>
                <w:color w:val="auto"/>
              </w:rPr>
            </w:pPr>
            <w:r>
              <w:rPr>
                <w:rFonts w:ascii="Arial" w:cs="Arial" w:eastAsia="Arial" w:hAnsi="Arial"/>
                <w:sz w:val="16"/>
                <w:szCs w:val="16"/>
                <w:b w:val="1"/>
                <w:bCs w:val="1"/>
                <w:color w:val="auto"/>
              </w:rPr>
              <w:t>LNG Carrier</w:t>
            </w:r>
          </w:p>
        </w:tc>
        <w:tc>
          <w:tcPr>
            <w:tcW w:w="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88"/>
              </w:rPr>
              <w:t>agreement</w:t>
            </w:r>
          </w:p>
        </w:tc>
        <w:tc>
          <w:tcPr>
            <w:tcW w:w="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delivery</w:t>
            </w:r>
          </w:p>
        </w:tc>
        <w:tc>
          <w:tcPr>
            <w:tcW w:w="6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6"/>
              </w:rPr>
              <w:t>(cbm)</w:t>
            </w:r>
          </w:p>
        </w:tc>
      </w:tr>
      <w:tr>
        <w:trPr>
          <w:trHeight w:val="199"/>
        </w:trPr>
        <w:tc>
          <w:tcPr>
            <w:tcW w:w="20" w:type="dxa"/>
            <w:vAlign w:val="bottom"/>
          </w:tcPr>
          <w:p>
            <w:pPr>
              <w:spacing w:after="0"/>
              <w:rPr>
                <w:sz w:val="17"/>
                <w:szCs w:val="17"/>
                <w:color w:val="auto"/>
              </w:rPr>
            </w:pPr>
          </w:p>
        </w:tc>
        <w:tc>
          <w:tcPr>
            <w:tcW w:w="19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Hull No. 2532</w:t>
            </w:r>
          </w:p>
        </w:tc>
        <w:tc>
          <w:tcPr>
            <w:tcW w:w="80" w:type="dxa"/>
            <w:vAlign w:val="bottom"/>
            <w:shd w:val="clear" w:color="auto" w:fill="E5FFFF"/>
          </w:tcPr>
          <w:p>
            <w:pPr>
              <w:spacing w:after="0"/>
              <w:rPr>
                <w:sz w:val="17"/>
                <w:szCs w:val="17"/>
                <w:color w:val="auto"/>
              </w:rPr>
            </w:pPr>
          </w:p>
        </w:tc>
        <w:tc>
          <w:tcPr>
            <w:tcW w:w="18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November 2021</w:t>
            </w:r>
          </w:p>
        </w:tc>
        <w:tc>
          <w:tcPr>
            <w:tcW w:w="80" w:type="dxa"/>
            <w:vAlign w:val="bottom"/>
            <w:shd w:val="clear" w:color="auto" w:fill="E5FFFF"/>
          </w:tcPr>
          <w:p>
            <w:pPr>
              <w:spacing w:after="0"/>
              <w:rPr>
                <w:sz w:val="17"/>
                <w:szCs w:val="17"/>
                <w:color w:val="auto"/>
              </w:rPr>
            </w:pPr>
          </w:p>
        </w:tc>
        <w:tc>
          <w:tcPr>
            <w:tcW w:w="1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Q3 2024</w:t>
            </w:r>
          </w:p>
        </w:tc>
        <w:tc>
          <w:tcPr>
            <w:tcW w:w="60" w:type="dxa"/>
            <w:vAlign w:val="bottom"/>
            <w:shd w:val="clear" w:color="auto" w:fill="E5FFFF"/>
          </w:tcPr>
          <w:p>
            <w:pPr>
              <w:spacing w:after="0"/>
              <w:rPr>
                <w:sz w:val="17"/>
                <w:szCs w:val="17"/>
                <w:color w:val="auto"/>
              </w:rPr>
            </w:pPr>
          </w:p>
        </w:tc>
        <w:tc>
          <w:tcPr>
            <w:tcW w:w="1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Hull No. 2533</w:t>
            </w:r>
          </w:p>
        </w:tc>
        <w:tc>
          <w:tcPr>
            <w:tcW w:w="8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November 2021</w:t>
            </w:r>
          </w:p>
        </w:tc>
        <w:tc>
          <w:tcPr>
            <w:tcW w:w="8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1"/>
              </w:rPr>
              <w:t>Q3 2024</w:t>
            </w:r>
          </w:p>
        </w:tc>
        <w:tc>
          <w:tcPr>
            <w:tcW w:w="1960" w:type="dxa"/>
            <w:vAlign w:val="bottom"/>
            <w:gridSpan w:val="2"/>
          </w:tcPr>
          <w:p>
            <w:pPr>
              <w:jc w:val="center"/>
              <w:spacing w:after="0"/>
              <w:rPr>
                <w:sz w:val="20"/>
                <w:szCs w:val="20"/>
                <w:color w:val="auto"/>
              </w:rPr>
            </w:pPr>
            <w:r>
              <w:rPr>
                <w:rFonts w:ascii="Arial" w:cs="Arial" w:eastAsia="Arial" w:hAnsi="Arial"/>
                <w:sz w:val="16"/>
                <w:szCs w:val="16"/>
                <w:color w:val="auto"/>
                <w:w w:val="93"/>
              </w:rPr>
              <w:t>174,000</w:t>
            </w:r>
          </w:p>
        </w:tc>
      </w:tr>
      <w:tr>
        <w:trPr>
          <w:trHeight w:val="203"/>
        </w:trPr>
        <w:tc>
          <w:tcPr>
            <w:tcW w:w="20" w:type="dxa"/>
            <w:vAlign w:val="bottom"/>
          </w:tcPr>
          <w:p>
            <w:pPr>
              <w:spacing w:after="0"/>
              <w:rPr>
                <w:sz w:val="17"/>
                <w:szCs w:val="17"/>
                <w:color w:val="auto"/>
              </w:rPr>
            </w:pPr>
          </w:p>
        </w:tc>
        <w:tc>
          <w:tcPr>
            <w:tcW w:w="1940" w:type="dxa"/>
            <w:vAlign w:val="bottom"/>
            <w:shd w:val="clear" w:color="auto" w:fill="E5FFFF"/>
          </w:tcPr>
          <w:p>
            <w:pPr>
              <w:spacing w:after="0"/>
              <w:rPr>
                <w:sz w:val="20"/>
                <w:szCs w:val="20"/>
                <w:color w:val="auto"/>
              </w:rPr>
            </w:pPr>
            <w:r>
              <w:rPr>
                <w:rFonts w:ascii="Arial" w:cs="Arial" w:eastAsia="Arial" w:hAnsi="Arial"/>
                <w:sz w:val="16"/>
                <w:szCs w:val="16"/>
                <w:color w:val="auto"/>
              </w:rPr>
              <w:t>Hull No. 2534</w:t>
            </w:r>
          </w:p>
        </w:tc>
        <w:tc>
          <w:tcPr>
            <w:tcW w:w="80" w:type="dxa"/>
            <w:vAlign w:val="bottom"/>
            <w:shd w:val="clear" w:color="auto" w:fill="E5FFFF"/>
          </w:tcPr>
          <w:p>
            <w:pPr>
              <w:spacing w:after="0"/>
              <w:rPr>
                <w:sz w:val="17"/>
                <w:szCs w:val="17"/>
                <w:color w:val="auto"/>
              </w:rPr>
            </w:pPr>
          </w:p>
        </w:tc>
        <w:tc>
          <w:tcPr>
            <w:tcW w:w="1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November 2021</w:t>
            </w:r>
          </w:p>
        </w:tc>
        <w:tc>
          <w:tcPr>
            <w:tcW w:w="80" w:type="dxa"/>
            <w:vAlign w:val="bottom"/>
            <w:shd w:val="clear" w:color="auto" w:fill="E5FFFF"/>
          </w:tcPr>
          <w:p>
            <w:pPr>
              <w:spacing w:after="0"/>
              <w:rPr>
                <w:sz w:val="17"/>
                <w:szCs w:val="17"/>
                <w:color w:val="auto"/>
              </w:rPr>
            </w:pPr>
          </w:p>
        </w:tc>
        <w:tc>
          <w:tcPr>
            <w:tcW w:w="1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Q3 2025</w:t>
            </w:r>
          </w:p>
        </w:tc>
        <w:tc>
          <w:tcPr>
            <w:tcW w:w="196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r>
      <w:tr>
        <w:trPr>
          <w:trHeight w:val="206"/>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Hull No. 2535</w:t>
            </w:r>
          </w:p>
        </w:tc>
        <w:tc>
          <w:tcPr>
            <w:tcW w:w="8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November 2021</w:t>
            </w:r>
          </w:p>
        </w:tc>
        <w:tc>
          <w:tcPr>
            <w:tcW w:w="8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1"/>
              </w:rPr>
              <w:t>Q4 2025</w:t>
            </w:r>
          </w:p>
        </w:tc>
        <w:tc>
          <w:tcPr>
            <w:tcW w:w="1960" w:type="dxa"/>
            <w:vAlign w:val="bottom"/>
            <w:gridSpan w:val="2"/>
          </w:tcPr>
          <w:p>
            <w:pPr>
              <w:jc w:val="center"/>
              <w:spacing w:after="0"/>
              <w:rPr>
                <w:sz w:val="20"/>
                <w:szCs w:val="20"/>
                <w:color w:val="auto"/>
              </w:rPr>
            </w:pPr>
            <w:r>
              <w:rPr>
                <w:rFonts w:ascii="Arial" w:cs="Arial" w:eastAsia="Arial" w:hAnsi="Arial"/>
                <w:sz w:val="16"/>
                <w:szCs w:val="16"/>
                <w:color w:val="auto"/>
                <w:w w:val="93"/>
              </w:rPr>
              <w:t>174,000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Vessels under construction represent scheduled advance payments to the shipyards as well as certain capitalized expenditures.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Leases</w:t>
      </w:r>
    </w:p>
    <w:p>
      <w:pPr>
        <w:spacing w:after="0" w:line="23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 xml:space="preserve">On March 30, 2023, GasLog Partner’s subsidiary, GAS-five Ltd., and GasLog’s subsidiary, GAS-nine Ltd. completed the sale and leaseback of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respectively, with a wholly-owned subsidiary of CDBL. The vessels were sold to CDBL for net proceeds of $278,297 and leased back under bareboat charters for a period of five years with no repurchase option or obligation. These sale and leasebacks meet the definition of a lease under IFRS 16 </w:t>
      </w:r>
      <w:r>
        <w:rPr>
          <w:rFonts w:ascii="Arial" w:cs="Arial" w:eastAsia="Arial" w:hAnsi="Arial"/>
          <w:sz w:val="16"/>
          <w:szCs w:val="16"/>
          <w:i w:val="1"/>
          <w:iCs w:val="1"/>
          <w:color w:val="auto"/>
        </w:rPr>
        <w:t>Leases</w:t>
      </w:r>
      <w:r>
        <w:rPr>
          <w:rFonts w:ascii="Arial" w:cs="Arial" w:eastAsia="Arial" w:hAnsi="Arial"/>
          <w:sz w:val="16"/>
          <w:szCs w:val="16"/>
          <w:color w:val="auto"/>
        </w:rPr>
        <w:t>, resulting in the recognition of right-of-use assets of $136,037 and corresponding lease liabilities of $111,578.</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movements in right-of-use assets are reported in the following table:</w:t>
      </w:r>
    </w:p>
    <w:p>
      <w:pPr>
        <w:sectPr>
          <w:pgSz w:w="11900" w:h="16838" w:orient="portrait"/>
          <w:cols w:equalWidth="0" w:num="1">
            <w:col w:w="11240"/>
          </w:cols>
          <w:pgMar w:left="320" w:top="913"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right="700"/>
        <w:spacing w:after="0" w:line="307" w:lineRule="auto"/>
        <w:rPr>
          <w:sz w:val="20"/>
          <w:szCs w:val="20"/>
          <w:color w:val="auto"/>
        </w:rPr>
      </w:pPr>
      <w:r>
        <w:rPr>
          <w:rFonts w:ascii="Arial" w:cs="Arial" w:eastAsia="Arial" w:hAnsi="Arial"/>
          <w:sz w:val="15"/>
          <w:szCs w:val="15"/>
          <w:b w:val="1"/>
          <w:bCs w:val="1"/>
          <w:color w:val="auto"/>
        </w:rPr>
        <w:t xml:space="preserve">Right-of-Use Assets </w:t>
      </w:r>
      <w:r>
        <w:rPr>
          <w:rFonts w:ascii="Arial" w:cs="Arial" w:eastAsia="Arial" w:hAnsi="Arial"/>
          <w:sz w:val="15"/>
          <w:szCs w:val="15"/>
          <w:color w:val="auto"/>
        </w:rPr>
        <w:t>As of January 1, 2023 Additions/(write-offs), net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39"/>
              <w:spacing w:after="0"/>
              <w:rPr>
                <w:sz w:val="20"/>
                <w:szCs w:val="20"/>
                <w:color w:val="auto"/>
              </w:rPr>
            </w:pPr>
            <w:r>
              <w:rPr>
                <w:rFonts w:ascii="Arial" w:cs="Arial" w:eastAsia="Arial" w:hAnsi="Arial"/>
                <w:sz w:val="16"/>
                <w:szCs w:val="16"/>
                <w:b w:val="1"/>
                <w:bCs w:val="1"/>
                <w:color w:val="auto"/>
              </w:rPr>
              <w:t>Vessels’</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3"/>
        </w:trPr>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Vessels</w:t>
            </w:r>
          </w:p>
        </w:tc>
        <w:tc>
          <w:tcPr>
            <w:tcW w:w="240" w:type="dxa"/>
            <w:vAlign w:val="bottom"/>
          </w:tcPr>
          <w:p>
            <w:pPr>
              <w:spacing w:after="0"/>
              <w:rPr>
                <w:sz w:val="18"/>
                <w:szCs w:val="18"/>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Equipment</w:t>
            </w:r>
          </w:p>
        </w:tc>
        <w:tc>
          <w:tcPr>
            <w:tcW w:w="240" w:type="dxa"/>
            <w:vAlign w:val="bottom"/>
          </w:tcPr>
          <w:p>
            <w:pPr>
              <w:spacing w:after="0"/>
              <w:rPr>
                <w:sz w:val="18"/>
                <w:szCs w:val="18"/>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Properties</w:t>
            </w:r>
          </w:p>
        </w:tc>
        <w:tc>
          <w:tcPr>
            <w:tcW w:w="240" w:type="dxa"/>
            <w:vAlign w:val="bottom"/>
          </w:tcPr>
          <w:p>
            <w:pPr>
              <w:spacing w:after="0"/>
              <w:rPr>
                <w:sz w:val="18"/>
                <w:szCs w:val="18"/>
                <w:color w:val="auto"/>
              </w:rPr>
            </w:pPr>
          </w:p>
        </w:tc>
        <w:tc>
          <w:tcPr>
            <w:tcW w:w="9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Other</w:t>
            </w:r>
          </w:p>
        </w:tc>
        <w:tc>
          <w:tcPr>
            <w:tcW w:w="3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06"/>
        </w:trPr>
        <w:tc>
          <w:tcPr>
            <w:tcW w:w="1340" w:type="dxa"/>
            <w:vAlign w:val="bottom"/>
          </w:tcPr>
          <w:p>
            <w:pPr>
              <w:jc w:val="right"/>
              <w:ind w:right="19"/>
              <w:spacing w:after="0"/>
              <w:rPr>
                <w:sz w:val="20"/>
                <w:szCs w:val="20"/>
                <w:color w:val="auto"/>
              </w:rPr>
            </w:pPr>
            <w:r>
              <w:rPr>
                <w:rFonts w:ascii="Arial" w:cs="Arial" w:eastAsia="Arial" w:hAnsi="Arial"/>
                <w:sz w:val="16"/>
                <w:szCs w:val="16"/>
                <w:color w:val="auto"/>
              </w:rPr>
              <w:t>413,151</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color w:val="auto"/>
              </w:rPr>
              <w:t>862</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color w:val="auto"/>
              </w:rPr>
              <w:t>2,458</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580" w:type="dxa"/>
            <w:vAlign w:val="bottom"/>
            <w:gridSpan w:val="2"/>
          </w:tcPr>
          <w:p>
            <w:pPr>
              <w:jc w:val="right"/>
              <w:ind w:right="19"/>
              <w:spacing w:after="0"/>
              <w:rPr>
                <w:sz w:val="20"/>
                <w:szCs w:val="20"/>
                <w:color w:val="auto"/>
              </w:rPr>
            </w:pPr>
            <w:r>
              <w:rPr>
                <w:rFonts w:ascii="Arial" w:cs="Arial" w:eastAsia="Arial" w:hAnsi="Arial"/>
                <w:sz w:val="16"/>
                <w:szCs w:val="16"/>
                <w:color w:val="auto"/>
              </w:rPr>
              <w:t>416,485</w:t>
            </w:r>
          </w:p>
        </w:tc>
      </w:tr>
      <w:tr>
        <w:trPr>
          <w:trHeight w:val="216"/>
        </w:trPr>
        <w:tc>
          <w:tcPr>
            <w:tcW w:w="1340" w:type="dxa"/>
            <w:vAlign w:val="bottom"/>
          </w:tcPr>
          <w:p>
            <w:pPr>
              <w:jc w:val="right"/>
              <w:ind w:right="19"/>
              <w:spacing w:after="0"/>
              <w:rPr>
                <w:sz w:val="20"/>
                <w:szCs w:val="20"/>
                <w:color w:val="auto"/>
              </w:rPr>
            </w:pPr>
            <w:r>
              <w:rPr>
                <w:rFonts w:ascii="Arial" w:cs="Arial" w:eastAsia="Arial" w:hAnsi="Arial"/>
                <w:sz w:val="16"/>
                <w:szCs w:val="16"/>
                <w:color w:val="auto"/>
              </w:rPr>
              <w:t>141,426</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color w:val="auto"/>
              </w:rPr>
              <w:t>355</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9"/>
              <w:spacing w:after="0"/>
              <w:rPr>
                <w:sz w:val="20"/>
                <w:szCs w:val="20"/>
                <w:color w:val="auto"/>
              </w:rPr>
            </w:pPr>
            <w:r>
              <w:rPr>
                <w:rFonts w:ascii="Arial" w:cs="Arial" w:eastAsia="Arial" w:hAnsi="Arial"/>
                <w:sz w:val="16"/>
                <w:szCs w:val="16"/>
                <w:color w:val="auto"/>
              </w:rPr>
              <w:t>141,769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-269875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420" w:space="720"/>
            <w:col w:w="8100"/>
          </w:cols>
          <w:pgMar w:left="320" w:top="913"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1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Depreciation</w:t>
            </w:r>
          </w:p>
        </w:tc>
        <w:tc>
          <w:tcPr>
            <w:tcW w:w="48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(41,927)</w:t>
            </w:r>
          </w:p>
        </w:tc>
        <w:tc>
          <w:tcPr>
            <w:tcW w:w="240" w:type="dxa"/>
            <w:vAlign w:val="bottom"/>
            <w:tcBorders>
              <w:bottom w:val="single" w:sz="8" w:color="E5FFFF"/>
            </w:tcBorders>
            <w:shd w:val="clear" w:color="auto" w:fill="E5FFFF"/>
          </w:tcPr>
          <w:p>
            <w:pPr>
              <w:spacing w:after="0"/>
              <w:rPr>
                <w:sz w:val="17"/>
                <w:szCs w:val="17"/>
                <w:color w:val="auto"/>
              </w:rPr>
            </w:pPr>
          </w:p>
        </w:tc>
        <w:tc>
          <w:tcPr>
            <w:tcW w:w="1560" w:type="dxa"/>
            <w:vAlign w:val="bottom"/>
            <w:tcBorders>
              <w:bottom w:val="single" w:sz="8" w:color="auto"/>
            </w:tcBorders>
            <w:shd w:val="clear" w:color="auto" w:fill="E5FFFF"/>
          </w:tcPr>
          <w:p>
            <w:pPr>
              <w:jc w:val="right"/>
              <w:ind w:right="22"/>
              <w:spacing w:after="0"/>
              <w:rPr>
                <w:sz w:val="20"/>
                <w:szCs w:val="20"/>
                <w:color w:val="auto"/>
              </w:rPr>
            </w:pPr>
            <w:r>
              <w:rPr>
                <w:rFonts w:ascii="Arial" w:cs="Arial" w:eastAsia="Arial" w:hAnsi="Arial"/>
                <w:sz w:val="16"/>
                <w:szCs w:val="16"/>
                <w:color w:val="auto"/>
              </w:rPr>
              <w:t>(514)</w:t>
            </w:r>
          </w:p>
        </w:tc>
        <w:tc>
          <w:tcPr>
            <w:tcW w:w="240" w:type="dxa"/>
            <w:vAlign w:val="bottom"/>
            <w:tcBorders>
              <w:bottom w:val="single" w:sz="8" w:color="E5FFFF"/>
            </w:tcBorders>
            <w:shd w:val="clear" w:color="auto" w:fill="E5FFFF"/>
          </w:tcPr>
          <w:p>
            <w:pPr>
              <w:spacing w:after="0"/>
              <w:rPr>
                <w:sz w:val="17"/>
                <w:szCs w:val="17"/>
                <w:color w:val="auto"/>
              </w:rPr>
            </w:pPr>
          </w:p>
        </w:tc>
        <w:tc>
          <w:tcPr>
            <w:tcW w:w="156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(438)</w:t>
            </w:r>
          </w:p>
        </w:tc>
        <w:tc>
          <w:tcPr>
            <w:tcW w:w="24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E5FFFF"/>
            </w:tcBorders>
            <w:shd w:val="clear" w:color="auto" w:fill="E5FFFF"/>
          </w:tcPr>
          <w:p>
            <w:pPr>
              <w:spacing w:after="0"/>
              <w:rPr>
                <w:sz w:val="17"/>
                <w:szCs w:val="17"/>
                <w:color w:val="auto"/>
              </w:rPr>
            </w:pPr>
          </w:p>
        </w:tc>
        <w:tc>
          <w:tcPr>
            <w:tcW w:w="580" w:type="dxa"/>
            <w:vAlign w:val="bottom"/>
            <w:tcBorders>
              <w:bottom w:val="single" w:sz="8" w:color="auto"/>
            </w:tcBorders>
            <w:shd w:val="clear" w:color="auto" w:fill="E5FFFF"/>
          </w:tcPr>
          <w:p>
            <w:pPr>
              <w:spacing w:after="0"/>
              <w:rPr>
                <w:sz w:val="17"/>
                <w:szCs w:val="17"/>
                <w:color w:val="auto"/>
              </w:rPr>
            </w:pPr>
          </w:p>
        </w:tc>
        <w:tc>
          <w:tcPr>
            <w:tcW w:w="76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(42,883)</w:t>
            </w:r>
          </w:p>
        </w:tc>
      </w:tr>
      <w:tr>
        <w:trPr>
          <w:trHeight w:val="233"/>
        </w:trPr>
        <w:tc>
          <w:tcPr>
            <w:tcW w:w="3140" w:type="dxa"/>
            <w:vAlign w:val="bottom"/>
          </w:tcPr>
          <w:p>
            <w:pPr>
              <w:spacing w:after="0"/>
              <w:rPr>
                <w:sz w:val="20"/>
                <w:szCs w:val="20"/>
                <w:color w:val="auto"/>
              </w:rPr>
            </w:pPr>
            <w:r>
              <w:rPr>
                <w:rFonts w:ascii="Arial" w:cs="Arial" w:eastAsia="Arial" w:hAnsi="Arial"/>
                <w:sz w:val="16"/>
                <w:szCs w:val="16"/>
                <w:b w:val="1"/>
                <w:bCs w:val="1"/>
                <w:color w:val="auto"/>
              </w:rPr>
              <w:t>As of June 30, 2023</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512,650</w:t>
            </w:r>
          </w:p>
        </w:tc>
        <w:tc>
          <w:tcPr>
            <w:tcW w:w="240" w:type="dxa"/>
            <w:vAlign w:val="bottom"/>
          </w:tcPr>
          <w:p>
            <w:pPr>
              <w:spacing w:after="0"/>
              <w:rPr>
                <w:sz w:val="20"/>
                <w:szCs w:val="20"/>
                <w:color w:val="auto"/>
              </w:rPr>
            </w:pPr>
          </w:p>
        </w:tc>
        <w:tc>
          <w:tcPr>
            <w:tcW w:w="15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703</w:t>
            </w:r>
          </w:p>
        </w:tc>
        <w:tc>
          <w:tcPr>
            <w:tcW w:w="240" w:type="dxa"/>
            <w:vAlign w:val="bottom"/>
          </w:tcPr>
          <w:p>
            <w:pPr>
              <w:spacing w:after="0"/>
              <w:rPr>
                <w:sz w:val="20"/>
                <w:szCs w:val="20"/>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2,008</w:t>
            </w:r>
          </w:p>
        </w:tc>
        <w:tc>
          <w:tcPr>
            <w:tcW w:w="240" w:type="dxa"/>
            <w:vAlign w:val="bottom"/>
          </w:tcPr>
          <w:p>
            <w:pPr>
              <w:spacing w:after="0"/>
              <w:rPr>
                <w:sz w:val="20"/>
                <w:szCs w:val="20"/>
                <w:color w:val="auto"/>
              </w:rPr>
            </w:pPr>
          </w:p>
        </w:tc>
        <w:tc>
          <w:tcPr>
            <w:tcW w:w="13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10</w:t>
            </w:r>
          </w:p>
        </w:tc>
        <w:tc>
          <w:tcPr>
            <w:tcW w:w="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515,371</w:t>
            </w:r>
          </w:p>
        </w:tc>
      </w:tr>
      <w:tr>
        <w:trPr>
          <w:trHeight w:val="20"/>
        </w:trPr>
        <w:tc>
          <w:tcPr>
            <w:tcW w:w="3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96"/>
        </w:trPr>
        <w:tc>
          <w:tcPr>
            <w:tcW w:w="3620" w:type="dxa"/>
            <w:vAlign w:val="bottom"/>
            <w:gridSpan w:val="2"/>
          </w:tcPr>
          <w:p>
            <w:pPr>
              <w:ind w:left="340"/>
              <w:spacing w:after="0"/>
              <w:rPr>
                <w:sz w:val="20"/>
                <w:szCs w:val="20"/>
                <w:color w:val="auto"/>
              </w:rPr>
            </w:pPr>
            <w:r>
              <w:rPr>
                <w:rFonts w:ascii="Arial" w:cs="Arial" w:eastAsia="Arial" w:hAnsi="Arial"/>
                <w:sz w:val="16"/>
                <w:szCs w:val="16"/>
                <w:color w:val="auto"/>
                <w:w w:val="99"/>
              </w:rPr>
              <w:t>An analysis of the lease liabilities is as follows: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21"/>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Lease Liabilities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3"/>
        </w:trPr>
        <w:tc>
          <w:tcPr>
            <w:tcW w:w="362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As of January 1, 2023</w:t>
            </w:r>
          </w:p>
        </w:tc>
        <w:tc>
          <w:tcPr>
            <w:tcW w:w="8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5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560" w:type="dxa"/>
            <w:vAlign w:val="bottom"/>
            <w:shd w:val="clear" w:color="auto" w:fill="E5FFFF"/>
          </w:tcPr>
          <w:p>
            <w:pPr>
              <w:spacing w:after="0"/>
              <w:rPr>
                <w:sz w:val="18"/>
                <w:szCs w:val="18"/>
                <w:color w:val="auto"/>
              </w:rPr>
            </w:pPr>
          </w:p>
        </w:tc>
        <w:tc>
          <w:tcPr>
            <w:tcW w:w="2400" w:type="dxa"/>
            <w:vAlign w:val="bottom"/>
            <w:gridSpan w:val="5"/>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336,376</w:t>
            </w:r>
          </w:p>
        </w:tc>
        <w:tc>
          <w:tcPr>
            <w:tcW w:w="200" w:type="dxa"/>
            <w:vAlign w:val="bottom"/>
            <w:shd w:val="clear" w:color="auto" w:fill="E5FFFF"/>
          </w:tcPr>
          <w:p>
            <w:pPr>
              <w:spacing w:after="0"/>
              <w:rPr>
                <w:sz w:val="18"/>
                <w:szCs w:val="18"/>
                <w:color w:val="auto"/>
              </w:rPr>
            </w:pPr>
          </w:p>
        </w:tc>
        <w:tc>
          <w:tcPr>
            <w:tcW w:w="560" w:type="dxa"/>
            <w:vAlign w:val="bottom"/>
          </w:tcPr>
          <w:p>
            <w:pPr>
              <w:spacing w:after="0"/>
              <w:rPr>
                <w:sz w:val="18"/>
                <w:szCs w:val="18"/>
                <w:color w:val="auto"/>
              </w:rPr>
            </w:pPr>
          </w:p>
        </w:tc>
      </w:tr>
      <w:tr>
        <w:trPr>
          <w:trHeight w:val="213"/>
        </w:trPr>
        <w:tc>
          <w:tcPr>
            <w:tcW w:w="3620" w:type="dxa"/>
            <w:vAlign w:val="bottom"/>
            <w:gridSpan w:val="2"/>
          </w:tcPr>
          <w:p>
            <w:pPr>
              <w:spacing w:after="0"/>
              <w:rPr>
                <w:sz w:val="20"/>
                <w:szCs w:val="20"/>
                <w:color w:val="auto"/>
              </w:rPr>
            </w:pPr>
            <w:r>
              <w:rPr>
                <w:rFonts w:ascii="Arial" w:cs="Arial" w:eastAsia="Arial" w:hAnsi="Arial"/>
                <w:sz w:val="16"/>
                <w:szCs w:val="16"/>
                <w:color w:val="auto"/>
              </w:rPr>
              <w:t>Additions, net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0" w:type="dxa"/>
            <w:vAlign w:val="bottom"/>
            <w:gridSpan w:val="5"/>
          </w:tcPr>
          <w:p>
            <w:pPr>
              <w:jc w:val="right"/>
              <w:ind w:right="20"/>
              <w:spacing w:after="0"/>
              <w:rPr>
                <w:sz w:val="20"/>
                <w:szCs w:val="20"/>
                <w:color w:val="auto"/>
              </w:rPr>
            </w:pPr>
            <w:r>
              <w:rPr>
                <w:rFonts w:ascii="Arial" w:cs="Arial" w:eastAsia="Arial" w:hAnsi="Arial"/>
                <w:sz w:val="16"/>
                <w:szCs w:val="16"/>
                <w:color w:val="auto"/>
              </w:rPr>
              <w:t>109,788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36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Interest expense on leases (Note 12)</w:t>
            </w:r>
          </w:p>
        </w:tc>
        <w:tc>
          <w:tcPr>
            <w:tcW w:w="86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56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560" w:type="dxa"/>
            <w:vAlign w:val="bottom"/>
            <w:shd w:val="clear" w:color="auto" w:fill="E5FFFF"/>
          </w:tcPr>
          <w:p>
            <w:pPr>
              <w:spacing w:after="0"/>
              <w:rPr>
                <w:sz w:val="19"/>
                <w:szCs w:val="19"/>
                <w:color w:val="auto"/>
              </w:rPr>
            </w:pPr>
          </w:p>
        </w:tc>
        <w:tc>
          <w:tcPr>
            <w:tcW w:w="2400" w:type="dxa"/>
            <w:vAlign w:val="bottom"/>
            <w:gridSpan w:val="5"/>
            <w:shd w:val="clear" w:color="auto" w:fill="E5FFFF"/>
          </w:tcPr>
          <w:p>
            <w:pPr>
              <w:jc w:val="right"/>
              <w:ind w:right="20"/>
              <w:spacing w:after="0"/>
              <w:rPr>
                <w:sz w:val="20"/>
                <w:szCs w:val="20"/>
                <w:color w:val="auto"/>
              </w:rPr>
            </w:pPr>
            <w:r>
              <w:rPr>
                <w:rFonts w:ascii="Arial" w:cs="Arial" w:eastAsia="Arial" w:hAnsi="Arial"/>
                <w:sz w:val="16"/>
                <w:szCs w:val="16"/>
                <w:color w:val="auto"/>
              </w:rPr>
              <w:t>7,687</w:t>
            </w:r>
          </w:p>
        </w:tc>
        <w:tc>
          <w:tcPr>
            <w:tcW w:w="200" w:type="dxa"/>
            <w:vAlign w:val="bottom"/>
            <w:shd w:val="clear" w:color="auto" w:fill="E5FFFF"/>
          </w:tcPr>
          <w:p>
            <w:pPr>
              <w:spacing w:after="0"/>
              <w:rPr>
                <w:sz w:val="19"/>
                <w:szCs w:val="19"/>
                <w:color w:val="auto"/>
              </w:rPr>
            </w:pPr>
          </w:p>
        </w:tc>
        <w:tc>
          <w:tcPr>
            <w:tcW w:w="560" w:type="dxa"/>
            <w:vAlign w:val="bottom"/>
          </w:tcPr>
          <w:p>
            <w:pPr>
              <w:spacing w:after="0"/>
              <w:rPr>
                <w:sz w:val="19"/>
                <w:szCs w:val="19"/>
                <w:color w:val="auto"/>
              </w:rPr>
            </w:pPr>
          </w:p>
        </w:tc>
      </w:tr>
      <w:tr>
        <w:trPr>
          <w:trHeight w:val="580"/>
        </w:trPr>
        <w:tc>
          <w:tcPr>
            <w:tcW w:w="3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F-10</w:t>
            </w: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6648450</wp:posOffset>
            </wp:positionH>
            <wp:positionV relativeFrom="paragraph">
              <wp:posOffset>-925195</wp:posOffset>
            </wp:positionV>
            <wp:extent cx="128905" cy="548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54864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20"/>
        </w:trPr>
        <w:tc>
          <w:tcPr>
            <w:tcW w:w="5300" w:type="dxa"/>
            <w:vAlign w:val="bottom"/>
          </w:tcPr>
          <w:p>
            <w:pPr>
              <w:spacing w:after="0"/>
              <w:rPr>
                <w:sz w:val="20"/>
                <w:szCs w:val="20"/>
                <w:color w:val="auto"/>
              </w:rPr>
            </w:pPr>
            <w:r>
              <w:rPr>
                <w:rFonts w:ascii="Arial" w:cs="Arial" w:eastAsia="Arial" w:hAnsi="Arial"/>
                <w:sz w:val="16"/>
                <w:szCs w:val="16"/>
                <w:color w:val="auto"/>
              </w:rPr>
              <w:t>Payments</w:t>
            </w:r>
          </w:p>
        </w:tc>
        <w:tc>
          <w:tcPr>
            <w:tcW w:w="5220" w:type="dxa"/>
            <w:vAlign w:val="bottom"/>
          </w:tcPr>
          <w:p>
            <w:pPr>
              <w:jc w:val="right"/>
              <w:spacing w:after="0"/>
              <w:rPr>
                <w:sz w:val="20"/>
                <w:szCs w:val="20"/>
                <w:color w:val="auto"/>
              </w:rPr>
            </w:pPr>
            <w:r>
              <w:rPr>
                <w:rFonts w:ascii="Arial" w:cs="Arial" w:eastAsia="Arial" w:hAnsi="Arial"/>
                <w:sz w:val="16"/>
                <w:szCs w:val="16"/>
                <w:color w:val="auto"/>
              </w:rPr>
              <w:t>(35,555)</w:t>
            </w:r>
          </w:p>
        </w:tc>
      </w:tr>
    </w:tbl>
    <w:p>
      <w:pPr>
        <w:spacing w:after="0" w:line="6" w:lineRule="exact"/>
        <w:rPr>
          <w:sz w:val="20"/>
          <w:szCs w:val="20"/>
          <w:color w:val="auto"/>
        </w:rPr>
      </w:pPr>
    </w:p>
    <w:p>
      <w:pPr>
        <w:sectPr>
          <w:pgSz w:w="11900" w:h="16838" w:orient="portrait"/>
          <w:cols w:equalWidth="0" w:num="1">
            <w:col w:w="11240"/>
          </w:cols>
          <w:pgMar w:left="320" w:top="913" w:right="339" w:bottom="1440" w:gutter="0" w:footer="0" w:header="0"/>
        </w:sectPr>
      </w:pPr>
    </w:p>
    <w:p>
      <w:pPr>
        <w:spacing w:after="0"/>
        <w:rPr>
          <w:sz w:val="20"/>
          <w:szCs w:val="20"/>
          <w:color w:val="auto"/>
        </w:rPr>
      </w:pPr>
      <w:r>
        <w:rPr>
          <w:rFonts w:ascii="Arial" w:cs="Arial" w:eastAsia="Arial" w:hAnsi="Arial"/>
          <w:sz w:val="16"/>
          <w:szCs w:val="16"/>
          <w:b w:val="1"/>
          <w:bCs w:val="1"/>
          <w:color w:val="auto"/>
        </w:rPr>
        <w:t>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772275" cy="608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2275" cy="60833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Lease liabilities, current portion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liabilities, non-current portion</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Borrowings</w:t>
      </w:r>
    </w:p>
    <w:p>
      <w:pPr>
        <w:spacing w:after="0" w:line="239" w:lineRule="exact"/>
        <w:rPr>
          <w:sz w:val="20"/>
          <w:szCs w:val="20"/>
          <w:color w:val="auto"/>
        </w:rPr>
      </w:pPr>
    </w:p>
    <w:p>
      <w:pPr>
        <w:jc w:val="right"/>
        <w:ind w:right="4080"/>
        <w:spacing w:after="0"/>
        <w:rPr>
          <w:sz w:val="20"/>
          <w:szCs w:val="20"/>
          <w:color w:val="auto"/>
        </w:rPr>
      </w:pPr>
      <w:r>
        <w:rPr>
          <w:rFonts w:ascii="Arial" w:cs="Arial" w:eastAsia="Arial" w:hAnsi="Arial"/>
          <w:sz w:val="16"/>
          <w:szCs w:val="16"/>
          <w:color w:val="auto"/>
        </w:rPr>
        <w:t>An analysis of the borrowings is as follows: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Amounts due within one year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Less: unamortized discount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right"/>
        <w:ind w:right="780"/>
        <w:spacing w:after="0"/>
        <w:rPr>
          <w:sz w:val="20"/>
          <w:szCs w:val="20"/>
          <w:color w:val="auto"/>
        </w:rPr>
      </w:pPr>
      <w:r>
        <w:rPr>
          <w:rFonts w:ascii="Arial" w:cs="Arial" w:eastAsia="Arial" w:hAnsi="Arial"/>
          <w:sz w:val="16"/>
          <w:szCs w:val="16"/>
          <w:b w:val="1"/>
          <w:bCs w:val="1"/>
          <w:color w:val="auto"/>
        </w:rPr>
        <w:t>418,296</w:t>
      </w:r>
    </w:p>
    <w:p>
      <w:pPr>
        <w:spacing w:after="0" w:line="63" w:lineRule="exact"/>
        <w:rPr>
          <w:sz w:val="20"/>
          <w:szCs w:val="20"/>
          <w:color w:val="auto"/>
        </w:rPr>
      </w:pPr>
    </w:p>
    <w:p>
      <w:pPr>
        <w:jc w:val="right"/>
        <w:ind w:right="780"/>
        <w:spacing w:after="0"/>
        <w:rPr>
          <w:sz w:val="20"/>
          <w:szCs w:val="20"/>
          <w:color w:val="auto"/>
        </w:rPr>
      </w:pPr>
      <w:r>
        <w:rPr>
          <w:rFonts w:ascii="Arial" w:cs="Arial" w:eastAsia="Arial" w:hAnsi="Arial"/>
          <w:sz w:val="16"/>
          <w:szCs w:val="16"/>
          <w:color w:val="auto"/>
        </w:rPr>
        <w:t>70,176</w:t>
      </w:r>
    </w:p>
    <w:p>
      <w:pPr>
        <w:spacing w:after="0" w:line="22" w:lineRule="exact"/>
        <w:rPr>
          <w:sz w:val="20"/>
          <w:szCs w:val="20"/>
          <w:color w:val="auto"/>
        </w:rPr>
      </w:pPr>
    </w:p>
    <w:p>
      <w:pPr>
        <w:jc w:val="right"/>
        <w:ind w:right="780"/>
        <w:spacing w:after="0"/>
        <w:rPr>
          <w:sz w:val="20"/>
          <w:szCs w:val="20"/>
          <w:color w:val="auto"/>
        </w:rPr>
      </w:pPr>
      <w:r>
        <w:rPr>
          <w:rFonts w:ascii="Arial" w:cs="Arial" w:eastAsia="Arial" w:hAnsi="Arial"/>
          <w:sz w:val="16"/>
          <w:szCs w:val="16"/>
          <w:color w:val="auto"/>
        </w:rPr>
        <w:t>348,120</w:t>
      </w:r>
    </w:p>
    <w:p>
      <w:pPr>
        <w:spacing w:after="0" w:line="6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418,296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37465</wp:posOffset>
            </wp:positionV>
            <wp:extent cx="13544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60" w:type="dxa"/>
            <w:vAlign w:val="bottom"/>
          </w:tcPr>
          <w:p>
            <w:pPr>
              <w:jc w:val="right"/>
              <w:spacing w:after="0"/>
              <w:rPr>
                <w:sz w:val="20"/>
                <w:szCs w:val="20"/>
                <w:color w:val="auto"/>
              </w:rPr>
            </w:pPr>
            <w:r>
              <w:rPr>
                <w:rFonts w:ascii="Arial" w:cs="Arial" w:eastAsia="Arial" w:hAnsi="Arial"/>
                <w:sz w:val="16"/>
                <w:szCs w:val="16"/>
                <w:b w:val="1"/>
                <w:bCs w:val="1"/>
                <w:color w:val="auto"/>
                <w:w w:val="94"/>
              </w:rPr>
              <w:t>December 31, 2022</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June 30, 2023</w:t>
            </w:r>
          </w:p>
        </w:tc>
      </w:tr>
      <w:tr>
        <w:trPr>
          <w:trHeight w:val="189"/>
        </w:trPr>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305,975</w:t>
            </w:r>
          </w:p>
        </w:tc>
        <w:tc>
          <w:tcPr>
            <w:tcW w:w="24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391,881</w:t>
            </w:r>
          </w:p>
        </w:tc>
        <w:tc>
          <w:tcPr>
            <w:tcW w:w="40" w:type="dxa"/>
            <w:vAlign w:val="bottom"/>
          </w:tcPr>
          <w:p>
            <w:pPr>
              <w:spacing w:after="0"/>
              <w:rPr>
                <w:sz w:val="16"/>
                <w:szCs w:val="16"/>
                <w:color w:val="auto"/>
              </w:rPr>
            </w:pPr>
          </w:p>
        </w:tc>
      </w:tr>
      <w:tr>
        <w:trPr>
          <w:trHeight w:val="206"/>
        </w:trPr>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-389890</wp:posOffset>
            </wp:positionV>
            <wp:extent cx="7132320" cy="1380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804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260" w:space="720"/>
            <w:col w:w="3260"/>
          </w:cols>
          <w:pgMar w:left="320" w:top="913"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7980" w:type="dxa"/>
            <w:vAlign w:val="bottom"/>
            <w:shd w:val="clear" w:color="auto" w:fill="E5FFFF"/>
          </w:tcPr>
          <w:p>
            <w:pPr>
              <w:spacing w:after="0"/>
              <w:rPr>
                <w:sz w:val="20"/>
                <w:szCs w:val="20"/>
                <w:color w:val="auto"/>
              </w:rPr>
            </w:pPr>
            <w:r>
              <w:rPr>
                <w:rFonts w:ascii="Arial" w:cs="Arial" w:eastAsia="Arial" w:hAnsi="Arial"/>
                <w:sz w:val="16"/>
                <w:szCs w:val="16"/>
                <w:color w:val="auto"/>
              </w:rPr>
              <w:t>Less: unamortized deferred loan/bond issuance costs</w:t>
            </w:r>
          </w:p>
        </w:tc>
        <w:tc>
          <w:tcPr>
            <w:tcW w:w="170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(10,998)</w:t>
            </w:r>
          </w:p>
        </w:tc>
        <w:tc>
          <w:tcPr>
            <w:tcW w:w="15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(9,430)</w:t>
            </w:r>
          </w:p>
        </w:tc>
      </w:tr>
      <w:tr>
        <w:trPr>
          <w:trHeight w:val="207"/>
        </w:trPr>
        <w:tc>
          <w:tcPr>
            <w:tcW w:w="7980" w:type="dxa"/>
            <w:vAlign w:val="bottom"/>
            <w:tcBorders>
              <w:top w:val="single" w:sz="8" w:color="E5FFFF"/>
              <w:bottom w:val="single" w:sz="8" w:color="E5FFFF"/>
            </w:tcBorders>
          </w:tcPr>
          <w:p>
            <w:pPr>
              <w:spacing w:after="0"/>
              <w:rPr>
                <w:sz w:val="20"/>
                <w:szCs w:val="20"/>
                <w:color w:val="auto"/>
              </w:rPr>
            </w:pPr>
            <w:r>
              <w:rPr>
                <w:rFonts w:ascii="Arial" w:cs="Arial" w:eastAsia="Arial" w:hAnsi="Arial"/>
                <w:sz w:val="16"/>
                <w:szCs w:val="16"/>
                <w:b w:val="1"/>
                <w:bCs w:val="1"/>
                <w:color w:val="auto"/>
              </w:rPr>
              <w:t>Borrowings, current portion</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294,977</w:t>
            </w:r>
          </w:p>
        </w:tc>
        <w:tc>
          <w:tcPr>
            <w:tcW w:w="240" w:type="dxa"/>
            <w:vAlign w:val="bottom"/>
            <w:tcBorders>
              <w:top w:val="single" w:sz="8" w:color="E5FFFF"/>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382,359</w:t>
            </w:r>
          </w:p>
        </w:tc>
        <w:tc>
          <w:tcPr>
            <w:tcW w:w="100" w:type="dxa"/>
            <w:vAlign w:val="bottom"/>
            <w:tcBorders>
              <w:top w:val="single" w:sz="8" w:color="E5FFFF"/>
              <w:bottom w:val="single" w:sz="8" w:color="E5FFFF"/>
            </w:tcBorders>
          </w:tcPr>
          <w:p>
            <w:pPr>
              <w:spacing w:after="0"/>
              <w:rPr>
                <w:sz w:val="17"/>
                <w:szCs w:val="17"/>
                <w:color w:val="auto"/>
              </w:rPr>
            </w:pPr>
          </w:p>
        </w:tc>
      </w:tr>
      <w:tr>
        <w:trPr>
          <w:trHeight w:val="199"/>
        </w:trPr>
        <w:tc>
          <w:tcPr>
            <w:tcW w:w="7980" w:type="dxa"/>
            <w:vAlign w:val="bottom"/>
            <w:shd w:val="clear" w:color="auto" w:fill="E5FFFF"/>
          </w:tcPr>
          <w:p>
            <w:pPr>
              <w:spacing w:after="0"/>
              <w:rPr>
                <w:sz w:val="20"/>
                <w:szCs w:val="20"/>
                <w:color w:val="auto"/>
              </w:rPr>
            </w:pPr>
            <w:r>
              <w:rPr>
                <w:rFonts w:ascii="Arial" w:cs="Arial" w:eastAsia="Arial" w:hAnsi="Arial"/>
                <w:sz w:val="16"/>
                <w:szCs w:val="16"/>
                <w:color w:val="auto"/>
              </w:rPr>
              <w:t>Amounts due after one year</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3,047,916</w:t>
            </w:r>
          </w:p>
        </w:tc>
        <w:tc>
          <w:tcPr>
            <w:tcW w:w="24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2,662,990</w:t>
            </w:r>
          </w:p>
        </w:tc>
        <w:tc>
          <w:tcPr>
            <w:tcW w:w="100" w:type="dxa"/>
            <w:vAlign w:val="bottom"/>
            <w:shd w:val="clear" w:color="auto" w:fill="E5FFFF"/>
          </w:tcPr>
          <w:p>
            <w:pPr>
              <w:spacing w:after="0"/>
              <w:rPr>
                <w:sz w:val="17"/>
                <w:szCs w:val="17"/>
                <w:color w:val="auto"/>
              </w:rPr>
            </w:pPr>
          </w:p>
        </w:tc>
      </w:tr>
      <w:tr>
        <w:trPr>
          <w:trHeight w:val="203"/>
        </w:trPr>
        <w:tc>
          <w:tcPr>
            <w:tcW w:w="7980" w:type="dxa"/>
            <w:vAlign w:val="bottom"/>
          </w:tcPr>
          <w:p>
            <w:pPr>
              <w:spacing w:after="0"/>
              <w:rPr>
                <w:sz w:val="20"/>
                <w:szCs w:val="20"/>
                <w:color w:val="auto"/>
              </w:rPr>
            </w:pPr>
            <w:r>
              <w:rPr>
                <w:rFonts w:ascii="Arial" w:cs="Arial" w:eastAsia="Arial" w:hAnsi="Arial"/>
                <w:sz w:val="16"/>
                <w:szCs w:val="16"/>
                <w:color w:val="auto"/>
              </w:rPr>
              <w:t>Less: unamortized discount</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(2,100)</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(1,841)</w:t>
            </w:r>
          </w:p>
        </w:tc>
      </w:tr>
      <w:tr>
        <w:trPr>
          <w:trHeight w:val="203"/>
        </w:trPr>
        <w:tc>
          <w:tcPr>
            <w:tcW w:w="7980" w:type="dxa"/>
            <w:vAlign w:val="bottom"/>
            <w:shd w:val="clear" w:color="auto" w:fill="E5FFFF"/>
          </w:tcPr>
          <w:p>
            <w:pPr>
              <w:spacing w:after="0"/>
              <w:rPr>
                <w:sz w:val="20"/>
                <w:szCs w:val="20"/>
                <w:color w:val="auto"/>
              </w:rPr>
            </w:pPr>
            <w:r>
              <w:rPr>
                <w:rFonts w:ascii="Arial" w:cs="Arial" w:eastAsia="Arial" w:hAnsi="Arial"/>
                <w:sz w:val="16"/>
                <w:szCs w:val="16"/>
                <w:color w:val="auto"/>
              </w:rPr>
              <w:t>Less: unamortized deferred loan/bond issuance costs</w:t>
            </w:r>
          </w:p>
        </w:tc>
        <w:tc>
          <w:tcPr>
            <w:tcW w:w="170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(41,049)</w:t>
            </w:r>
          </w:p>
        </w:tc>
        <w:tc>
          <w:tcPr>
            <w:tcW w:w="15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(36,016)</w:t>
            </w:r>
          </w:p>
        </w:tc>
      </w:tr>
      <w:tr>
        <w:trPr>
          <w:trHeight w:val="207"/>
        </w:trPr>
        <w:tc>
          <w:tcPr>
            <w:tcW w:w="7980" w:type="dxa"/>
            <w:vAlign w:val="bottom"/>
            <w:tcBorders>
              <w:top w:val="single" w:sz="8" w:color="E5FFFF"/>
              <w:bottom w:val="single" w:sz="8" w:color="E5FFFF"/>
            </w:tcBorders>
          </w:tcPr>
          <w:p>
            <w:pPr>
              <w:spacing w:after="0"/>
              <w:rPr>
                <w:sz w:val="20"/>
                <w:szCs w:val="20"/>
                <w:color w:val="auto"/>
              </w:rPr>
            </w:pPr>
            <w:r>
              <w:rPr>
                <w:rFonts w:ascii="Arial" w:cs="Arial" w:eastAsia="Arial" w:hAnsi="Arial"/>
                <w:sz w:val="16"/>
                <w:szCs w:val="16"/>
                <w:b w:val="1"/>
                <w:bCs w:val="1"/>
                <w:color w:val="auto"/>
              </w:rPr>
              <w:t>Borrowings, non-current portion</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3,004,767</w:t>
            </w:r>
          </w:p>
        </w:tc>
        <w:tc>
          <w:tcPr>
            <w:tcW w:w="240" w:type="dxa"/>
            <w:vAlign w:val="bottom"/>
            <w:tcBorders>
              <w:top w:val="single" w:sz="8" w:color="E5FFFF"/>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2,625,133</w:t>
            </w:r>
          </w:p>
        </w:tc>
        <w:tc>
          <w:tcPr>
            <w:tcW w:w="100" w:type="dxa"/>
            <w:vAlign w:val="bottom"/>
            <w:tcBorders>
              <w:top w:val="single" w:sz="8" w:color="E5FFFF"/>
              <w:bottom w:val="single" w:sz="8" w:color="E5FFFF"/>
            </w:tcBorders>
          </w:tcPr>
          <w:p>
            <w:pPr>
              <w:spacing w:after="0"/>
              <w:rPr>
                <w:sz w:val="17"/>
                <w:szCs w:val="17"/>
                <w:color w:val="auto"/>
              </w:rPr>
            </w:pPr>
          </w:p>
        </w:tc>
      </w:tr>
      <w:tr>
        <w:trPr>
          <w:trHeight w:val="249"/>
        </w:trPr>
        <w:tc>
          <w:tcPr>
            <w:tcW w:w="79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3,299,744</w:t>
            </w:r>
          </w:p>
        </w:tc>
        <w:tc>
          <w:tcPr>
            <w:tcW w:w="240" w:type="dxa"/>
            <w:vAlign w:val="bottom"/>
            <w:tcBorders>
              <w:bottom w:val="single" w:sz="8" w:color="E5FFFF"/>
            </w:tcBorders>
            <w:shd w:val="clear" w:color="auto" w:fill="E5FFFF"/>
          </w:tcPr>
          <w:p>
            <w:pPr>
              <w:spacing w:after="0"/>
              <w:rPr>
                <w:sz w:val="21"/>
                <w:szCs w:val="21"/>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3,007,492</w:t>
            </w:r>
          </w:p>
        </w:tc>
        <w:tc>
          <w:tcPr>
            <w:tcW w:w="100" w:type="dxa"/>
            <w:vAlign w:val="bottom"/>
            <w:tcBorders>
              <w:bottom w:val="single" w:sz="8" w:color="E5FFFF"/>
            </w:tcBorders>
            <w:shd w:val="clear" w:color="auto" w:fill="E5FFFF"/>
          </w:tcPr>
          <w:p>
            <w:pPr>
              <w:spacing w:after="0"/>
              <w:rPr>
                <w:sz w:val="21"/>
                <w:szCs w:val="2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w:t>
      </w:r>
    </w:p>
    <w:p>
      <w:pPr>
        <w:spacing w:after="0" w:line="23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main terms of the Group’s credit facilities in existence as of December 31, 2022, have been disclosed in the annual audited consolidated financial statements for the year ended December 31, 2022. Refer to Note 13 “Borrowings”.</w:t>
      </w:r>
    </w:p>
    <w:p>
      <w:pPr>
        <w:spacing w:after="0" w:line="172" w:lineRule="exact"/>
        <w:rPr>
          <w:sz w:val="20"/>
          <w:szCs w:val="20"/>
          <w:color w:val="auto"/>
        </w:rPr>
      </w:pPr>
    </w:p>
    <w:p>
      <w:pPr>
        <w:ind w:right="220" w:firstLine="324"/>
        <w:spacing w:after="0" w:line="273" w:lineRule="auto"/>
        <w:rPr>
          <w:sz w:val="20"/>
          <w:szCs w:val="20"/>
          <w:color w:val="auto"/>
        </w:rPr>
      </w:pPr>
      <w:r>
        <w:rPr>
          <w:rFonts w:ascii="Arial" w:cs="Arial" w:eastAsia="Arial" w:hAnsi="Arial"/>
          <w:sz w:val="16"/>
          <w:szCs w:val="16"/>
          <w:color w:val="auto"/>
        </w:rPr>
        <w:t xml:space="preserve">On February 7, 2023, GasLog prepaid an amount of $77,899 with respect to the associated debt of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pursuant to the commencement of the conversion of the vessel to an FSRU, using the additional proceeds of $92,780 received from Gastrade at the same date. GasLog has agreed to sell the vessel following its conversion to an FSRU. The existing loan facility of the specified vessel was terminated and the respective unamortized loan fees of $661 written-off to the consolidated statement of profit or loss.</w:t>
      </w:r>
    </w:p>
    <w:p>
      <w:pPr>
        <w:spacing w:after="0" w:line="189" w:lineRule="exact"/>
        <w:rPr>
          <w:sz w:val="20"/>
          <w:szCs w:val="20"/>
          <w:color w:val="auto"/>
        </w:rPr>
      </w:pPr>
    </w:p>
    <w:p>
      <w:pPr>
        <w:ind w:right="60" w:firstLine="324"/>
        <w:spacing w:after="0" w:line="293" w:lineRule="auto"/>
        <w:rPr>
          <w:sz w:val="20"/>
          <w:szCs w:val="20"/>
          <w:color w:val="auto"/>
        </w:rPr>
      </w:pPr>
      <w:r>
        <w:rPr>
          <w:rFonts w:ascii="Arial" w:cs="Arial" w:eastAsia="Arial" w:hAnsi="Arial"/>
          <w:sz w:val="15"/>
          <w:szCs w:val="15"/>
          <w:color w:val="auto"/>
        </w:rPr>
        <w:t>On March 30, 2023, the outstanding indebtedness of GAS-five Ltd., in the amount of $87,780 was prepaid pursuant to the sale and leaseback agreement entered into with a wholly-owned subsidiary of CDBL (refer to Note 5). The relevant advance of the loan agreement was cancelled and the respective unamortized loan fees of $229 written-off to the consolidated statement of profit or loss. As of June 30, 2023, the amount outstanding under the credit facility of $152,461 with respect to the credit facility of up to $450,000 of GAS-four Ltd., GAS-sixteen Ltd. and GAS-seventeen Ltd. with Credit Suisse AG, Nordea Bank Abp, filial I Norge, Iyo Bank Ltd., Singapore Branch and the Development Bank of Japan, Inc., maturing in February 2024, was classified under current liabilities.</w:t>
      </w:r>
    </w:p>
    <w:p>
      <w:pPr>
        <w:spacing w:after="0" w:line="176" w:lineRule="exact"/>
        <w:rPr>
          <w:sz w:val="20"/>
          <w:szCs w:val="20"/>
          <w:color w:val="auto"/>
        </w:rPr>
      </w:pPr>
    </w:p>
    <w:p>
      <w:pPr>
        <w:jc w:val="both"/>
        <w:ind w:right="140" w:firstLine="324"/>
        <w:spacing w:after="0" w:line="278" w:lineRule="auto"/>
        <w:rPr>
          <w:sz w:val="20"/>
          <w:szCs w:val="20"/>
          <w:color w:val="auto"/>
        </w:rPr>
      </w:pPr>
      <w:r>
        <w:rPr>
          <w:rFonts w:ascii="Arial" w:cs="Arial" w:eastAsia="Arial" w:hAnsi="Arial"/>
          <w:sz w:val="16"/>
          <w:szCs w:val="16"/>
          <w:color w:val="auto"/>
        </w:rPr>
        <w:t>On March 30, 2023, the outstanding indebtedness of GAS-nine Ltd., in the amount of $94,109 was prepaid pursuant to the sale and leaseback agreement entered into with a wholly-owned subsidiary of CDBL (refer to Note 5). The relevant advances of the loan agreements were cancelled and the respective unamortized loan fees of $786 written-off to the consolidated statement of profit or loss.</w:t>
      </w:r>
    </w:p>
    <w:p>
      <w:pPr>
        <w:spacing w:after="0" w:line="184"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During the six months ended June 30, 2023, the Group drew down the amount of $82,444 to finance shipyard installments relating to the vessels under construction (Note 4) and repaid and prepaid $114,235 in accordance with the repayment terms under its loan facilities.</w:t>
      </w:r>
    </w:p>
    <w:p>
      <w:pPr>
        <w:spacing w:after="0" w:line="172"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 xml:space="preserve">The current portion of borrowings includes an amount of $31,345 (debt less unamortized loan issuance costs) with respect to the steam turbine propulsion (“Steam”) vessel </w:t>
      </w:r>
      <w:r>
        <w:rPr>
          <w:rFonts w:ascii="Arial" w:cs="Arial" w:eastAsia="Arial" w:hAnsi="Arial"/>
          <w:sz w:val="16"/>
          <w:szCs w:val="16"/>
          <w:i w:val="1"/>
          <w:iCs w:val="1"/>
          <w:color w:val="auto"/>
        </w:rPr>
        <w:t>GasLog Athens</w:t>
      </w:r>
      <w:r>
        <w:rPr>
          <w:rFonts w:ascii="Arial" w:cs="Arial" w:eastAsia="Arial" w:hAnsi="Arial"/>
          <w:sz w:val="16"/>
          <w:szCs w:val="16"/>
          <w:color w:val="auto"/>
        </w:rPr>
        <w:t xml:space="preserve"> reclassified under “Vessel held for sale” as of June 30, 2023 (Note 4).</w:t>
      </w:r>
    </w:p>
    <w:p>
      <w:pPr>
        <w:spacing w:after="0" w:line="172"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carrying amount of the Group’s credit facilities recognized in the unaudited condensed consolidated financial statements approximates its fair value after adjusting for the unamortized loan/bond issuance costs.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Bonds</w:t>
      </w:r>
    </w:p>
    <w:p>
      <w:pPr>
        <w:spacing w:after="0" w:line="23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main terms of the Group’s bonds have been disclosed in the annual audited consolidated financial statements for the year ended December 31, 2022. Refer to Note 13 “Borrowings”.</w:t>
      </w:r>
    </w:p>
    <w:p>
      <w:pPr>
        <w:spacing w:after="0" w:line="172" w:lineRule="exact"/>
        <w:rPr>
          <w:sz w:val="20"/>
          <w:szCs w:val="20"/>
          <w:color w:val="auto"/>
        </w:rPr>
      </w:pPr>
    </w:p>
    <w:p>
      <w:pPr>
        <w:ind w:right="20" w:firstLine="324"/>
        <w:spacing w:after="0" w:line="278" w:lineRule="auto"/>
        <w:rPr>
          <w:sz w:val="20"/>
          <w:szCs w:val="20"/>
          <w:color w:val="auto"/>
        </w:rPr>
      </w:pPr>
      <w:r>
        <w:rPr>
          <w:rFonts w:ascii="Arial" w:cs="Arial" w:eastAsia="Arial" w:hAnsi="Arial"/>
          <w:sz w:val="16"/>
          <w:szCs w:val="16"/>
          <w:color w:val="auto"/>
        </w:rPr>
        <w:t>The carrying amount under the Norwegian Kroner (“NOK”) bond maturing in 2024 (the “NOK 2024 Bonds”), net of unamortized financing costs as of June 30, 2023 is $82,973 (December 31, 2022: $90,241) while their fair value is $86,870 based on a USD/NOK exchange rate of 0.0928 as of June 30, 2023 (December 31, 2022: $93,414, based on a USD/NOK exchange rate of 0.1011).</w:t>
      </w:r>
    </w:p>
    <w:p>
      <w:pPr>
        <w:spacing w:after="0" w:line="184" w:lineRule="exact"/>
        <w:rPr>
          <w:sz w:val="20"/>
          <w:szCs w:val="20"/>
          <w:color w:val="auto"/>
        </w:rPr>
      </w:pPr>
    </w:p>
    <w:p>
      <w:pPr>
        <w:ind w:right="80" w:firstLine="324"/>
        <w:spacing w:after="0" w:line="278" w:lineRule="auto"/>
        <w:rPr>
          <w:sz w:val="20"/>
          <w:szCs w:val="20"/>
          <w:color w:val="auto"/>
        </w:rPr>
      </w:pPr>
      <w:r>
        <w:rPr>
          <w:rFonts w:ascii="Arial" w:cs="Arial" w:eastAsia="Arial" w:hAnsi="Arial"/>
          <w:sz w:val="16"/>
          <w:szCs w:val="16"/>
          <w:color w:val="auto"/>
        </w:rPr>
        <w:t>The carrying amount under the 7.75% Notes due in 2029 (the “2029 Notes”), net of unamortized financing costs and discount as of June 30, 2023, is $307,001 (December 31, 2022: $306,432). In July 2023, GasLog prepaid an amount of $15,000 in accordance with the 2029 Notes terms. As of June 30, 2023, the amount of $15,000 was classified under current liabilities.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Group was in compliance with its financial covenants as of June 30, 2023.</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7. Revenues from Contracts with Customers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Group has recognized the following amounts relating to revenues: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Revenues from long-term fleet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Revenues from spot fleet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Revenues from vessel management services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92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For the three months ended</w:t>
            </w:r>
          </w:p>
        </w:tc>
        <w:tc>
          <w:tcPr>
            <w:tcW w:w="27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For the six months ended</w:t>
            </w:r>
          </w:p>
        </w:tc>
      </w:tr>
      <w:tr>
        <w:trPr>
          <w:trHeight w:val="219"/>
        </w:trPr>
        <w:tc>
          <w:tcPr>
            <w:tcW w:w="146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2022</w:t>
            </w: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2023</w:t>
            </w: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2022</w:t>
            </w: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 2023</w:t>
            </w:r>
          </w:p>
        </w:tc>
      </w:tr>
      <w:tr>
        <w:trPr>
          <w:trHeight w:val="189"/>
        </w:trPr>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132,236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ind w:left="700"/>
              <w:spacing w:after="0"/>
              <w:rPr>
                <w:sz w:val="20"/>
                <w:szCs w:val="20"/>
                <w:color w:val="auto"/>
              </w:rPr>
            </w:pPr>
            <w:r>
              <w:rPr>
                <w:rFonts w:ascii="Arial" w:cs="Arial" w:eastAsia="Arial" w:hAnsi="Arial"/>
                <w:sz w:val="16"/>
                <w:szCs w:val="16"/>
                <w:color w:val="auto"/>
                <w:w w:val="86"/>
              </w:rPr>
              <w:t>126,137</w:t>
            </w:r>
          </w:p>
        </w:tc>
        <w:tc>
          <w:tcPr>
            <w:tcW w:w="240" w:type="dxa"/>
            <w:vAlign w:val="bottom"/>
          </w:tcPr>
          <w:p>
            <w:pPr>
              <w:spacing w:after="0"/>
              <w:rPr>
                <w:sz w:val="16"/>
                <w:szCs w:val="16"/>
                <w:color w:val="auto"/>
              </w:rPr>
            </w:pPr>
          </w:p>
        </w:tc>
        <w:tc>
          <w:tcPr>
            <w:tcW w:w="1220" w:type="dxa"/>
            <w:vAlign w:val="bottom"/>
            <w:tcBorders>
              <w:top w:val="single" w:sz="8" w:color="auto"/>
            </w:tcBorders>
          </w:tcPr>
          <w:p>
            <w:pPr>
              <w:ind w:left="700"/>
              <w:spacing w:after="0"/>
              <w:rPr>
                <w:sz w:val="20"/>
                <w:szCs w:val="20"/>
                <w:color w:val="auto"/>
              </w:rPr>
            </w:pPr>
            <w:r>
              <w:rPr>
                <w:rFonts w:ascii="Arial" w:cs="Arial" w:eastAsia="Arial" w:hAnsi="Arial"/>
                <w:sz w:val="16"/>
                <w:szCs w:val="16"/>
                <w:color w:val="auto"/>
                <w:w w:val="86"/>
              </w:rPr>
              <w:t>269,414</w:t>
            </w:r>
          </w:p>
        </w:tc>
        <w:tc>
          <w:tcPr>
            <w:tcW w:w="22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249,770</w:t>
            </w:r>
          </w:p>
        </w:tc>
      </w:tr>
      <w:tr>
        <w:trPr>
          <w:trHeight w:val="206"/>
        </w:trPr>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83,622</w:t>
            </w:r>
          </w:p>
        </w:tc>
        <w:tc>
          <w:tcPr>
            <w:tcW w:w="220" w:type="dxa"/>
            <w:vAlign w:val="bottom"/>
          </w:tcPr>
          <w:p>
            <w:pPr>
              <w:spacing w:after="0"/>
              <w:rPr>
                <w:sz w:val="17"/>
                <w:szCs w:val="17"/>
                <w:color w:val="auto"/>
              </w:rPr>
            </w:pPr>
          </w:p>
        </w:tc>
        <w:tc>
          <w:tcPr>
            <w:tcW w:w="1460" w:type="dxa"/>
            <w:vAlign w:val="bottom"/>
            <w:gridSpan w:val="2"/>
          </w:tcPr>
          <w:p>
            <w:pPr>
              <w:ind w:left="700"/>
              <w:spacing w:after="0"/>
              <w:rPr>
                <w:sz w:val="20"/>
                <w:szCs w:val="20"/>
                <w:color w:val="auto"/>
              </w:rPr>
            </w:pPr>
            <w:r>
              <w:rPr>
                <w:rFonts w:ascii="Arial" w:cs="Arial" w:eastAsia="Arial" w:hAnsi="Arial"/>
                <w:sz w:val="16"/>
                <w:szCs w:val="16"/>
                <w:color w:val="auto"/>
              </w:rPr>
              <w:t>101,441</w:t>
            </w:r>
          </w:p>
        </w:tc>
        <w:tc>
          <w:tcPr>
            <w:tcW w:w="1440" w:type="dxa"/>
            <w:vAlign w:val="bottom"/>
            <w:gridSpan w:val="2"/>
          </w:tcPr>
          <w:p>
            <w:pPr>
              <w:ind w:left="700"/>
              <w:spacing w:after="0"/>
              <w:rPr>
                <w:sz w:val="20"/>
                <w:szCs w:val="20"/>
                <w:color w:val="auto"/>
              </w:rPr>
            </w:pPr>
            <w:r>
              <w:rPr>
                <w:rFonts w:ascii="Arial" w:cs="Arial" w:eastAsia="Arial" w:hAnsi="Arial"/>
                <w:sz w:val="16"/>
                <w:szCs w:val="16"/>
                <w:color w:val="auto"/>
              </w:rPr>
              <w:t>159,946</w:t>
            </w:r>
          </w:p>
        </w:tc>
        <w:tc>
          <w:tcPr>
            <w:tcW w:w="1260" w:type="dxa"/>
            <w:vAlign w:val="bottom"/>
          </w:tcPr>
          <w:p>
            <w:pPr>
              <w:jc w:val="right"/>
              <w:spacing w:after="0"/>
              <w:rPr>
                <w:sz w:val="20"/>
                <w:szCs w:val="20"/>
                <w:color w:val="auto"/>
              </w:rPr>
            </w:pPr>
            <w:r>
              <w:rPr>
                <w:rFonts w:ascii="Arial" w:cs="Arial" w:eastAsia="Arial" w:hAnsi="Arial"/>
                <w:sz w:val="16"/>
                <w:szCs w:val="16"/>
                <w:color w:val="auto"/>
              </w:rPr>
              <w:t>208,908</w:t>
            </w:r>
          </w:p>
        </w:tc>
      </w:tr>
      <w:tr>
        <w:trPr>
          <w:trHeight w:val="219"/>
        </w:trPr>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238</w:t>
            </w:r>
          </w:p>
        </w:tc>
        <w:tc>
          <w:tcPr>
            <w:tcW w:w="2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188</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459</w:t>
            </w:r>
          </w:p>
        </w:tc>
        <w:tc>
          <w:tcPr>
            <w:tcW w:w="126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210"/>
        </w:trPr>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216,096</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b w:val="1"/>
                <w:bCs w:val="1"/>
                <w:color w:val="auto"/>
                <w:w w:val="86"/>
              </w:rPr>
              <w:t>227,766</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b w:val="1"/>
                <w:bCs w:val="1"/>
                <w:color w:val="auto"/>
                <w:w w:val="86"/>
              </w:rPr>
              <w:t>429,819</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459,065</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-847725</wp:posOffset>
            </wp:positionV>
            <wp:extent cx="7132320" cy="831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312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620"/>
            <w:col w:w="5720"/>
          </w:cols>
          <w:pgMar w:left="320" w:top="909" w:right="339" w:bottom="1440" w:gutter="0" w:footer="0" w:header="0"/>
        </w:sectPr>
      </w:pPr>
    </w:p>
    <w:p>
      <w:pPr>
        <w:spacing w:after="0" w:line="6" w:lineRule="exact"/>
        <w:rPr>
          <w:sz w:val="20"/>
          <w:szCs w:val="20"/>
          <w:color w:val="auto"/>
        </w:rPr>
      </w:pPr>
    </w:p>
    <w:p>
      <w:pPr>
        <w:ind w:firstLine="324"/>
        <w:spacing w:after="0" w:line="291" w:lineRule="auto"/>
        <w:rPr>
          <w:sz w:val="20"/>
          <w:szCs w:val="20"/>
          <w:color w:val="auto"/>
        </w:rPr>
      </w:pPr>
      <w:r>
        <w:rPr>
          <w:rFonts w:ascii="Arial" w:cs="Arial" w:eastAsia="Arial" w:hAnsi="Arial"/>
          <w:sz w:val="15"/>
          <w:szCs w:val="15"/>
          <w:color w:val="auto"/>
        </w:rPr>
        <w:t>Management allocates vessel revenues to two categories: a) spot fleet and b) long-term fleet, which reflects its commercial strategy. Specifically, the spot fleet category contains all vessels that have contracts with initial duration of up to three years. The long-term fleet category contains all vessels that have charter party agreements with initial duration of more than three years. Both categories, exclude optional periods. Comparative figures have been retrospectively adjusted to reflect the revised presentation using an initial duration of less than three years (instead of less than five years), disclosed in the annual audited consolidated financial statements for the year ended December 31, 2022. Refer to Note 18 “Revenues from Contracts with Customers”. This resulted in the reclassification of $(101) and $4,146, respectively, from Revenues from spot fleet to Revenues from long-term fleet in the three and six months ended June 30,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40" w:type="dxa"/>
            <w:vAlign w:val="bottom"/>
          </w:tcPr>
          <w:p>
            <w:pPr>
              <w:spacing w:after="0"/>
              <w:rPr>
                <w:sz w:val="20"/>
                <w:szCs w:val="20"/>
                <w:color w:val="auto"/>
              </w:rPr>
            </w:pPr>
            <w:r>
              <w:rPr>
                <w:rFonts w:ascii="Arial" w:cs="Arial" w:eastAsia="Arial" w:hAnsi="Arial"/>
                <w:sz w:val="16"/>
                <w:szCs w:val="16"/>
                <w:b w:val="1"/>
                <w:bCs w:val="1"/>
                <w:color w:val="auto"/>
              </w:rPr>
              <w:t>8. Other Payables and Accruals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18"/>
        </w:trPr>
        <w:tc>
          <w:tcPr>
            <w:tcW w:w="8540" w:type="dxa"/>
            <w:vAlign w:val="bottom"/>
          </w:tcPr>
          <w:p>
            <w:pPr>
              <w:ind w:left="340"/>
              <w:spacing w:after="0"/>
              <w:rPr>
                <w:sz w:val="20"/>
                <w:szCs w:val="20"/>
                <w:color w:val="auto"/>
              </w:rPr>
            </w:pPr>
            <w:r>
              <w:rPr>
                <w:rFonts w:ascii="Arial" w:cs="Arial" w:eastAsia="Arial" w:hAnsi="Arial"/>
                <w:sz w:val="16"/>
                <w:szCs w:val="16"/>
                <w:color w:val="auto"/>
              </w:rPr>
              <w:t>An analysis of other payables and accruals is as follows: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1"/>
        </w:trPr>
        <w:tc>
          <w:tcPr>
            <w:tcW w:w="8540" w:type="dxa"/>
            <w:vAlign w:val="bottom"/>
          </w:tcPr>
          <w:p>
            <w:pPr>
              <w:spacing w:after="0"/>
              <w:rPr>
                <w:sz w:val="24"/>
                <w:szCs w:val="24"/>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24"/>
                <w:szCs w:val="24"/>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June 30,</w:t>
            </w:r>
          </w:p>
        </w:tc>
      </w:tr>
      <w:tr>
        <w:trPr>
          <w:trHeight w:val="213"/>
        </w:trPr>
        <w:tc>
          <w:tcPr>
            <w:tcW w:w="854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46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2023</w:t>
            </w:r>
          </w:p>
        </w:tc>
      </w:tr>
      <w:tr>
        <w:trPr>
          <w:trHeight w:val="199"/>
        </w:trPr>
        <w:tc>
          <w:tcPr>
            <w:tcW w:w="8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Unearned revenue</w:t>
            </w: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71,228</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73,614</w:t>
            </w:r>
          </w:p>
        </w:tc>
      </w:tr>
      <w:tr>
        <w:trPr>
          <w:trHeight w:val="203"/>
        </w:trPr>
        <w:tc>
          <w:tcPr>
            <w:tcW w:w="8540" w:type="dxa"/>
            <w:vAlign w:val="bottom"/>
          </w:tcPr>
          <w:p>
            <w:pPr>
              <w:spacing w:after="0"/>
              <w:rPr>
                <w:sz w:val="20"/>
                <w:szCs w:val="20"/>
                <w:color w:val="auto"/>
              </w:rPr>
            </w:pPr>
            <w:r>
              <w:rPr>
                <w:rFonts w:ascii="Arial" w:cs="Arial" w:eastAsia="Arial" w:hAnsi="Arial"/>
                <w:sz w:val="16"/>
                <w:szCs w:val="16"/>
                <w:color w:val="auto"/>
              </w:rPr>
              <w:t>Accrued off-hire</w:t>
            </w:r>
          </w:p>
        </w:tc>
        <w:tc>
          <w:tcPr>
            <w:tcW w:w="1240" w:type="dxa"/>
            <w:vAlign w:val="bottom"/>
          </w:tcPr>
          <w:p>
            <w:pPr>
              <w:jc w:val="right"/>
              <w:spacing w:after="0"/>
              <w:rPr>
                <w:sz w:val="20"/>
                <w:szCs w:val="20"/>
                <w:color w:val="auto"/>
              </w:rPr>
            </w:pPr>
            <w:r>
              <w:rPr>
                <w:rFonts w:ascii="Arial" w:cs="Arial" w:eastAsia="Arial" w:hAnsi="Arial"/>
                <w:sz w:val="16"/>
                <w:szCs w:val="16"/>
                <w:color w:val="auto"/>
              </w:rPr>
              <w:t>4,490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6,405</w:t>
            </w:r>
          </w:p>
        </w:tc>
      </w:tr>
      <w:tr>
        <w:trPr>
          <w:trHeight w:val="203"/>
        </w:trPr>
        <w:tc>
          <w:tcPr>
            <w:tcW w:w="8540" w:type="dxa"/>
            <w:vAlign w:val="bottom"/>
            <w:shd w:val="clear" w:color="auto" w:fill="E5FFFF"/>
          </w:tcPr>
          <w:p>
            <w:pPr>
              <w:spacing w:after="0"/>
              <w:rPr>
                <w:sz w:val="20"/>
                <w:szCs w:val="20"/>
                <w:color w:val="auto"/>
              </w:rPr>
            </w:pPr>
            <w:r>
              <w:rPr>
                <w:rFonts w:ascii="Arial" w:cs="Arial" w:eastAsia="Arial" w:hAnsi="Arial"/>
                <w:sz w:val="16"/>
                <w:szCs w:val="16"/>
                <w:color w:val="auto"/>
              </w:rPr>
              <w:t>Accrued purchases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10,662</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12,944</w:t>
            </w:r>
          </w:p>
        </w:tc>
      </w:tr>
      <w:tr>
        <w:trPr>
          <w:trHeight w:val="203"/>
        </w:trPr>
        <w:tc>
          <w:tcPr>
            <w:tcW w:w="8540" w:type="dxa"/>
            <w:vAlign w:val="bottom"/>
          </w:tcPr>
          <w:p>
            <w:pPr>
              <w:spacing w:after="0"/>
              <w:rPr>
                <w:sz w:val="20"/>
                <w:szCs w:val="20"/>
                <w:color w:val="auto"/>
              </w:rPr>
            </w:pPr>
            <w:r>
              <w:rPr>
                <w:rFonts w:ascii="Arial" w:cs="Arial" w:eastAsia="Arial" w:hAnsi="Arial"/>
                <w:sz w:val="16"/>
                <w:szCs w:val="16"/>
                <w:color w:val="auto"/>
              </w:rPr>
              <w:t>Accrued interest</w:t>
            </w:r>
          </w:p>
        </w:tc>
        <w:tc>
          <w:tcPr>
            <w:tcW w:w="1240" w:type="dxa"/>
            <w:vAlign w:val="bottom"/>
          </w:tcPr>
          <w:p>
            <w:pPr>
              <w:jc w:val="right"/>
              <w:spacing w:after="0"/>
              <w:rPr>
                <w:sz w:val="20"/>
                <w:szCs w:val="20"/>
                <w:color w:val="auto"/>
              </w:rPr>
            </w:pPr>
            <w:r>
              <w:rPr>
                <w:rFonts w:ascii="Arial" w:cs="Arial" w:eastAsia="Arial" w:hAnsi="Arial"/>
                <w:sz w:val="16"/>
                <w:szCs w:val="16"/>
                <w:color w:val="auto"/>
              </w:rPr>
              <w:t>43,712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45,233</w:t>
            </w:r>
          </w:p>
        </w:tc>
      </w:tr>
      <w:tr>
        <w:trPr>
          <w:trHeight w:val="216"/>
        </w:trPr>
        <w:tc>
          <w:tcPr>
            <w:tcW w:w="8540" w:type="dxa"/>
            <w:vAlign w:val="bottom"/>
            <w:shd w:val="clear" w:color="auto" w:fill="E5FFFF"/>
          </w:tcPr>
          <w:p>
            <w:pPr>
              <w:spacing w:after="0"/>
              <w:rPr>
                <w:sz w:val="20"/>
                <w:szCs w:val="20"/>
                <w:color w:val="auto"/>
              </w:rPr>
            </w:pPr>
            <w:r>
              <w:rPr>
                <w:rFonts w:ascii="Arial" w:cs="Arial" w:eastAsia="Arial" w:hAnsi="Arial"/>
                <w:sz w:val="16"/>
                <w:szCs w:val="16"/>
                <w:color w:val="auto"/>
              </w:rPr>
              <w:t>Other accruals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36,840</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36,419</w:t>
            </w:r>
          </w:p>
        </w:tc>
      </w:tr>
      <w:tr>
        <w:trPr>
          <w:trHeight w:val="207"/>
        </w:trPr>
        <w:tc>
          <w:tcPr>
            <w:tcW w:w="85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166,932</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174,615</w:t>
            </w:r>
          </w:p>
        </w:tc>
      </w:tr>
      <w:tr>
        <w:trPr>
          <w:trHeight w:val="20"/>
        </w:trPr>
        <w:tc>
          <w:tcPr>
            <w:tcW w:w="85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Share Capital and Preference Shares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GasLog’s authorized share capital consists of 500,000,000 shares with a par value of $0.01 per share.</w:t>
      </w:r>
    </w:p>
    <w:p>
      <w:pPr>
        <w:spacing w:after="0" w:line="235"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As of June 30, 2023, the share capital consisted of 95,389,062 issued and outstanding common shares, par value $0.01 per share and 4,600,000 preference shares issued and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distributions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GasLog’s dividend distributions for the period ended June 30, 2023, are presented in the following table:</w:t>
      </w:r>
    </w:p>
    <w:p>
      <w:pPr>
        <w:spacing w:after="0" w:line="240" w:lineRule="exact"/>
        <w:rPr>
          <w:sz w:val="20"/>
          <w:szCs w:val="20"/>
          <w:color w:val="auto"/>
        </w:rPr>
      </w:pPr>
    </w:p>
    <w:tbl>
      <w:tblPr>
        <w:tblLayout w:type="fixed"/>
        <w:tblInd w:w="400" w:type="dxa"/>
        <w:tblCellMar>
          <w:top w:w="0" w:type="dxa"/>
          <w:left w:w="0" w:type="dxa"/>
          <w:bottom w:w="0" w:type="dxa"/>
          <w:right w:w="0" w:type="dxa"/>
        </w:tblCellMar>
      </w:tblPr>
      <w:tr>
        <w:trPr>
          <w:trHeight w:val="153"/>
        </w:trPr>
        <w:tc>
          <w:tcPr>
            <w:tcW w:w="2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Declaration date</w:t>
            </w:r>
          </w:p>
        </w:tc>
        <w:tc>
          <w:tcPr>
            <w:tcW w:w="200" w:type="dxa"/>
            <w:vAlign w:val="bottom"/>
            <w:tcBorders>
              <w:bottom w:val="single" w:sz="8" w:color="E5FFFF"/>
            </w:tcBorders>
          </w:tcPr>
          <w:p>
            <w:pPr>
              <w:spacing w:after="0"/>
              <w:rPr>
                <w:sz w:val="13"/>
                <w:szCs w:val="13"/>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Type of shares</w:t>
            </w:r>
          </w:p>
        </w:tc>
        <w:tc>
          <w:tcPr>
            <w:tcW w:w="200" w:type="dxa"/>
            <w:vAlign w:val="bottom"/>
            <w:tcBorders>
              <w:bottom w:val="single" w:sz="8" w:color="E5FFFF"/>
            </w:tcBorders>
          </w:tcPr>
          <w:p>
            <w:pPr>
              <w:spacing w:after="0"/>
              <w:rPr>
                <w:sz w:val="13"/>
                <w:szCs w:val="13"/>
                <w:color w:val="auto"/>
              </w:rPr>
            </w:pPr>
          </w:p>
        </w:tc>
        <w:tc>
          <w:tcPr>
            <w:tcW w:w="210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Dividend per share</w:t>
            </w:r>
          </w:p>
        </w:tc>
        <w:tc>
          <w:tcPr>
            <w:tcW w:w="200" w:type="dxa"/>
            <w:vAlign w:val="bottom"/>
            <w:tcBorders>
              <w:bottom w:val="single" w:sz="8" w:color="E5FFFF"/>
            </w:tcBorders>
          </w:tcPr>
          <w:p>
            <w:pPr>
              <w:spacing w:after="0"/>
              <w:rPr>
                <w:sz w:val="13"/>
                <w:szCs w:val="13"/>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Payment date</w:t>
            </w:r>
          </w:p>
        </w:tc>
        <w:tc>
          <w:tcPr>
            <w:tcW w:w="200" w:type="dxa"/>
            <w:vAlign w:val="bottom"/>
            <w:tcBorders>
              <w:bottom w:val="single" w:sz="8" w:color="E5FFFF"/>
            </w:tcBorders>
          </w:tcPr>
          <w:p>
            <w:pPr>
              <w:spacing w:after="0"/>
              <w:rPr>
                <w:sz w:val="13"/>
                <w:szCs w:val="13"/>
                <w:color w:val="auto"/>
              </w:rPr>
            </w:pPr>
          </w:p>
        </w:tc>
        <w:tc>
          <w:tcPr>
            <w:tcW w:w="1460" w:type="dxa"/>
            <w:vAlign w:val="bottom"/>
            <w:tcBorders>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Amount paid</w:t>
            </w:r>
          </w:p>
        </w:tc>
      </w:tr>
      <w:tr>
        <w:trPr>
          <w:trHeight w:val="196"/>
        </w:trPr>
        <w:tc>
          <w:tcPr>
            <w:tcW w:w="2100" w:type="dxa"/>
            <w:vAlign w:val="bottom"/>
            <w:shd w:val="clear" w:color="auto" w:fill="E5FFFF"/>
          </w:tcPr>
          <w:p>
            <w:pPr>
              <w:spacing w:after="0"/>
              <w:rPr>
                <w:sz w:val="20"/>
                <w:szCs w:val="20"/>
                <w:color w:val="auto"/>
              </w:rPr>
            </w:pPr>
            <w:r>
              <w:rPr>
                <w:rFonts w:ascii="Arial" w:cs="Arial" w:eastAsia="Arial" w:hAnsi="Arial"/>
                <w:sz w:val="16"/>
                <w:szCs w:val="16"/>
                <w:color w:val="auto"/>
              </w:rPr>
              <w:t>February 22, 2023</w:t>
            </w:r>
          </w:p>
        </w:tc>
        <w:tc>
          <w:tcPr>
            <w:tcW w:w="200" w:type="dxa"/>
            <w:vAlign w:val="bottom"/>
            <w:shd w:val="clear" w:color="auto" w:fill="E5FFFF"/>
          </w:tcPr>
          <w:p>
            <w:pPr>
              <w:spacing w:after="0"/>
              <w:rPr>
                <w:sz w:val="17"/>
                <w:szCs w:val="17"/>
                <w:color w:val="auto"/>
              </w:rPr>
            </w:pPr>
          </w:p>
        </w:tc>
        <w:tc>
          <w:tcPr>
            <w:tcW w:w="1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E5FFFF"/>
          </w:tcPr>
          <w:p>
            <w:pPr>
              <w:spacing w:after="0"/>
              <w:rPr>
                <w:sz w:val="17"/>
                <w:szCs w:val="17"/>
                <w:color w:val="auto"/>
              </w:rPr>
            </w:pPr>
          </w:p>
        </w:tc>
        <w:tc>
          <w:tcPr>
            <w:tcW w:w="21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4"/>
              </w:rPr>
              <w:t>$0.15</w:t>
            </w:r>
          </w:p>
        </w:tc>
        <w:tc>
          <w:tcPr>
            <w:tcW w:w="200" w:type="dxa"/>
            <w:vAlign w:val="bottom"/>
            <w:shd w:val="clear" w:color="auto" w:fill="E5FFFF"/>
          </w:tcPr>
          <w:p>
            <w:pPr>
              <w:spacing w:after="0"/>
              <w:rPr>
                <w:sz w:val="17"/>
                <w:szCs w:val="17"/>
                <w:color w:val="auto"/>
              </w:rPr>
            </w:pPr>
          </w:p>
        </w:tc>
        <w:tc>
          <w:tcPr>
            <w:tcW w:w="21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February 24, 2023</w:t>
            </w:r>
          </w:p>
        </w:tc>
        <w:tc>
          <w:tcPr>
            <w:tcW w:w="200" w:type="dxa"/>
            <w:vAlign w:val="bottom"/>
            <w:shd w:val="clear" w:color="auto" w:fill="E5FFFF"/>
          </w:tcPr>
          <w:p>
            <w:pPr>
              <w:spacing w:after="0"/>
              <w:rPr>
                <w:sz w:val="17"/>
                <w:szCs w:val="17"/>
                <w:color w:val="auto"/>
              </w:rPr>
            </w:pPr>
          </w:p>
        </w:tc>
        <w:tc>
          <w:tcPr>
            <w:tcW w:w="1460" w:type="dxa"/>
            <w:vAlign w:val="bottom"/>
            <w:shd w:val="clear" w:color="auto" w:fill="E5FFFF"/>
          </w:tcPr>
          <w:p>
            <w:pPr>
              <w:jc w:val="right"/>
              <w:ind w:right="345"/>
              <w:spacing w:after="0"/>
              <w:rPr>
                <w:sz w:val="20"/>
                <w:szCs w:val="20"/>
                <w:color w:val="auto"/>
              </w:rPr>
            </w:pPr>
            <w:r>
              <w:rPr>
                <w:rFonts w:ascii="Arial" w:cs="Arial" w:eastAsia="Arial" w:hAnsi="Arial"/>
                <w:sz w:val="16"/>
                <w:szCs w:val="16"/>
                <w:color w:val="auto"/>
              </w:rPr>
              <w:t>14,308</w:t>
            </w:r>
          </w:p>
        </w:tc>
      </w:tr>
      <w:tr>
        <w:trPr>
          <w:trHeight w:val="203"/>
        </w:trPr>
        <w:tc>
          <w:tcPr>
            <w:tcW w:w="2100" w:type="dxa"/>
            <w:vAlign w:val="bottom"/>
          </w:tcPr>
          <w:p>
            <w:pPr>
              <w:spacing w:after="0"/>
              <w:rPr>
                <w:sz w:val="20"/>
                <w:szCs w:val="20"/>
                <w:color w:val="auto"/>
              </w:rPr>
            </w:pPr>
            <w:r>
              <w:rPr>
                <w:rFonts w:ascii="Arial" w:cs="Arial" w:eastAsia="Arial" w:hAnsi="Arial"/>
                <w:sz w:val="16"/>
                <w:szCs w:val="16"/>
                <w:color w:val="auto"/>
              </w:rPr>
              <w:t>March 1, 2023</w:t>
            </w:r>
          </w:p>
        </w:tc>
        <w:tc>
          <w:tcPr>
            <w:tcW w:w="2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89"/>
              </w:rPr>
              <w:t>Preference</w:t>
            </w:r>
          </w:p>
        </w:tc>
        <w:tc>
          <w:tcPr>
            <w:tcW w:w="230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$0.546875</w:t>
            </w:r>
          </w:p>
        </w:tc>
        <w:tc>
          <w:tcPr>
            <w:tcW w:w="2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5"/>
              </w:rPr>
              <w:t>April 3, 2023</w:t>
            </w:r>
          </w:p>
        </w:tc>
        <w:tc>
          <w:tcPr>
            <w:tcW w:w="1660" w:type="dxa"/>
            <w:vAlign w:val="bottom"/>
            <w:gridSpan w:val="2"/>
          </w:tcPr>
          <w:p>
            <w:pPr>
              <w:jc w:val="right"/>
              <w:ind w:right="345"/>
              <w:spacing w:after="0"/>
              <w:rPr>
                <w:sz w:val="20"/>
                <w:szCs w:val="20"/>
                <w:color w:val="auto"/>
              </w:rPr>
            </w:pPr>
            <w:r>
              <w:rPr>
                <w:rFonts w:ascii="Arial" w:cs="Arial" w:eastAsia="Arial" w:hAnsi="Arial"/>
                <w:sz w:val="16"/>
                <w:szCs w:val="16"/>
                <w:color w:val="auto"/>
              </w:rPr>
              <w:t>2,516</w:t>
            </w:r>
          </w:p>
        </w:tc>
      </w:tr>
      <w:tr>
        <w:trPr>
          <w:trHeight w:val="203"/>
        </w:trPr>
        <w:tc>
          <w:tcPr>
            <w:tcW w:w="2100" w:type="dxa"/>
            <w:vAlign w:val="bottom"/>
            <w:shd w:val="clear" w:color="auto" w:fill="E5FFFF"/>
          </w:tcPr>
          <w:p>
            <w:pPr>
              <w:spacing w:after="0"/>
              <w:rPr>
                <w:sz w:val="20"/>
                <w:szCs w:val="20"/>
                <w:color w:val="auto"/>
              </w:rPr>
            </w:pPr>
            <w:r>
              <w:rPr>
                <w:rFonts w:ascii="Arial" w:cs="Arial" w:eastAsia="Arial" w:hAnsi="Arial"/>
                <w:sz w:val="16"/>
                <w:szCs w:val="16"/>
                <w:color w:val="auto"/>
              </w:rPr>
              <w:t>May 10, 2023</w:t>
            </w:r>
          </w:p>
        </w:tc>
        <w:tc>
          <w:tcPr>
            <w:tcW w:w="200" w:type="dxa"/>
            <w:vAlign w:val="bottom"/>
            <w:shd w:val="clear" w:color="auto" w:fill="E5FFFF"/>
          </w:tcPr>
          <w:p>
            <w:pPr>
              <w:spacing w:after="0"/>
              <w:rPr>
                <w:sz w:val="17"/>
                <w:szCs w:val="17"/>
                <w:color w:val="auto"/>
              </w:rPr>
            </w:pPr>
          </w:p>
        </w:tc>
        <w:tc>
          <w:tcPr>
            <w:tcW w:w="18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Common</w:t>
            </w:r>
          </w:p>
        </w:tc>
        <w:tc>
          <w:tcPr>
            <w:tcW w:w="2300" w:type="dxa"/>
            <w:vAlign w:val="bottom"/>
            <w:gridSpan w:val="2"/>
            <w:shd w:val="clear" w:color="auto" w:fill="E5FFFF"/>
          </w:tcPr>
          <w:p>
            <w:pPr>
              <w:jc w:val="center"/>
              <w:ind w:left="119"/>
              <w:spacing w:after="0"/>
              <w:rPr>
                <w:sz w:val="20"/>
                <w:szCs w:val="20"/>
                <w:color w:val="auto"/>
              </w:rPr>
            </w:pPr>
            <w:r>
              <w:rPr>
                <w:rFonts w:ascii="Arial" w:cs="Arial" w:eastAsia="Arial" w:hAnsi="Arial"/>
                <w:sz w:val="16"/>
                <w:szCs w:val="16"/>
                <w:color w:val="auto"/>
                <w:w w:val="94"/>
              </w:rPr>
              <w:t>$0.15</w:t>
            </w:r>
          </w:p>
        </w:tc>
        <w:tc>
          <w:tcPr>
            <w:tcW w:w="200" w:type="dxa"/>
            <w:vAlign w:val="bottom"/>
            <w:shd w:val="clear" w:color="auto" w:fill="E5FFFF"/>
          </w:tcPr>
          <w:p>
            <w:pPr>
              <w:spacing w:after="0"/>
              <w:rPr>
                <w:sz w:val="17"/>
                <w:szCs w:val="17"/>
                <w:color w:val="auto"/>
              </w:rPr>
            </w:pPr>
          </w:p>
        </w:tc>
        <w:tc>
          <w:tcPr>
            <w:tcW w:w="21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May 12, 2023</w:t>
            </w:r>
          </w:p>
        </w:tc>
        <w:tc>
          <w:tcPr>
            <w:tcW w:w="1660" w:type="dxa"/>
            <w:vAlign w:val="bottom"/>
            <w:gridSpan w:val="2"/>
            <w:shd w:val="clear" w:color="auto" w:fill="E5FFFF"/>
          </w:tcPr>
          <w:p>
            <w:pPr>
              <w:jc w:val="right"/>
              <w:ind w:right="345"/>
              <w:spacing w:after="0"/>
              <w:rPr>
                <w:sz w:val="20"/>
                <w:szCs w:val="20"/>
                <w:color w:val="auto"/>
              </w:rPr>
            </w:pPr>
            <w:r>
              <w:rPr>
                <w:rFonts w:ascii="Arial" w:cs="Arial" w:eastAsia="Arial" w:hAnsi="Arial"/>
                <w:sz w:val="16"/>
                <w:szCs w:val="16"/>
                <w:color w:val="auto"/>
              </w:rPr>
              <w:t>14,308</w:t>
            </w:r>
          </w:p>
        </w:tc>
      </w:tr>
      <w:tr>
        <w:trPr>
          <w:trHeight w:val="210"/>
        </w:trPr>
        <w:tc>
          <w:tcPr>
            <w:tcW w:w="2100" w:type="dxa"/>
            <w:vAlign w:val="bottom"/>
          </w:tcPr>
          <w:p>
            <w:pPr>
              <w:spacing w:after="0"/>
              <w:rPr>
                <w:sz w:val="20"/>
                <w:szCs w:val="20"/>
                <w:color w:val="auto"/>
              </w:rPr>
            </w:pPr>
            <w:r>
              <w:rPr>
                <w:rFonts w:ascii="Arial" w:cs="Arial" w:eastAsia="Arial" w:hAnsi="Arial"/>
                <w:sz w:val="16"/>
                <w:szCs w:val="16"/>
                <w:color w:val="auto"/>
              </w:rPr>
              <w:t>May 10, 2023</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89"/>
              </w:rPr>
              <w:t>Preference</w:t>
            </w:r>
          </w:p>
        </w:tc>
        <w:tc>
          <w:tcPr>
            <w:tcW w:w="230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$0.546875</w:t>
            </w:r>
          </w:p>
        </w:tc>
        <w:tc>
          <w:tcPr>
            <w:tcW w:w="2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July 3, 2023</w:t>
            </w:r>
          </w:p>
        </w:tc>
        <w:tc>
          <w:tcPr>
            <w:tcW w:w="1660" w:type="dxa"/>
            <w:vAlign w:val="bottom"/>
            <w:gridSpan w:val="2"/>
          </w:tcPr>
          <w:p>
            <w:pPr>
              <w:jc w:val="right"/>
              <w:ind w:right="345"/>
              <w:spacing w:after="0"/>
              <w:rPr>
                <w:sz w:val="20"/>
                <w:szCs w:val="20"/>
                <w:color w:val="auto"/>
              </w:rPr>
            </w:pPr>
            <w:r>
              <w:rPr>
                <w:rFonts w:ascii="Arial" w:cs="Arial" w:eastAsia="Arial" w:hAnsi="Arial"/>
                <w:sz w:val="16"/>
                <w:szCs w:val="16"/>
                <w:color w:val="auto"/>
              </w:rPr>
              <w:t>2,516</w:t>
            </w:r>
          </w:p>
        </w:tc>
      </w:tr>
      <w:tr>
        <w:trPr>
          <w:trHeight w:val="213"/>
        </w:trPr>
        <w:tc>
          <w:tcPr>
            <w:tcW w:w="21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880" w:type="dxa"/>
            <w:vAlign w:val="bottom"/>
            <w:tcBorders>
              <w:top w:val="single" w:sz="8" w:color="E5FFFF"/>
              <w:bottom w:val="single" w:sz="8" w:color="E5FFFF"/>
            </w:tcBorders>
            <w:shd w:val="clear" w:color="auto" w:fill="E5FFFF"/>
          </w:tcPr>
          <w:p>
            <w:pPr>
              <w:spacing w:after="0"/>
              <w:rPr>
                <w:sz w:val="18"/>
                <w:szCs w:val="18"/>
                <w:color w:val="auto"/>
              </w:rPr>
            </w:pP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2100" w:type="dxa"/>
            <w:vAlign w:val="bottom"/>
            <w:tcBorders>
              <w:top w:val="single" w:sz="8" w:color="E5FFFF"/>
              <w:bottom w:val="single" w:sz="8" w:color="E5FFFF"/>
            </w:tcBorders>
            <w:shd w:val="clear" w:color="auto" w:fill="E5FFFF"/>
          </w:tcPr>
          <w:p>
            <w:pPr>
              <w:spacing w:after="0"/>
              <w:rPr>
                <w:sz w:val="18"/>
                <w:szCs w:val="18"/>
                <w:color w:val="auto"/>
              </w:rPr>
            </w:pP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2100" w:type="dxa"/>
            <w:vAlign w:val="bottom"/>
            <w:tcBorders>
              <w:top w:val="single" w:sz="8" w:color="E5FFFF"/>
              <w:bottom w:val="single" w:sz="8" w:color="E5FFFF"/>
            </w:tcBorders>
            <w:shd w:val="clear" w:color="auto" w:fill="E5FFFF"/>
          </w:tcPr>
          <w:p>
            <w:pPr>
              <w:spacing w:after="0"/>
              <w:rPr>
                <w:sz w:val="18"/>
                <w:szCs w:val="18"/>
                <w:color w:val="auto"/>
              </w:rPr>
            </w:pP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ind w:right="345"/>
              <w:spacing w:after="0"/>
              <w:rPr>
                <w:sz w:val="20"/>
                <w:szCs w:val="20"/>
                <w:color w:val="auto"/>
              </w:rPr>
            </w:pPr>
            <w:r>
              <w:rPr>
                <w:rFonts w:ascii="Arial" w:cs="Arial" w:eastAsia="Arial" w:hAnsi="Arial"/>
                <w:sz w:val="16"/>
                <w:szCs w:val="16"/>
                <w:b w:val="1"/>
                <w:bCs w:val="1"/>
                <w:color w:val="auto"/>
              </w:rPr>
              <w:t>33,648</w:t>
            </w:r>
          </w:p>
        </w:tc>
      </w:tr>
    </w:tbl>
    <w:p>
      <w:pPr>
        <w:spacing w:after="0" w:line="206"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the period ended June 30, 2023, the board of directors of the Partnership approved and declared cash distributions of $722 and of $12,935 for the common units and preference units, respectively, held by non-controlling interests.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 Commitments relating to the vessels under construction (Note 4) as of June 30, 2023, payable to DSME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80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 2023</w:t>
            </w:r>
          </w:p>
        </w:tc>
      </w:tr>
      <w:tr>
        <w:trPr>
          <w:trHeight w:val="213"/>
        </w:trPr>
        <w:tc>
          <w:tcPr>
            <w:tcW w:w="4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i w:val="1"/>
                <w:iCs w:val="1"/>
                <w:color w:val="auto"/>
              </w:rPr>
              <w:t>Period</w:t>
            </w:r>
          </w:p>
        </w:tc>
        <w:tc>
          <w:tcPr>
            <w:tcW w:w="510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rPr>
              <w:t>Not later than one year</w:t>
            </w:r>
          </w:p>
        </w:tc>
        <w:tc>
          <w:tcPr>
            <w:tcW w:w="6800" w:type="dxa"/>
            <w:vAlign w:val="bottom"/>
            <w:gridSpan w:val="2"/>
          </w:tcPr>
          <w:p>
            <w:pPr>
              <w:jc w:val="right"/>
              <w:spacing w:after="0"/>
              <w:rPr>
                <w:sz w:val="20"/>
                <w:szCs w:val="20"/>
                <w:color w:val="auto"/>
              </w:rPr>
            </w:pPr>
            <w:r>
              <w:rPr>
                <w:rFonts w:ascii="Arial" w:cs="Arial" w:eastAsia="Arial" w:hAnsi="Arial"/>
                <w:sz w:val="16"/>
                <w:szCs w:val="16"/>
                <w:color w:val="auto"/>
              </w:rPr>
              <w:t>82,444</w:t>
            </w:r>
          </w:p>
        </w:tc>
        <w:tc>
          <w:tcPr>
            <w:tcW w:w="100" w:type="dxa"/>
            <w:vAlign w:val="bottom"/>
          </w:tcPr>
          <w:p>
            <w:pPr>
              <w:spacing w:after="0"/>
              <w:rPr>
                <w:sz w:val="17"/>
                <w:szCs w:val="17"/>
                <w:color w:val="auto"/>
              </w:rPr>
            </w:pPr>
          </w:p>
        </w:tc>
      </w:tr>
      <w:tr>
        <w:trPr>
          <w:trHeight w:val="216"/>
        </w:trPr>
        <w:tc>
          <w:tcPr>
            <w:tcW w:w="4340" w:type="dxa"/>
            <w:vAlign w:val="bottom"/>
            <w:shd w:val="clear" w:color="auto" w:fill="E5FFFF"/>
          </w:tcPr>
          <w:p>
            <w:pPr>
              <w:spacing w:after="0"/>
              <w:rPr>
                <w:sz w:val="20"/>
                <w:szCs w:val="20"/>
                <w:color w:val="auto"/>
              </w:rPr>
            </w:pPr>
            <w:r>
              <w:rPr>
                <w:rFonts w:ascii="Arial" w:cs="Arial" w:eastAsia="Arial" w:hAnsi="Arial"/>
                <w:sz w:val="16"/>
                <w:szCs w:val="16"/>
                <w:color w:val="auto"/>
              </w:rPr>
              <w:t>Later than one year and not later than three years</w:t>
            </w:r>
          </w:p>
        </w:tc>
        <w:tc>
          <w:tcPr>
            <w:tcW w:w="68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535,694</w:t>
            </w:r>
          </w:p>
        </w:tc>
        <w:tc>
          <w:tcPr>
            <w:tcW w:w="100" w:type="dxa"/>
            <w:vAlign w:val="bottom"/>
            <w:shd w:val="clear" w:color="auto" w:fill="E5FFFF"/>
          </w:tcPr>
          <w:p>
            <w:pPr>
              <w:spacing w:after="0"/>
              <w:rPr>
                <w:sz w:val="18"/>
                <w:szCs w:val="18"/>
                <w:color w:val="auto"/>
              </w:rPr>
            </w:pPr>
          </w:p>
        </w:tc>
      </w:tr>
      <w:tr>
        <w:trPr>
          <w:trHeight w:val="207"/>
        </w:trPr>
        <w:tc>
          <w:tcPr>
            <w:tcW w:w="43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510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618,138</w:t>
            </w:r>
          </w:p>
        </w:tc>
        <w:tc>
          <w:tcPr>
            <w:tcW w:w="100" w:type="dxa"/>
            <w:vAlign w:val="bottom"/>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434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color w:val="auto"/>
              </w:rPr>
              <w:t>F-12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711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71183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type w:val="continuous"/>
        </w:sectPr>
      </w:pPr>
    </w:p>
    <w:bookmarkStart w:id="26" w:name="page27"/>
    <w:bookmarkEnd w:id="26"/>
    <w:p>
      <w:pPr>
        <w:ind w:left="240" w:hanging="232"/>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Commitments relating to the vessels under construction (Note 4) on June 30, 2023 payable to Seatrium ex. Keppel not later than one year were $47,113.</w:t>
      </w:r>
    </w:p>
    <w:p>
      <w:pPr>
        <w:spacing w:after="0" w:line="234" w:lineRule="exact"/>
        <w:rPr>
          <w:rFonts w:ascii="Arial" w:cs="Arial" w:eastAsia="Arial" w:hAnsi="Arial"/>
          <w:sz w:val="16"/>
          <w:szCs w:val="16"/>
          <w:color w:val="auto"/>
        </w:rPr>
      </w:pPr>
    </w:p>
    <w:p>
      <w:pPr>
        <w:jc w:val="both"/>
        <w:ind w:right="60" w:firstLine="8"/>
        <w:spacing w:after="0" w:line="278" w:lineRule="auto"/>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Future minimum lease payments receivable in relation to non-cancellable time charter agreements for vessels in operation, including vessels under a lease (Note 5), as of June 30, 2023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40" w:type="dxa"/>
            <w:vAlign w:val="bottom"/>
          </w:tcPr>
          <w:p>
            <w:pPr>
              <w:spacing w:after="0"/>
              <w:rPr>
                <w:sz w:val="18"/>
                <w:szCs w:val="18"/>
                <w:color w:val="auto"/>
              </w:rPr>
            </w:pPr>
          </w:p>
        </w:tc>
        <w:tc>
          <w:tcPr>
            <w:tcW w:w="180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 2023</w:t>
            </w:r>
          </w:p>
        </w:tc>
      </w:tr>
      <w:tr>
        <w:trPr>
          <w:trHeight w:val="213"/>
        </w:trPr>
        <w:tc>
          <w:tcPr>
            <w:tcW w:w="9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i w:val="1"/>
                <w:iCs w:val="1"/>
                <w:color w:val="auto"/>
              </w:rPr>
              <w:t>Period</w:t>
            </w:r>
          </w:p>
        </w:tc>
        <w:tc>
          <w:tcPr>
            <w:tcW w:w="170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03"/>
        </w:trPr>
        <w:tc>
          <w:tcPr>
            <w:tcW w:w="9440" w:type="dxa"/>
            <w:vAlign w:val="bottom"/>
          </w:tcPr>
          <w:p>
            <w:pPr>
              <w:spacing w:after="0"/>
              <w:rPr>
                <w:sz w:val="20"/>
                <w:szCs w:val="20"/>
                <w:color w:val="auto"/>
              </w:rPr>
            </w:pPr>
            <w:r>
              <w:rPr>
                <w:rFonts w:ascii="Arial" w:cs="Arial" w:eastAsia="Arial" w:hAnsi="Arial"/>
                <w:sz w:val="16"/>
                <w:szCs w:val="16"/>
                <w:color w:val="auto"/>
              </w:rPr>
              <w:t>Not later than one year</w:t>
            </w:r>
          </w:p>
        </w:tc>
        <w:tc>
          <w:tcPr>
            <w:tcW w:w="1700" w:type="dxa"/>
            <w:vAlign w:val="bottom"/>
          </w:tcPr>
          <w:p>
            <w:pPr>
              <w:jc w:val="right"/>
              <w:spacing w:after="0"/>
              <w:rPr>
                <w:sz w:val="20"/>
                <w:szCs w:val="20"/>
                <w:color w:val="auto"/>
              </w:rPr>
            </w:pPr>
            <w:r>
              <w:rPr>
                <w:rFonts w:ascii="Arial" w:cs="Arial" w:eastAsia="Arial" w:hAnsi="Arial"/>
                <w:sz w:val="16"/>
                <w:szCs w:val="16"/>
                <w:color w:val="auto"/>
              </w:rPr>
              <w:t>662,350</w:t>
            </w:r>
          </w:p>
        </w:tc>
        <w:tc>
          <w:tcPr>
            <w:tcW w:w="100" w:type="dxa"/>
            <w:vAlign w:val="bottom"/>
          </w:tcPr>
          <w:p>
            <w:pPr>
              <w:spacing w:after="0"/>
              <w:rPr>
                <w:sz w:val="17"/>
                <w:szCs w:val="17"/>
                <w:color w:val="auto"/>
              </w:rPr>
            </w:pPr>
          </w:p>
        </w:tc>
      </w:tr>
      <w:tr>
        <w:trPr>
          <w:trHeight w:val="203"/>
        </w:trPr>
        <w:tc>
          <w:tcPr>
            <w:tcW w:w="9440" w:type="dxa"/>
            <w:vAlign w:val="bottom"/>
            <w:shd w:val="clear" w:color="auto" w:fill="E5FFFF"/>
          </w:tcPr>
          <w:p>
            <w:pPr>
              <w:spacing w:after="0"/>
              <w:rPr>
                <w:sz w:val="20"/>
                <w:szCs w:val="20"/>
                <w:color w:val="auto"/>
              </w:rPr>
            </w:pPr>
            <w:r>
              <w:rPr>
                <w:rFonts w:ascii="Arial" w:cs="Arial" w:eastAsia="Arial" w:hAnsi="Arial"/>
                <w:sz w:val="16"/>
                <w:szCs w:val="16"/>
                <w:color w:val="auto"/>
              </w:rPr>
              <w:t>Later than one year and not later than two years</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490,743</w:t>
            </w:r>
          </w:p>
        </w:tc>
        <w:tc>
          <w:tcPr>
            <w:tcW w:w="100" w:type="dxa"/>
            <w:vAlign w:val="bottom"/>
            <w:shd w:val="clear" w:color="auto" w:fill="E5FFFF"/>
          </w:tcPr>
          <w:p>
            <w:pPr>
              <w:spacing w:after="0"/>
              <w:rPr>
                <w:sz w:val="17"/>
                <w:szCs w:val="17"/>
                <w:color w:val="auto"/>
              </w:rPr>
            </w:pPr>
          </w:p>
        </w:tc>
      </w:tr>
      <w:tr>
        <w:trPr>
          <w:trHeight w:val="203"/>
        </w:trPr>
        <w:tc>
          <w:tcPr>
            <w:tcW w:w="9440" w:type="dxa"/>
            <w:vAlign w:val="bottom"/>
          </w:tcPr>
          <w:p>
            <w:pPr>
              <w:spacing w:after="0"/>
              <w:rPr>
                <w:sz w:val="20"/>
                <w:szCs w:val="20"/>
                <w:color w:val="auto"/>
              </w:rPr>
            </w:pPr>
            <w:r>
              <w:rPr>
                <w:rFonts w:ascii="Arial" w:cs="Arial" w:eastAsia="Arial" w:hAnsi="Arial"/>
                <w:sz w:val="16"/>
                <w:szCs w:val="16"/>
                <w:color w:val="auto"/>
              </w:rPr>
              <w:t>Later than two years and not later than three years</w:t>
            </w:r>
          </w:p>
        </w:tc>
        <w:tc>
          <w:tcPr>
            <w:tcW w:w="1700" w:type="dxa"/>
            <w:vAlign w:val="bottom"/>
          </w:tcPr>
          <w:p>
            <w:pPr>
              <w:jc w:val="right"/>
              <w:spacing w:after="0"/>
              <w:rPr>
                <w:sz w:val="20"/>
                <w:szCs w:val="20"/>
                <w:color w:val="auto"/>
              </w:rPr>
            </w:pPr>
            <w:r>
              <w:rPr>
                <w:rFonts w:ascii="Arial" w:cs="Arial" w:eastAsia="Arial" w:hAnsi="Arial"/>
                <w:sz w:val="16"/>
                <w:szCs w:val="16"/>
                <w:color w:val="auto"/>
              </w:rPr>
              <w:t>394,097</w:t>
            </w:r>
          </w:p>
        </w:tc>
        <w:tc>
          <w:tcPr>
            <w:tcW w:w="100" w:type="dxa"/>
            <w:vAlign w:val="bottom"/>
          </w:tcPr>
          <w:p>
            <w:pPr>
              <w:spacing w:after="0"/>
              <w:rPr>
                <w:sz w:val="17"/>
                <w:szCs w:val="17"/>
                <w:color w:val="auto"/>
              </w:rPr>
            </w:pPr>
          </w:p>
        </w:tc>
      </w:tr>
      <w:tr>
        <w:trPr>
          <w:trHeight w:val="203"/>
        </w:trPr>
        <w:tc>
          <w:tcPr>
            <w:tcW w:w="9440" w:type="dxa"/>
            <w:vAlign w:val="bottom"/>
            <w:shd w:val="clear" w:color="auto" w:fill="E5FFFF"/>
          </w:tcPr>
          <w:p>
            <w:pPr>
              <w:spacing w:after="0"/>
              <w:rPr>
                <w:sz w:val="20"/>
                <w:szCs w:val="20"/>
                <w:color w:val="auto"/>
              </w:rPr>
            </w:pPr>
            <w:r>
              <w:rPr>
                <w:rFonts w:ascii="Arial" w:cs="Arial" w:eastAsia="Arial" w:hAnsi="Arial"/>
                <w:sz w:val="16"/>
                <w:szCs w:val="16"/>
                <w:color w:val="auto"/>
              </w:rPr>
              <w:t>Later than three years and not later than four years</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295,234</w:t>
            </w:r>
          </w:p>
        </w:tc>
        <w:tc>
          <w:tcPr>
            <w:tcW w:w="100" w:type="dxa"/>
            <w:vAlign w:val="bottom"/>
            <w:shd w:val="clear" w:color="auto" w:fill="E5FFFF"/>
          </w:tcPr>
          <w:p>
            <w:pPr>
              <w:spacing w:after="0"/>
              <w:rPr>
                <w:sz w:val="17"/>
                <w:szCs w:val="17"/>
                <w:color w:val="auto"/>
              </w:rPr>
            </w:pPr>
          </w:p>
        </w:tc>
      </w:tr>
      <w:tr>
        <w:trPr>
          <w:trHeight w:val="203"/>
        </w:trPr>
        <w:tc>
          <w:tcPr>
            <w:tcW w:w="9440" w:type="dxa"/>
            <w:vAlign w:val="bottom"/>
          </w:tcPr>
          <w:p>
            <w:pPr>
              <w:spacing w:after="0"/>
              <w:rPr>
                <w:sz w:val="20"/>
                <w:szCs w:val="20"/>
                <w:color w:val="auto"/>
              </w:rPr>
            </w:pPr>
            <w:r>
              <w:rPr>
                <w:rFonts w:ascii="Arial" w:cs="Arial" w:eastAsia="Arial" w:hAnsi="Arial"/>
                <w:sz w:val="16"/>
                <w:szCs w:val="16"/>
                <w:color w:val="auto"/>
              </w:rPr>
              <w:t>Later than four years and not later than five years</w:t>
            </w:r>
          </w:p>
        </w:tc>
        <w:tc>
          <w:tcPr>
            <w:tcW w:w="1700" w:type="dxa"/>
            <w:vAlign w:val="bottom"/>
          </w:tcPr>
          <w:p>
            <w:pPr>
              <w:jc w:val="right"/>
              <w:spacing w:after="0"/>
              <w:rPr>
                <w:sz w:val="20"/>
                <w:szCs w:val="20"/>
                <w:color w:val="auto"/>
              </w:rPr>
            </w:pPr>
            <w:r>
              <w:rPr>
                <w:rFonts w:ascii="Arial" w:cs="Arial" w:eastAsia="Arial" w:hAnsi="Arial"/>
                <w:sz w:val="16"/>
                <w:szCs w:val="16"/>
                <w:color w:val="auto"/>
              </w:rPr>
              <w:t>222,970</w:t>
            </w:r>
          </w:p>
        </w:tc>
        <w:tc>
          <w:tcPr>
            <w:tcW w:w="100" w:type="dxa"/>
            <w:vAlign w:val="bottom"/>
          </w:tcPr>
          <w:p>
            <w:pPr>
              <w:spacing w:after="0"/>
              <w:rPr>
                <w:sz w:val="17"/>
                <w:szCs w:val="17"/>
                <w:color w:val="auto"/>
              </w:rPr>
            </w:pPr>
          </w:p>
        </w:tc>
      </w:tr>
      <w:tr>
        <w:trPr>
          <w:trHeight w:val="216"/>
        </w:trPr>
        <w:tc>
          <w:tcPr>
            <w:tcW w:w="9440" w:type="dxa"/>
            <w:vAlign w:val="bottom"/>
            <w:shd w:val="clear" w:color="auto" w:fill="E5FFFF"/>
          </w:tcPr>
          <w:p>
            <w:pPr>
              <w:spacing w:after="0"/>
              <w:rPr>
                <w:sz w:val="20"/>
                <w:szCs w:val="20"/>
                <w:color w:val="auto"/>
              </w:rPr>
            </w:pPr>
            <w:r>
              <w:rPr>
                <w:rFonts w:ascii="Arial" w:cs="Arial" w:eastAsia="Arial" w:hAnsi="Arial"/>
                <w:sz w:val="16"/>
                <w:szCs w:val="16"/>
                <w:color w:val="auto"/>
              </w:rPr>
              <w:t>Later than five years</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150,336</w:t>
            </w:r>
          </w:p>
        </w:tc>
        <w:tc>
          <w:tcPr>
            <w:tcW w:w="100" w:type="dxa"/>
            <w:vAlign w:val="bottom"/>
            <w:shd w:val="clear" w:color="auto" w:fill="E5FFFF"/>
          </w:tcPr>
          <w:p>
            <w:pPr>
              <w:spacing w:after="0"/>
              <w:rPr>
                <w:sz w:val="18"/>
                <w:szCs w:val="18"/>
                <w:color w:val="auto"/>
              </w:rPr>
            </w:pPr>
          </w:p>
        </w:tc>
      </w:tr>
      <w:tr>
        <w:trPr>
          <w:trHeight w:val="207"/>
        </w:trPr>
        <w:tc>
          <w:tcPr>
            <w:tcW w:w="94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2,215,730</w:t>
            </w:r>
          </w:p>
        </w:tc>
        <w:tc>
          <w:tcPr>
            <w:tcW w:w="100" w:type="dxa"/>
            <w:vAlign w:val="bottom"/>
          </w:tcPr>
          <w:p>
            <w:pPr>
              <w:spacing w:after="0"/>
              <w:rPr>
                <w:sz w:val="17"/>
                <w:szCs w:val="17"/>
                <w:color w:val="auto"/>
              </w:rPr>
            </w:pPr>
          </w:p>
        </w:tc>
      </w:tr>
      <w:tr>
        <w:trPr>
          <w:trHeight w:val="20"/>
        </w:trPr>
        <w:tc>
          <w:tcPr>
            <w:tcW w:w="9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12172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217295"/>
                    </a:xfrm>
                    <a:prstGeom prst="rect">
                      <a:avLst/>
                    </a:prstGeom>
                    <a:noFill/>
                  </pic:spPr>
                </pic:pic>
              </a:graphicData>
            </a:graphic>
          </wp:anchor>
        </w:drawing>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Future minimum lease payments receivable disclosed in the above table exclude the lease payments of the vessels that are under construction as of June 30, 2023 (Note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31" w:lineRule="exact"/>
        <w:rPr>
          <w:sz w:val="20"/>
          <w:szCs w:val="20"/>
          <w:color w:val="auto"/>
        </w:rPr>
      </w:pPr>
    </w:p>
    <w:p>
      <w:pPr>
        <w:ind w:right="200" w:firstLine="648"/>
        <w:spacing w:after="0" w:line="335" w:lineRule="auto"/>
        <w:rPr>
          <w:sz w:val="20"/>
          <w:szCs w:val="20"/>
          <w:color w:val="auto"/>
        </w:rPr>
      </w:pPr>
      <w:r>
        <w:rPr>
          <w:rFonts w:ascii="Arial" w:cs="Arial" w:eastAsia="Arial" w:hAnsi="Arial"/>
          <w:sz w:val="14"/>
          <w:szCs w:val="14"/>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11. Derivative Financial Instruments</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6"/>
                <w:szCs w:val="16"/>
                <w:color w:val="auto"/>
              </w:rPr>
              <w:t>The fair value of the derivative assets is as follows:</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3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June 30,</w:t>
            </w:r>
          </w:p>
        </w:tc>
      </w:tr>
      <w:tr>
        <w:trPr>
          <w:trHeight w:val="213"/>
        </w:trPr>
        <w:tc>
          <w:tcPr>
            <w:tcW w:w="340" w:type="dxa"/>
            <w:vAlign w:val="bottom"/>
          </w:tcPr>
          <w:p>
            <w:pPr>
              <w:spacing w:after="0"/>
              <w:rPr>
                <w:sz w:val="18"/>
                <w:szCs w:val="18"/>
                <w:color w:val="auto"/>
              </w:rPr>
            </w:pPr>
          </w:p>
        </w:tc>
        <w:tc>
          <w:tcPr>
            <w:tcW w:w="8160" w:type="dxa"/>
            <w:vAlign w:val="bottom"/>
            <w:tcBorders>
              <w:bottom w:val="single" w:sz="8" w:color="E5FF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E5FFFF"/>
            </w:tcBorders>
          </w:tcPr>
          <w:p>
            <w:pPr>
              <w:spacing w:after="0"/>
              <w:rPr>
                <w:sz w:val="18"/>
                <w:szCs w:val="18"/>
                <w:color w:val="auto"/>
              </w:rPr>
            </w:pPr>
          </w:p>
        </w:tc>
      </w:tr>
      <w:tr>
        <w:trPr>
          <w:trHeight w:val="213"/>
        </w:trPr>
        <w:tc>
          <w:tcPr>
            <w:tcW w:w="340" w:type="dxa"/>
            <w:vAlign w:val="bottom"/>
          </w:tcPr>
          <w:p>
            <w:pPr>
              <w:spacing w:after="0"/>
              <w:rPr>
                <w:sz w:val="18"/>
                <w:szCs w:val="18"/>
                <w:color w:val="auto"/>
              </w:rPr>
            </w:pPr>
          </w:p>
        </w:tc>
        <w:tc>
          <w:tcPr>
            <w:tcW w:w="81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assets carried at fair value through profit or loss (FVTPL)</w:t>
            </w:r>
          </w:p>
        </w:tc>
        <w:tc>
          <w:tcPr>
            <w:tcW w:w="12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8160" w:type="dxa"/>
            <w:vAlign w:val="bottom"/>
          </w:tcPr>
          <w:p>
            <w:pPr>
              <w:spacing w:after="0"/>
              <w:rPr>
                <w:sz w:val="20"/>
                <w:szCs w:val="20"/>
                <w:color w:val="auto"/>
              </w:rPr>
            </w:pPr>
            <w:r>
              <w:rPr>
                <w:rFonts w:ascii="Arial" w:cs="Arial" w:eastAsia="Arial" w:hAnsi="Arial"/>
                <w:sz w:val="16"/>
                <w:szCs w:val="16"/>
                <w:color w:val="auto"/>
              </w:rPr>
              <w:t>Interest rate swaps</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35,486</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33,034</w:t>
            </w: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2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3,122</w:t>
            </w:r>
          </w:p>
        </w:tc>
        <w:tc>
          <w:tcPr>
            <w:tcW w:w="200" w:type="dxa"/>
            <w:vAlign w:val="bottom"/>
            <w:shd w:val="clear" w:color="auto" w:fill="E5FFFF"/>
          </w:tcPr>
          <w:p>
            <w:pPr>
              <w:spacing w:after="0"/>
              <w:rPr>
                <w:sz w:val="18"/>
                <w:szCs w:val="18"/>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E5FFFF"/>
          </w:tcPr>
          <w:p>
            <w:pPr>
              <w:spacing w:after="0"/>
              <w:rPr>
                <w:sz w:val="18"/>
                <w:szCs w:val="18"/>
                <w:color w:val="auto"/>
              </w:rPr>
            </w:pPr>
          </w:p>
        </w:tc>
      </w:tr>
      <w:tr>
        <w:trPr>
          <w:trHeight w:val="207"/>
        </w:trPr>
        <w:tc>
          <w:tcPr>
            <w:tcW w:w="340" w:type="dxa"/>
            <w:vAlign w:val="bottom"/>
          </w:tcPr>
          <w:p>
            <w:pPr>
              <w:spacing w:after="0"/>
              <w:rPr>
                <w:sz w:val="17"/>
                <w:szCs w:val="17"/>
                <w:color w:val="auto"/>
              </w:rPr>
            </w:pPr>
          </w:p>
        </w:tc>
        <w:tc>
          <w:tcPr>
            <w:tcW w:w="81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38,608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34,124</w:t>
            </w: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160" w:type="dxa"/>
            <w:vAlign w:val="bottom"/>
            <w:tcBorders>
              <w:bottom w:val="single" w:sz="8" w:color="E5FF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current assets</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25,383</w:t>
            </w:r>
          </w:p>
        </w:tc>
        <w:tc>
          <w:tcPr>
            <w:tcW w:w="2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23,348</w:t>
            </w:r>
          </w:p>
        </w:tc>
        <w:tc>
          <w:tcPr>
            <w:tcW w:w="100" w:type="dxa"/>
            <w:vAlign w:val="bottom"/>
            <w:shd w:val="clear" w:color="auto" w:fill="E5FFFF"/>
          </w:tcPr>
          <w:p>
            <w:pPr>
              <w:spacing w:after="0"/>
              <w:rPr>
                <w:sz w:val="16"/>
                <w:szCs w:val="16"/>
                <w:color w:val="auto"/>
              </w:rPr>
            </w:pPr>
          </w:p>
        </w:tc>
      </w:tr>
      <w:tr>
        <w:trPr>
          <w:trHeight w:val="213"/>
        </w:trPr>
        <w:tc>
          <w:tcPr>
            <w:tcW w:w="34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6"/>
                <w:szCs w:val="16"/>
                <w:color w:val="auto"/>
              </w:rPr>
              <w:t>Derivative financial instruments, non-current assets</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13,225</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10,776</w:t>
            </w:r>
          </w:p>
        </w:tc>
        <w:tc>
          <w:tcPr>
            <w:tcW w:w="10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81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38,608</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E5FFFF"/>
              <w:bottom w:val="single" w:sz="8" w:color="E5FFFF"/>
            </w:tcBorders>
            <w:shd w:val="clear" w:color="auto" w:fill="E5FFFF"/>
          </w:tcPr>
          <w:p>
            <w:pPr>
              <w:spacing w:after="0"/>
              <w:rPr>
                <w:sz w:val="21"/>
                <w:szCs w:val="21"/>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34,124</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396"/>
        </w:trPr>
        <w:tc>
          <w:tcPr>
            <w:tcW w:w="34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6"/>
                <w:szCs w:val="16"/>
                <w:color w:val="auto"/>
              </w:rPr>
              <w:t>The fair value of the derivative liabilities is as follows:</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3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June 30,</w:t>
            </w:r>
          </w:p>
        </w:tc>
      </w:tr>
      <w:tr>
        <w:trPr>
          <w:trHeight w:val="213"/>
        </w:trPr>
        <w:tc>
          <w:tcPr>
            <w:tcW w:w="3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r>
      <w:tr>
        <w:trPr>
          <w:trHeight w:val="213"/>
        </w:trPr>
        <w:tc>
          <w:tcPr>
            <w:tcW w:w="340" w:type="dxa"/>
            <w:vAlign w:val="bottom"/>
          </w:tcPr>
          <w:p>
            <w:pPr>
              <w:spacing w:after="0"/>
              <w:rPr>
                <w:sz w:val="18"/>
                <w:szCs w:val="18"/>
                <w:color w:val="auto"/>
              </w:rPr>
            </w:pPr>
          </w:p>
        </w:tc>
        <w:tc>
          <w:tcPr>
            <w:tcW w:w="81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tc>
        <w:tc>
          <w:tcPr>
            <w:tcW w:w="12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8160" w:type="dxa"/>
            <w:vAlign w:val="bottom"/>
          </w:tcPr>
          <w:p>
            <w:pPr>
              <w:spacing w:after="0"/>
              <w:rPr>
                <w:sz w:val="20"/>
                <w:szCs w:val="20"/>
                <w:color w:val="auto"/>
              </w:rPr>
            </w:pPr>
            <w:r>
              <w:rPr>
                <w:rFonts w:ascii="Arial" w:cs="Arial" w:eastAsia="Arial" w:hAnsi="Arial"/>
                <w:sz w:val="16"/>
                <w:szCs w:val="16"/>
                <w:color w:val="auto"/>
              </w:rPr>
              <w:t>Forward foreign exchange contracts</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320</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81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liabilities designated and effective as hedging instruments carried at fair value</w:t>
            </w:r>
          </w:p>
        </w:tc>
        <w:tc>
          <w:tcPr>
            <w:tcW w:w="12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3"/>
        </w:trPr>
        <w:tc>
          <w:tcPr>
            <w:tcW w:w="34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6"/>
                <w:szCs w:val="16"/>
                <w:color w:val="auto"/>
              </w:rPr>
              <w:t>Cross-currency swaps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16,409</w:t>
            </w:r>
          </w:p>
        </w:tc>
        <w:tc>
          <w:tcPr>
            <w:tcW w:w="10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81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2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8,332</w:t>
            </w:r>
          </w:p>
        </w:tc>
        <w:tc>
          <w:tcPr>
            <w:tcW w:w="200" w:type="dxa"/>
            <w:vAlign w:val="bottom"/>
            <w:shd w:val="clear" w:color="auto" w:fill="E5FFFF"/>
          </w:tcPr>
          <w:p>
            <w:pPr>
              <w:spacing w:after="0"/>
              <w:rPr>
                <w:sz w:val="21"/>
                <w:szCs w:val="21"/>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16,727</w:t>
            </w:r>
          </w:p>
        </w:tc>
        <w:tc>
          <w:tcPr>
            <w:tcW w:w="100" w:type="dxa"/>
            <w:vAlign w:val="bottom"/>
            <w:shd w:val="clear" w:color="auto" w:fill="E5FFFF"/>
          </w:tcPr>
          <w:p>
            <w:pPr>
              <w:spacing w:after="0"/>
              <w:rPr>
                <w:sz w:val="21"/>
                <w:szCs w:val="21"/>
                <w:color w:val="auto"/>
              </w:rPr>
            </w:pPr>
          </w:p>
        </w:tc>
      </w:tr>
      <w:tr>
        <w:trPr>
          <w:trHeight w:val="186"/>
        </w:trPr>
        <w:tc>
          <w:tcPr>
            <w:tcW w:w="340" w:type="dxa"/>
            <w:vAlign w:val="bottom"/>
          </w:tcPr>
          <w:p>
            <w:pPr>
              <w:spacing w:after="0"/>
              <w:rPr>
                <w:sz w:val="16"/>
                <w:szCs w:val="16"/>
                <w:color w:val="auto"/>
              </w:rPr>
            </w:pPr>
          </w:p>
        </w:tc>
        <w:tc>
          <w:tcPr>
            <w:tcW w:w="8160" w:type="dxa"/>
            <w:vAlign w:val="bottom"/>
            <w:tcBorders>
              <w:top w:val="single" w:sz="8" w:color="E5FFFF"/>
            </w:tcBorders>
          </w:tcPr>
          <w:p>
            <w:pPr>
              <w:spacing w:after="0"/>
              <w:rPr>
                <w:sz w:val="20"/>
                <w:szCs w:val="20"/>
                <w:color w:val="auto"/>
              </w:rPr>
            </w:pPr>
            <w:r>
              <w:rPr>
                <w:rFonts w:ascii="Arial" w:cs="Arial" w:eastAsia="Arial" w:hAnsi="Arial"/>
                <w:sz w:val="16"/>
                <w:szCs w:val="16"/>
                <w:color w:val="auto"/>
              </w:rPr>
              <w:t>Derivative financial instruments, current liability</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2,834</w:t>
            </w:r>
          </w:p>
        </w:tc>
        <w:tc>
          <w:tcPr>
            <w:tcW w:w="20" w:type="dxa"/>
            <w:vAlign w:val="bottom"/>
            <w:tcBorders>
              <w:top w:val="single" w:sz="8" w:color="E5FFFF"/>
            </w:tcBorders>
          </w:tcPr>
          <w:p>
            <w:pPr>
              <w:spacing w:after="0"/>
              <w:rPr>
                <w:sz w:val="16"/>
                <w:szCs w:val="16"/>
                <w:color w:val="auto"/>
              </w:rPr>
            </w:pPr>
          </w:p>
        </w:tc>
        <w:tc>
          <w:tcPr>
            <w:tcW w:w="200" w:type="dxa"/>
            <w:vAlign w:val="bottom"/>
            <w:tcBorders>
              <w:top w:val="single" w:sz="8" w:color="E5FFFF"/>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3,058</w:t>
            </w:r>
          </w:p>
        </w:tc>
        <w:tc>
          <w:tcPr>
            <w:tcW w:w="100" w:type="dxa"/>
            <w:vAlign w:val="bottom"/>
            <w:tcBorders>
              <w:top w:val="single" w:sz="8" w:color="E5FFFF"/>
            </w:tcBorders>
          </w:tcPr>
          <w:p>
            <w:pPr>
              <w:spacing w:after="0"/>
              <w:rPr>
                <w:sz w:val="16"/>
                <w:szCs w:val="16"/>
                <w:color w:val="auto"/>
              </w:rPr>
            </w:pPr>
          </w:p>
        </w:tc>
      </w:tr>
      <w:tr>
        <w:trPr>
          <w:trHeight w:val="213"/>
        </w:trPr>
        <w:tc>
          <w:tcPr>
            <w:tcW w:w="340" w:type="dxa"/>
            <w:vAlign w:val="bottom"/>
          </w:tcPr>
          <w:p>
            <w:pPr>
              <w:spacing w:after="0"/>
              <w:rPr>
                <w:sz w:val="18"/>
                <w:szCs w:val="18"/>
                <w:color w:val="auto"/>
              </w:rPr>
            </w:pPr>
          </w:p>
        </w:tc>
        <w:tc>
          <w:tcPr>
            <w:tcW w:w="81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5,498</w:t>
            </w:r>
          </w:p>
        </w:tc>
        <w:tc>
          <w:tcPr>
            <w:tcW w:w="20" w:type="dxa"/>
            <w:vAlign w:val="bottom"/>
            <w:tcBorders>
              <w:bottom w:val="single" w:sz="8" w:color="E5FFFF"/>
            </w:tcBorders>
            <w:shd w:val="clear" w:color="auto" w:fill="E5FFFF"/>
          </w:tcPr>
          <w:p>
            <w:pPr>
              <w:spacing w:after="0"/>
              <w:rPr>
                <w:sz w:val="18"/>
                <w:szCs w:val="18"/>
                <w:color w:val="auto"/>
              </w:rPr>
            </w:pPr>
          </w:p>
        </w:tc>
        <w:tc>
          <w:tcPr>
            <w:tcW w:w="200" w:type="dxa"/>
            <w:vAlign w:val="bottom"/>
            <w:tcBorders>
              <w:bottom w:val="single" w:sz="8" w:color="E5FFFF"/>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13,669</w:t>
            </w:r>
          </w:p>
        </w:tc>
        <w:tc>
          <w:tcPr>
            <w:tcW w:w="100" w:type="dxa"/>
            <w:vAlign w:val="bottom"/>
            <w:tcBorders>
              <w:bottom w:val="single" w:sz="8" w:color="E5FFFF"/>
            </w:tcBorders>
            <w:shd w:val="clear" w:color="auto" w:fill="E5FFFF"/>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8,332</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16,727</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-3102610</wp:posOffset>
            </wp:positionV>
            <wp:extent cx="68580" cy="12687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26873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68580" cy="1405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05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agreements</w:t>
      </w:r>
    </w:p>
    <w:p>
      <w:pPr>
        <w:spacing w:after="0" w:line="239" w:lineRule="exact"/>
        <w:rPr>
          <w:sz w:val="20"/>
          <w:szCs w:val="20"/>
          <w:color w:val="auto"/>
        </w:rPr>
      </w:pPr>
    </w:p>
    <w:p>
      <w:pPr>
        <w:ind w:right="40" w:firstLine="324"/>
        <w:spacing w:after="0" w:line="273" w:lineRule="auto"/>
        <w:rPr>
          <w:sz w:val="20"/>
          <w:szCs w:val="20"/>
          <w:color w:val="auto"/>
        </w:rPr>
      </w:pPr>
      <w:r>
        <w:rPr>
          <w:rFonts w:ascii="Arial" w:cs="Arial" w:eastAsia="Arial" w:hAnsi="Arial"/>
          <w:sz w:val="16"/>
          <w:szCs w:val="16"/>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London Interbank Offered Rate (“LIBOR”), and the Group effects quarterly payments to the bank on the notional amounts at the respective fixed rates.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35"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The principal terms of the Group’s interest rate swaps held for trading as of December 31, 2022, have been disclosed in the annual audited consolidated financial statements for the year ended December 31, 2022. Refer to Note 26 “Derivative Financial Instruments”. During the six months ended June 30, 2023, the Group did not enter into any new interest rate swaps held for trading. In January 2023, GAS-fifteen Ltd.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terminated the interest rate swap with National Bank of Greece S.A. originally maturing in July 2025, with GAS-fifteen Ltd. receiving an amount of $3,706.</w:t>
      </w:r>
    </w:p>
    <w:p>
      <w:pPr>
        <w:spacing w:after="0" w:line="235" w:lineRule="exact"/>
        <w:rPr>
          <w:sz w:val="20"/>
          <w:szCs w:val="20"/>
          <w:color w:val="auto"/>
        </w:rPr>
      </w:pPr>
    </w:p>
    <w:p>
      <w:pPr>
        <w:ind w:right="160" w:firstLine="324"/>
        <w:spacing w:after="0" w:line="324" w:lineRule="auto"/>
        <w:rPr>
          <w:sz w:val="20"/>
          <w:szCs w:val="20"/>
          <w:color w:val="auto"/>
        </w:rPr>
      </w:pPr>
      <w:r>
        <w:rPr>
          <w:rFonts w:ascii="Arial" w:cs="Arial" w:eastAsia="Arial" w:hAnsi="Arial"/>
          <w:sz w:val="14"/>
          <w:szCs w:val="14"/>
          <w:color w:val="auto"/>
        </w:rPr>
        <w:t>The Group’s interest rate swaps held for trading were not designated as cash flow hedging instruments. The change in the fair value of the interest rate swaps held for trading for the three and six months ended June 30, 2023 amounted to a net gain of $9,466 and a net gain of $1,253, respectively (for the three and six months ended June 30, 2022: a net gain of $16,090 and a net gain of $61,876, respectively), which was recognized against profit or loss in the period incurred and is included in Gain on derivatives. During the three and six months ended June 30, 2023, the net gain of $9,466 and $1,253, respectively derived from changes in the LIBOR curve.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Cross currency swap agreements</w:t>
      </w:r>
    </w:p>
    <w:p>
      <w:pPr>
        <w:spacing w:after="0" w:line="239" w:lineRule="exact"/>
        <w:rPr>
          <w:sz w:val="20"/>
          <w:szCs w:val="20"/>
          <w:color w:val="auto"/>
        </w:rPr>
      </w:pPr>
    </w:p>
    <w:p>
      <w:pPr>
        <w:ind w:right="100" w:firstLine="324"/>
        <w:spacing w:after="0" w:line="278" w:lineRule="auto"/>
        <w:rPr>
          <w:sz w:val="20"/>
          <w:szCs w:val="20"/>
          <w:color w:val="auto"/>
        </w:rPr>
      </w:pPr>
      <w:r>
        <w:rPr>
          <w:rFonts w:ascii="Arial" w:cs="Arial" w:eastAsia="Arial" w:hAnsi="Arial"/>
          <w:sz w:val="16"/>
          <w:szCs w:val="16"/>
          <w:color w:val="auto"/>
        </w:rPr>
        <w:t>The principal terms of the Group’s cross currency swaps (“CCS”) designated as cash flow hedging instruments as of December 31, 2022, have been disclosed in the annual audited consolidated financial statements for the year ended December 31, 2022. Refer to Note 26 “Derivative Financial Instruments”. During the six months ended June 30, 2023, the Group did not enter any CCS designated as cash flow hedging instruments.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6"/>
          <w:szCs w:val="16"/>
          <w:color w:val="auto"/>
        </w:rPr>
        <w:t>For the three and six months ended June 30, 2023, the effective portion of changes in the fair value of CCSs amounting to a loss of $2,813 and a loss of $10,001, respectively, has been recognized in Other comprehensive income/(loss) (for the three and six months ended June 30, 2022: a loss of $12,557 and a loss of $11,858, respectively). For the three and six months ended June 30, 2023, a loss of $898 and loss of $1,599, respectively, was recycled to profit or loss representing the realized loss on CCSs in relation to the interest expenses component of the hedge (for the three and six months ended June 30, 2022: a loss of $117 and gain of $2, respectively). Additionally, for the three and six months ended June 30, 2023, a gain of $2,991 and a gain of $7,439, respectively, was recognized in Other comprehensive income/(loss) in relation to the translation of the NOK Bonds in USD as of June 30, 2023 (for the three and six months ended June 30, 2022: a gain of $13,412 and a gain of $11,174,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jc w:val="both"/>
        <w:ind w:right="60" w:firstLine="324"/>
        <w:spacing w:after="0" w:line="273" w:lineRule="auto"/>
        <w:rPr>
          <w:sz w:val="20"/>
          <w:szCs w:val="20"/>
          <w:color w:val="auto"/>
        </w:rPr>
      </w:pPr>
      <w:r>
        <w:rPr>
          <w:rFonts w:ascii="Arial" w:cs="Arial" w:eastAsia="Arial" w:hAnsi="Arial"/>
          <w:sz w:val="16"/>
          <w:szCs w:val="16"/>
          <w:color w:val="auto"/>
        </w:rPr>
        <w:t>The Group uses forward foreign exchange contracts to mitigate foreign exchange transaction exposures in Euros (“EUR”) and Singapore dollars (“SGD”). Under these forward foreign exchange contracts, the bank counterparty will effect fixed payments in EUR or SGD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89" w:lineRule="exact"/>
        <w:rPr>
          <w:sz w:val="20"/>
          <w:szCs w:val="20"/>
          <w:color w:val="auto"/>
        </w:rPr>
      </w:pPr>
    </w:p>
    <w:p>
      <w:pPr>
        <w:ind w:right="520" w:firstLine="324"/>
        <w:spacing w:after="0" w:line="293" w:lineRule="auto"/>
        <w:rPr>
          <w:sz w:val="20"/>
          <w:szCs w:val="20"/>
          <w:color w:val="auto"/>
        </w:rPr>
      </w:pPr>
      <w:r>
        <w:rPr>
          <w:rFonts w:ascii="Arial" w:cs="Arial" w:eastAsia="Arial" w:hAnsi="Arial"/>
          <w:sz w:val="16"/>
          <w:szCs w:val="16"/>
          <w:color w:val="auto"/>
        </w:rPr>
        <w:t>The principal terms of the forward foreign exchange contracts held for trading as of December 31, 2022, have been disclosed in the annual audited consolidated financial statements for the year ended December 31, 2022. Refer to Note 26 “Derivative Financial Instruments”.</w:t>
      </w:r>
    </w:p>
    <w:p>
      <w:pPr>
        <w:spacing w:after="0" w:line="172"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During the six months ended June 30, 2023, the Group entered into 87 forward foreign exchange contracts, while 76 contracts expired with staggered maturities from January to June 2023.</w:t>
      </w:r>
    </w:p>
    <w:p>
      <w:pPr>
        <w:spacing w:after="0" w:line="172" w:lineRule="exact"/>
        <w:rPr>
          <w:sz w:val="20"/>
          <w:szCs w:val="20"/>
          <w:color w:val="auto"/>
        </w:rPr>
      </w:pPr>
    </w:p>
    <w:p>
      <w:pPr>
        <w:jc w:val="both"/>
        <w:ind w:right="380" w:firstLine="324"/>
        <w:spacing w:after="0" w:line="273" w:lineRule="auto"/>
        <w:rPr>
          <w:sz w:val="20"/>
          <w:szCs w:val="20"/>
          <w:color w:val="auto"/>
        </w:rPr>
      </w:pPr>
      <w:r>
        <w:rPr>
          <w:rFonts w:ascii="Arial" w:cs="Arial" w:eastAsia="Arial" w:hAnsi="Arial"/>
          <w:sz w:val="16"/>
          <w:szCs w:val="16"/>
          <w:color w:val="auto"/>
        </w:rPr>
        <w:t>The Group’s forward foreign exchange contracts were not designated as cash flow hedging instruments as of June 30, 2023. The change in the fair value of these contracts for the three and six months ended June 30, 2023, amounted to a net loss of $1,062 and a net loss of $2,029, respectively (for the three and six months ended June 30, 2022: a net loss of $1,668 and a net loss of $1,974, respectively), which was recognized against profit or loss in the period incurred and is included in Gain on derivatives.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12. Financial Costs and Gain on Derivatives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An analysis of financial costs and gain on derivatives is as follows: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84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For the three months ended</w:t>
            </w:r>
          </w:p>
        </w:tc>
        <w:tc>
          <w:tcPr>
            <w:tcW w:w="272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For the six months ended</w:t>
            </w:r>
          </w:p>
        </w:tc>
      </w:tr>
      <w:tr>
        <w:trPr>
          <w:trHeight w:val="219"/>
        </w:trPr>
        <w:tc>
          <w:tcPr>
            <w:tcW w:w="3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June 30, 2022</w:t>
            </w:r>
          </w:p>
        </w:tc>
        <w:tc>
          <w:tcPr>
            <w:tcW w:w="14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June 30, 2023</w:t>
            </w:r>
          </w:p>
        </w:tc>
        <w:tc>
          <w:tcPr>
            <w:tcW w:w="14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June 30, 2022</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9"/>
              </w:rPr>
              <w:t>June 30, 2023</w:t>
            </w:r>
          </w:p>
        </w:tc>
      </w:tr>
      <w:tr>
        <w:trPr>
          <w:trHeight w:val="176"/>
        </w:trPr>
        <w:tc>
          <w:tcPr>
            <w:tcW w:w="340" w:type="dxa"/>
            <w:vAlign w:val="bottom"/>
          </w:tcPr>
          <w:p>
            <w:pPr>
              <w:spacing w:after="0"/>
              <w:rPr>
                <w:sz w:val="15"/>
                <w:szCs w:val="15"/>
                <w:color w:val="auto"/>
              </w:rPr>
            </w:pPr>
          </w:p>
        </w:tc>
        <w:tc>
          <w:tcPr>
            <w:tcW w:w="5320" w:type="dxa"/>
            <w:vAlign w:val="bottom"/>
            <w:tcBorders>
              <w:top w:val="single" w:sz="8" w:color="E5FFFF"/>
            </w:tcBorders>
            <w:shd w:val="clear" w:color="auto" w:fill="E5FFFF"/>
          </w:tcPr>
          <w:p>
            <w:pPr>
              <w:spacing w:after="0" w:line="176" w:lineRule="exact"/>
              <w:rPr>
                <w:sz w:val="20"/>
                <w:szCs w:val="20"/>
                <w:color w:val="auto"/>
              </w:rPr>
            </w:pPr>
            <w:r>
              <w:rPr>
                <w:rFonts w:ascii="Arial" w:cs="Arial" w:eastAsia="Arial" w:hAnsi="Arial"/>
                <w:sz w:val="16"/>
                <w:szCs w:val="16"/>
                <w:color w:val="auto"/>
                <w:w w:val="97"/>
              </w:rPr>
              <w:t>Amortization and write-off of deferred loan/bond issuance costs/premium and</w:t>
            </w:r>
          </w:p>
        </w:tc>
        <w:tc>
          <w:tcPr>
            <w:tcW w:w="12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2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2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2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r>
      <w:tr>
        <w:trPr>
          <w:trHeight w:val="212"/>
        </w:trPr>
        <w:tc>
          <w:tcPr>
            <w:tcW w:w="340" w:type="dxa"/>
            <w:vAlign w:val="bottom"/>
          </w:tcPr>
          <w:p>
            <w:pPr>
              <w:spacing w:after="0"/>
              <w:rPr>
                <w:sz w:val="18"/>
                <w:szCs w:val="18"/>
                <w:color w:val="auto"/>
              </w:rPr>
            </w:pPr>
          </w:p>
        </w:tc>
        <w:tc>
          <w:tcPr>
            <w:tcW w:w="5320" w:type="dxa"/>
            <w:vAlign w:val="bottom"/>
            <w:shd w:val="clear" w:color="auto" w:fill="E5FFFF"/>
          </w:tcPr>
          <w:p>
            <w:pPr>
              <w:ind w:left="160"/>
              <w:spacing w:after="0"/>
              <w:rPr>
                <w:sz w:val="20"/>
                <w:szCs w:val="20"/>
                <w:color w:val="auto"/>
              </w:rPr>
            </w:pPr>
            <w:r>
              <w:rPr>
                <w:rFonts w:ascii="Arial" w:cs="Arial" w:eastAsia="Arial" w:hAnsi="Arial"/>
                <w:sz w:val="16"/>
                <w:szCs w:val="16"/>
                <w:color w:val="auto"/>
              </w:rPr>
              <w:t>discount</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3,526</w:t>
            </w:r>
          </w:p>
        </w:tc>
        <w:tc>
          <w:tcPr>
            <w:tcW w:w="22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3,085</w:t>
            </w: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8,337</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8,028</w:t>
            </w:r>
          </w:p>
        </w:tc>
        <w:tc>
          <w:tcPr>
            <w:tcW w:w="100" w:type="dxa"/>
            <w:vAlign w:val="bottom"/>
            <w:shd w:val="clear" w:color="auto" w:fill="E5FFFF"/>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1200" w:type="dxa"/>
            <w:vAlign w:val="bottom"/>
          </w:tcPr>
          <w:p>
            <w:pPr>
              <w:jc w:val="right"/>
              <w:spacing w:after="0"/>
              <w:rPr>
                <w:sz w:val="20"/>
                <w:szCs w:val="20"/>
                <w:color w:val="auto"/>
              </w:rPr>
            </w:pPr>
            <w:r>
              <w:rPr>
                <w:rFonts w:ascii="Arial" w:cs="Arial" w:eastAsia="Arial" w:hAnsi="Arial"/>
                <w:sz w:val="16"/>
                <w:szCs w:val="16"/>
                <w:color w:val="auto"/>
              </w:rPr>
              <w:t>23,469</w:t>
            </w:r>
          </w:p>
        </w:tc>
        <w:tc>
          <w:tcPr>
            <w:tcW w:w="2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46,443</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43,232</w:t>
            </w:r>
          </w:p>
        </w:tc>
        <w:tc>
          <w:tcPr>
            <w:tcW w:w="1200" w:type="dxa"/>
            <w:vAlign w:val="bottom"/>
          </w:tcPr>
          <w:p>
            <w:pPr>
              <w:jc w:val="right"/>
              <w:spacing w:after="0"/>
              <w:rPr>
                <w:sz w:val="20"/>
                <w:szCs w:val="20"/>
                <w:color w:val="auto"/>
              </w:rPr>
            </w:pPr>
            <w:r>
              <w:rPr>
                <w:rFonts w:ascii="Arial" w:cs="Arial" w:eastAsia="Arial" w:hAnsi="Arial"/>
                <w:sz w:val="16"/>
                <w:szCs w:val="16"/>
                <w:color w:val="auto"/>
              </w:rPr>
              <w:t>94,035</w:t>
            </w:r>
          </w:p>
        </w:tc>
        <w:tc>
          <w:tcPr>
            <w:tcW w:w="1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Interest expense on bonds and realized loss on CCSs</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8,129</w:t>
            </w:r>
          </w:p>
        </w:tc>
        <w:tc>
          <w:tcPr>
            <w:tcW w:w="22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9,106</w:t>
            </w: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16,795</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17,898</w:t>
            </w:r>
          </w:p>
        </w:tc>
        <w:tc>
          <w:tcPr>
            <w:tcW w:w="100" w:type="dxa"/>
            <w:vAlign w:val="bottom"/>
            <w:shd w:val="clear" w:color="auto" w:fill="E5FF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Interest expense on leases</w:t>
            </w:r>
          </w:p>
        </w:tc>
        <w:tc>
          <w:tcPr>
            <w:tcW w:w="1200" w:type="dxa"/>
            <w:vAlign w:val="bottom"/>
          </w:tcPr>
          <w:p>
            <w:pPr>
              <w:jc w:val="right"/>
              <w:spacing w:after="0"/>
              <w:rPr>
                <w:sz w:val="20"/>
                <w:szCs w:val="20"/>
                <w:color w:val="auto"/>
              </w:rPr>
            </w:pPr>
            <w:r>
              <w:rPr>
                <w:rFonts w:ascii="Arial" w:cs="Arial" w:eastAsia="Arial" w:hAnsi="Arial"/>
                <w:sz w:val="16"/>
                <w:szCs w:val="16"/>
                <w:color w:val="auto"/>
              </w:rPr>
              <w:t>3,530</w:t>
            </w:r>
          </w:p>
        </w:tc>
        <w:tc>
          <w:tcPr>
            <w:tcW w:w="2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4,482</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6,686</w:t>
            </w:r>
          </w:p>
        </w:tc>
        <w:tc>
          <w:tcPr>
            <w:tcW w:w="1200" w:type="dxa"/>
            <w:vAlign w:val="bottom"/>
          </w:tcPr>
          <w:p>
            <w:pPr>
              <w:jc w:val="right"/>
              <w:spacing w:after="0"/>
              <w:rPr>
                <w:sz w:val="20"/>
                <w:szCs w:val="20"/>
                <w:color w:val="auto"/>
              </w:rPr>
            </w:pPr>
            <w:r>
              <w:rPr>
                <w:rFonts w:ascii="Arial" w:cs="Arial" w:eastAsia="Arial" w:hAnsi="Arial"/>
                <w:sz w:val="16"/>
                <w:szCs w:val="16"/>
                <w:color w:val="auto"/>
              </w:rPr>
              <w:t>7,687</w:t>
            </w:r>
          </w:p>
        </w:tc>
        <w:tc>
          <w:tcPr>
            <w:tcW w:w="100" w:type="dxa"/>
            <w:vAlign w:val="bottom"/>
          </w:tcPr>
          <w:p>
            <w:pPr>
              <w:spacing w:after="0"/>
              <w:rPr>
                <w:sz w:val="17"/>
                <w:szCs w:val="17"/>
                <w:color w:val="auto"/>
              </w:rPr>
            </w:pPr>
          </w:p>
        </w:tc>
      </w:tr>
      <w:tr>
        <w:trPr>
          <w:trHeight w:val="213"/>
        </w:trPr>
        <w:tc>
          <w:tcPr>
            <w:tcW w:w="340" w:type="dxa"/>
            <w:vAlign w:val="bottom"/>
          </w:tcPr>
          <w:p>
            <w:pPr>
              <w:spacing w:after="0"/>
              <w:rPr>
                <w:sz w:val="18"/>
                <w:szCs w:val="18"/>
                <w:color w:val="auto"/>
              </w:rPr>
            </w:pPr>
          </w:p>
        </w:tc>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Other financial costs, net</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812</w:t>
            </w:r>
          </w:p>
        </w:tc>
        <w:tc>
          <w:tcPr>
            <w:tcW w:w="22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441</w:t>
            </w: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1,785</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E5FF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5320" w:type="dxa"/>
            <w:vAlign w:val="bottom"/>
            <w:shd w:val="clear" w:color="auto" w:fill="E5FF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6"/>
                <w:szCs w:val="16"/>
                <w:b w:val="1"/>
                <w:bCs w:val="1"/>
                <w:color w:val="auto"/>
              </w:rPr>
              <w:t>Total financial costs</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39,466</w:t>
            </w: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63,557</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76,835</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128,054</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5320" w:type="dxa"/>
            <w:vAlign w:val="bottom"/>
            <w:tcBorders>
              <w:bottom w:val="single" w:sz="8" w:color="E5FF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r>
      <w:tr>
        <w:trPr>
          <w:trHeight w:val="199"/>
        </w:trPr>
        <w:tc>
          <w:tcPr>
            <w:tcW w:w="340" w:type="dxa"/>
            <w:vAlign w:val="bottom"/>
          </w:tcPr>
          <w:p>
            <w:pPr>
              <w:spacing w:after="0"/>
              <w:rPr>
                <w:sz w:val="17"/>
                <w:szCs w:val="17"/>
                <w:color w:val="auto"/>
              </w:rPr>
            </w:pPr>
          </w:p>
        </w:tc>
        <w:tc>
          <w:tcPr>
            <w:tcW w:w="532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193"/>
        </w:trPr>
        <w:tc>
          <w:tcPr>
            <w:tcW w:w="34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6"/>
                <w:szCs w:val="16"/>
                <w:color w:val="auto"/>
                <w:w w:val="95"/>
              </w:rPr>
              <w:t>Unrealized (gain)/loss on derivative financial instruments held for trading (Note</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5660" w:type="dxa"/>
            <w:vAlign w:val="bottom"/>
            <w:gridSpan w:val="2"/>
          </w:tcPr>
          <w:p>
            <w:pPr>
              <w:ind w:left="500"/>
              <w:spacing w:after="0"/>
              <w:rPr>
                <w:sz w:val="20"/>
                <w:szCs w:val="20"/>
                <w:color w:val="auto"/>
              </w:rPr>
            </w:pPr>
            <w:r>
              <w:rPr>
                <w:rFonts w:ascii="Arial" w:cs="Arial" w:eastAsia="Arial" w:hAnsi="Arial"/>
                <w:sz w:val="16"/>
                <w:szCs w:val="16"/>
                <w:color w:val="auto"/>
              </w:rPr>
              <w:t>11)</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(14,422)</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(8,404)</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(59,902)</w:t>
            </w:r>
          </w:p>
        </w:tc>
        <w:tc>
          <w:tcPr>
            <w:tcW w:w="1200" w:type="dxa"/>
            <w:vAlign w:val="bottom"/>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8"/>
                <w:szCs w:val="18"/>
                <w:color w:val="auto"/>
              </w:rPr>
            </w:pPr>
          </w:p>
        </w:tc>
      </w:tr>
      <w:tr>
        <w:trPr>
          <w:trHeight w:val="205"/>
        </w:trPr>
        <w:tc>
          <w:tcPr>
            <w:tcW w:w="340" w:type="dxa"/>
            <w:vAlign w:val="bottom"/>
          </w:tcPr>
          <w:p>
            <w:pPr>
              <w:spacing w:after="0"/>
              <w:rPr>
                <w:sz w:val="17"/>
                <w:szCs w:val="17"/>
                <w:color w:val="auto"/>
              </w:rPr>
            </w:pPr>
          </w:p>
        </w:tc>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Realized loss/(gain) on interest rate swaps held for trading</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4,920</w:t>
            </w:r>
          </w:p>
        </w:tc>
        <w:tc>
          <w:tcPr>
            <w:tcW w:w="22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(4,962)</w:t>
            </w: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13,096</w:t>
            </w:r>
          </w:p>
        </w:tc>
        <w:tc>
          <w:tcPr>
            <w:tcW w:w="13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(9,005)</w:t>
            </w:r>
          </w:p>
        </w:tc>
      </w:tr>
      <w:tr>
        <w:trPr>
          <w:trHeight w:val="203"/>
        </w:trPr>
        <w:tc>
          <w:tcPr>
            <w:tcW w:w="34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Realized loss/(gain) on forward foreign exchange contracts held for trading</w:t>
            </w:r>
          </w:p>
        </w:tc>
        <w:tc>
          <w:tcPr>
            <w:tcW w:w="1200" w:type="dxa"/>
            <w:vAlign w:val="bottom"/>
          </w:tcPr>
          <w:p>
            <w:pPr>
              <w:jc w:val="right"/>
              <w:spacing w:after="0"/>
              <w:rPr>
                <w:sz w:val="20"/>
                <w:szCs w:val="20"/>
                <w:color w:val="auto"/>
              </w:rPr>
            </w:pPr>
            <w:r>
              <w:rPr>
                <w:rFonts w:ascii="Arial" w:cs="Arial" w:eastAsia="Arial" w:hAnsi="Arial"/>
                <w:sz w:val="16"/>
                <w:szCs w:val="16"/>
                <w:color w:val="auto"/>
              </w:rPr>
              <w:t>1,192</w:t>
            </w:r>
          </w:p>
        </w:tc>
        <w:tc>
          <w:tcPr>
            <w:tcW w:w="22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(730)</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1,827</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(2,238)</w:t>
            </w:r>
          </w:p>
        </w:tc>
      </w:tr>
      <w:tr>
        <w:trPr>
          <w:trHeight w:val="213"/>
        </w:trPr>
        <w:tc>
          <w:tcPr>
            <w:tcW w:w="340" w:type="dxa"/>
            <w:vAlign w:val="bottom"/>
          </w:tcPr>
          <w:p>
            <w:pPr>
              <w:spacing w:after="0"/>
              <w:rPr>
                <w:sz w:val="18"/>
                <w:szCs w:val="18"/>
                <w:color w:val="auto"/>
              </w:rPr>
            </w:pPr>
          </w:p>
        </w:tc>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w:t>
            </w:r>
          </w:p>
        </w:tc>
        <w:tc>
          <w:tcPr>
            <w:tcW w:w="14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(20)</w:t>
            </w:r>
          </w:p>
        </w:tc>
        <w:tc>
          <w:tcPr>
            <w:tcW w:w="14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(47)</w:t>
            </w:r>
          </w:p>
        </w:tc>
        <w:tc>
          <w:tcPr>
            <w:tcW w:w="14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(752)</w:t>
            </w:r>
          </w:p>
        </w:tc>
        <w:tc>
          <w:tcPr>
            <w:tcW w:w="13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(6)</w:t>
            </w:r>
          </w:p>
        </w:tc>
      </w:tr>
      <w:tr>
        <w:trPr>
          <w:trHeight w:val="20"/>
        </w:trPr>
        <w:tc>
          <w:tcPr>
            <w:tcW w:w="340" w:type="dxa"/>
            <w:vAlign w:val="bottom"/>
          </w:tcPr>
          <w:p>
            <w:pPr>
              <w:spacing w:after="0" w:line="20" w:lineRule="exact"/>
              <w:rPr>
                <w:sz w:val="1"/>
                <w:szCs w:val="1"/>
                <w:color w:val="auto"/>
              </w:rPr>
            </w:pPr>
          </w:p>
        </w:tc>
        <w:tc>
          <w:tcPr>
            <w:tcW w:w="5320" w:type="dxa"/>
            <w:vAlign w:val="bottom"/>
            <w:shd w:val="clear" w:color="auto" w:fill="E5FF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6"/>
                <w:szCs w:val="16"/>
                <w:b w:val="1"/>
                <w:bCs w:val="1"/>
                <w:color w:val="auto"/>
              </w:rPr>
              <w:t>Total gain on derivatives</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(8,330)</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(14,143)</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(45,731)</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(10,473)</w:t>
            </w:r>
          </w:p>
        </w:tc>
      </w:tr>
      <w:tr>
        <w:trPr>
          <w:trHeight w:val="20"/>
        </w:trPr>
        <w:tc>
          <w:tcPr>
            <w:tcW w:w="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-2193925</wp:posOffset>
            </wp:positionV>
            <wp:extent cx="68580" cy="2177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1774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Subsequent Events</w:t>
      </w:r>
    </w:p>
    <w:p>
      <w:pPr>
        <w:spacing w:after="0" w:line="239"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As further discussed in Note 1, on July 7, 2023, the Partnership’s common unitholders voted to approve the previously announced merger, with GasLog acquiring all of the outstanding common units of the Partnership not already beneficially owned by GasLog. The payment date for the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13" w:right="359" w:bottom="1440" w:gutter="0" w:footer="0" w:header="0"/>
        </w:sectPr>
      </w:pPr>
    </w:p>
    <w:bookmarkStart w:id="28" w:name="page29"/>
    <w:bookmarkEnd w:id="28"/>
    <w:p>
      <w:pPr>
        <w:spacing w:after="0" w:line="297" w:lineRule="auto"/>
        <w:rPr>
          <w:sz w:val="20"/>
          <w:szCs w:val="20"/>
          <w:color w:val="auto"/>
        </w:rPr>
      </w:pPr>
      <w:r>
        <w:rPr>
          <w:rFonts w:ascii="Arial" w:cs="Arial" w:eastAsia="Arial" w:hAnsi="Arial"/>
          <w:sz w:val="15"/>
          <w:szCs w:val="15"/>
          <w:color w:val="auto"/>
        </w:rPr>
        <w:t>Special Distribution was July 12, 2023, and the Transaction closed on July 13, 2023 at the Effective Time upon the filing of the certificate of merger with the Marshall Islands Registrar of Corporations.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NYSE was suspended on July 13, 2023, and delisting of the common units took place on July 24, 2023.</w:t>
      </w:r>
    </w:p>
    <w:p>
      <w:pPr>
        <w:spacing w:after="0" w:line="17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 xml:space="preserve">On July 17, 2023, GasLog completed the sale of the Steam vessel </w:t>
      </w:r>
      <w:r>
        <w:rPr>
          <w:rFonts w:ascii="Arial" w:cs="Arial" w:eastAsia="Arial" w:hAnsi="Arial"/>
          <w:sz w:val="16"/>
          <w:szCs w:val="16"/>
          <w:i w:val="1"/>
          <w:iCs w:val="1"/>
          <w:color w:val="auto"/>
        </w:rPr>
        <w:t>GasLog Athens</w:t>
      </w:r>
      <w:r>
        <w:rPr>
          <w:rFonts w:ascii="Arial" w:cs="Arial" w:eastAsia="Arial" w:hAnsi="Arial"/>
          <w:sz w:val="16"/>
          <w:szCs w:val="16"/>
          <w:color w:val="auto"/>
        </w:rPr>
        <w:t>, pursuant to a Memorandum of Agreement entered into on January 17, 2023 with an unrelated third party.</w:t>
      </w:r>
    </w:p>
    <w:p>
      <w:pPr>
        <w:spacing w:after="0" w:line="172"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On August 2, 2023, the board of directors declared a quarterly cash dividend of $0.15 per common share, payable on August 4, 2023 to shareholders of record as of August 3, 2023.</w:t>
      </w:r>
    </w:p>
    <w:p>
      <w:pPr>
        <w:spacing w:after="0" w:line="172" w:lineRule="exact"/>
        <w:rPr>
          <w:sz w:val="20"/>
          <w:szCs w:val="20"/>
          <w:color w:val="auto"/>
        </w:rPr>
      </w:pPr>
    </w:p>
    <w:p>
      <w:pPr>
        <w:ind w:right="320" w:firstLine="324"/>
        <w:spacing w:after="0" w:line="293" w:lineRule="auto"/>
        <w:rPr>
          <w:sz w:val="20"/>
          <w:szCs w:val="20"/>
          <w:color w:val="auto"/>
        </w:rPr>
      </w:pPr>
      <w:r>
        <w:rPr>
          <w:rFonts w:ascii="Arial" w:cs="Arial" w:eastAsia="Arial" w:hAnsi="Arial"/>
          <w:sz w:val="16"/>
          <w:szCs w:val="16"/>
          <w:color w:val="auto"/>
        </w:rPr>
        <w:t>On August 2, 2023, the board of directors declared a dividend on the Series A Preference Shares of $0.546875 per share, payable on October 2, 2023, to holders of record as of September 29, 2023.</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2"/>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2023-08-03T15:15:47Z</dcterms:created>
  <dcterms:modified xsi:type="dcterms:W3CDTF">2023-08-03T15:15:47Z</dcterms:modified>
</cp:coreProperties>
</file>