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For the month of November 2016</w:t>
            </w:r>
          </w:p>
        </w:tc>
        <w:tc>
          <w:tcPr>
            <w:tcW w:w="14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400" w:type="dxa"/>
            <w:vAlign w:val="bottom"/>
          </w:tcPr>
          <w:p>
            <w:pPr>
              <w:spacing w:after="0"/>
              <w:rPr>
                <w:sz w:val="24"/>
                <w:szCs w:val="24"/>
                <w:color w:val="auto"/>
              </w:rPr>
            </w:pPr>
          </w:p>
        </w:tc>
      </w:tr>
      <w:tr>
        <w:trPr>
          <w:trHeight w:val="418"/>
        </w:trPr>
        <w:tc>
          <w:tcPr>
            <w:tcW w:w="10020" w:type="dxa"/>
            <w:vAlign w:val="bottom"/>
          </w:tcPr>
          <w:p>
            <w:pPr>
              <w:jc w:val="center"/>
              <w:ind w:left="1330"/>
              <w:spacing w:after="0"/>
              <w:rPr>
                <w:sz w:val="20"/>
                <w:szCs w:val="20"/>
                <w:color w:val="auto"/>
              </w:rPr>
            </w:pPr>
            <w:r>
              <w:rPr>
                <w:rFonts w:ascii="Arial" w:cs="Arial" w:eastAsia="Arial" w:hAnsi="Arial"/>
                <w:sz w:val="18"/>
                <w:szCs w:val="18"/>
                <w:b w:val="1"/>
                <w:bCs w:val="1"/>
                <w:color w:val="auto"/>
                <w:w w:val="91"/>
              </w:rPr>
              <w:t>GasLog Ltd</w:t>
            </w:r>
          </w:p>
        </w:tc>
        <w:tc>
          <w:tcPr>
            <w:tcW w:w="1400" w:type="dxa"/>
            <w:vAlign w:val="bottom"/>
          </w:tcPr>
          <w:p>
            <w:pPr>
              <w:spacing w:after="0"/>
              <w:rPr>
                <w:sz w:val="24"/>
                <w:szCs w:val="24"/>
                <w:color w:val="auto"/>
              </w:rPr>
            </w:pPr>
          </w:p>
        </w:tc>
      </w:tr>
      <w:tr>
        <w:trPr>
          <w:trHeight w:val="230"/>
        </w:trPr>
        <w:tc>
          <w:tcPr>
            <w:tcW w:w="10020" w:type="dxa"/>
            <w:vAlign w:val="bottom"/>
          </w:tcPr>
          <w:p>
            <w:pPr>
              <w:jc w:val="center"/>
              <w:ind w:left="1330"/>
              <w:spacing w:after="0"/>
              <w:rPr>
                <w:sz w:val="20"/>
                <w:szCs w:val="20"/>
                <w:color w:val="auto"/>
              </w:rPr>
            </w:pPr>
            <w:r>
              <w:rPr>
                <w:rFonts w:ascii="Arial" w:cs="Arial" w:eastAsia="Arial" w:hAnsi="Arial"/>
                <w:sz w:val="18"/>
                <w:szCs w:val="18"/>
                <w:color w:val="auto"/>
                <w:w w:val="91"/>
              </w:rPr>
              <w:t>(Translation of registrant’s name into English)</w:t>
            </w:r>
          </w:p>
        </w:tc>
        <w:tc>
          <w:tcPr>
            <w:tcW w:w="1400" w:type="dxa"/>
            <w:vAlign w:val="bottom"/>
          </w:tcPr>
          <w:p>
            <w:pPr>
              <w:spacing w:after="0"/>
              <w:rPr>
                <w:sz w:val="20"/>
                <w:szCs w:val="20"/>
                <w:color w:val="auto"/>
              </w:rPr>
            </w:pPr>
          </w:p>
        </w:tc>
      </w:tr>
      <w:tr>
        <w:trPr>
          <w:trHeight w:val="418"/>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89"/>
              </w:rPr>
              <w:t>Gildo Pastor Center</w:t>
            </w:r>
          </w:p>
        </w:tc>
        <w:tc>
          <w:tcPr>
            <w:tcW w:w="1400" w:type="dxa"/>
            <w:vAlign w:val="bottom"/>
          </w:tcPr>
          <w:p>
            <w:pPr>
              <w:spacing w:after="0"/>
              <w:rPr>
                <w:sz w:val="24"/>
                <w:szCs w:val="24"/>
                <w:color w:val="auto"/>
              </w:rPr>
            </w:pPr>
          </w:p>
        </w:tc>
      </w:tr>
      <w:tr>
        <w:trPr>
          <w:trHeight w:val="216"/>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89"/>
              </w:rPr>
              <w:t>7 Rue du Gabian</w:t>
            </w:r>
          </w:p>
        </w:tc>
        <w:tc>
          <w:tcPr>
            <w:tcW w:w="1400" w:type="dxa"/>
            <w:vAlign w:val="bottom"/>
          </w:tcPr>
          <w:p>
            <w:pPr>
              <w:spacing w:after="0"/>
              <w:rPr>
                <w:sz w:val="18"/>
                <w:szCs w:val="18"/>
                <w:color w:val="auto"/>
              </w:rPr>
            </w:pPr>
          </w:p>
        </w:tc>
      </w:tr>
      <w:tr>
        <w:trPr>
          <w:trHeight w:val="216"/>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92"/>
              </w:rPr>
              <w:t>MC 98000, Monaco</w:t>
            </w:r>
          </w:p>
        </w:tc>
        <w:tc>
          <w:tcPr>
            <w:tcW w:w="1400" w:type="dxa"/>
            <w:vAlign w:val="bottom"/>
          </w:tcPr>
          <w:p>
            <w:pPr>
              <w:spacing w:after="0"/>
              <w:rPr>
                <w:sz w:val="18"/>
                <w:szCs w:val="18"/>
                <w:color w:val="auto"/>
              </w:rPr>
            </w:pPr>
          </w:p>
        </w:tc>
      </w:tr>
      <w:tr>
        <w:trPr>
          <w:trHeight w:val="230"/>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92"/>
              </w:rPr>
              <w:t>(Address of principal executive office)</w:t>
            </w:r>
          </w:p>
        </w:tc>
        <w:tc>
          <w:tcPr>
            <w:tcW w:w="14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400" w:type="dxa"/>
            <w:vAlign w:val="bottom"/>
          </w:tcPr>
          <w:p>
            <w:pPr>
              <w:spacing w:after="0"/>
              <w:rPr>
                <w:sz w:val="24"/>
                <w:szCs w:val="24"/>
                <w:color w:val="auto"/>
              </w:rPr>
            </w:pPr>
          </w:p>
        </w:tc>
      </w:tr>
      <w:tr>
        <w:trPr>
          <w:trHeight w:val="452"/>
        </w:trPr>
        <w:tc>
          <w:tcPr>
            <w:tcW w:w="100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400" w:type="dxa"/>
            <w:vAlign w:val="bottom"/>
          </w:tcPr>
          <w:p>
            <w:pPr>
              <w:spacing w:after="0"/>
              <w:rPr>
                <w:sz w:val="24"/>
                <w:szCs w:val="24"/>
                <w:color w:val="auto"/>
              </w:rPr>
            </w:pPr>
          </w:p>
        </w:tc>
      </w:tr>
      <w:tr>
        <w:trPr>
          <w:trHeight w:val="41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r>
      <w:tr>
        <w:trPr>
          <w:trHeight w:val="361"/>
        </w:trPr>
        <w:tc>
          <w:tcPr>
            <w:tcW w:w="1002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ind w:right="360" w:firstLine="376"/>
        <w:spacing w:after="0" w:line="293" w:lineRule="auto"/>
        <w:rPr>
          <w:sz w:val="20"/>
          <w:szCs w:val="20"/>
          <w:color w:val="auto"/>
        </w:rPr>
      </w:pPr>
      <w:r>
        <w:rPr>
          <w:rFonts w:ascii="Arial" w:cs="Arial" w:eastAsia="Arial" w:hAnsi="Arial"/>
          <w:sz w:val="16"/>
          <w:szCs w:val="16"/>
          <w:color w:val="auto"/>
        </w:rPr>
        <w:t>The press release issued by GasLog Ltd and GasLog Partners LP on November 1, 2016 announcing the closing of GasLog Partners LP’s acquisition of the GasLog Seattle from GasLog Ltd. attached hereto as Exhibit 99.1.</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INCORPORATION BY REFERENCE</w:t>
      </w:r>
    </w:p>
    <w:p>
      <w:pPr>
        <w:spacing w:after="0" w:line="221" w:lineRule="exact"/>
        <w:rPr>
          <w:sz w:val="20"/>
          <w:szCs w:val="20"/>
          <w:color w:val="auto"/>
        </w:rPr>
      </w:pPr>
    </w:p>
    <w:p>
      <w:pPr>
        <w:ind w:firstLine="376"/>
        <w:spacing w:after="0" w:line="271" w:lineRule="auto"/>
        <w:rPr>
          <w:sz w:val="20"/>
          <w:szCs w:val="20"/>
          <w:color w:val="auto"/>
        </w:rPr>
      </w:pPr>
      <w:r>
        <w:rPr>
          <w:rFonts w:ascii="Arial" w:cs="Arial" w:eastAsia="Arial" w:hAnsi="Arial"/>
          <w:sz w:val="16"/>
          <w:szCs w:val="16"/>
          <w:color w:val="auto"/>
        </w:rPr>
        <w:t>Exhibit 99.1 to this Report on Form 6-K shall be incorporated by reference into our registration statements on Form F-3 (File Nos. 333-188817, 333-194894 and 333-194894),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EXHIBIT LIST</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color w:val="auto"/>
        </w:rPr>
        <w:t>Exhibit</w:t>
      </w:r>
      <w:r>
        <w:rPr>
          <w:sz w:val="20"/>
          <w:szCs w:val="20"/>
          <w:color w:val="auto"/>
        </w:rPr>
        <w:tab/>
      </w:r>
      <w:r>
        <w:rPr>
          <w:rFonts w:ascii="Arial" w:cs="Arial" w:eastAsia="Arial" w:hAnsi="Arial"/>
          <w:sz w:val="16"/>
          <w:szCs w:val="16"/>
          <w:color w:val="auto"/>
        </w:rPr>
        <w:t>Description</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color w:val="auto"/>
        </w:rPr>
        <w:t>Press Release Dated November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7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color w:val="auto"/>
        </w:rPr>
        <w:t>SIGNATURES</w:t>
      </w:r>
    </w:p>
    <w:p>
      <w:pPr>
        <w:spacing w:after="0" w:line="221" w:lineRule="exact"/>
        <w:rPr>
          <w:sz w:val="20"/>
          <w:szCs w:val="20"/>
          <w:color w:val="auto"/>
        </w:rPr>
      </w:pPr>
    </w:p>
    <w:p>
      <w:pPr>
        <w:ind w:right="260" w:firstLine="376"/>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 2016</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GASLOG LTD</w:t>
      </w:r>
    </w:p>
    <w:p>
      <w:pPr>
        <w:spacing w:after="0" w:line="248" w:lineRule="exact"/>
        <w:rPr>
          <w:sz w:val="20"/>
          <w:szCs w:val="20"/>
          <w:color w:val="auto"/>
        </w:rPr>
      </w:pPr>
    </w:p>
    <w:p>
      <w:pPr>
        <w:ind w:left="6540"/>
        <w:spacing w:after="0"/>
        <w:tabs>
          <w:tab w:leader="none" w:pos="6840" w:val="left"/>
        </w:tabs>
        <w:rPr>
          <w:sz w:val="20"/>
          <w:szCs w:val="20"/>
          <w:color w:val="auto"/>
        </w:rPr>
      </w:pPr>
      <w:r>
        <w:rPr>
          <w:rFonts w:ascii="Arial" w:cs="Arial" w:eastAsia="Arial" w:hAnsi="Arial"/>
          <w:sz w:val="16"/>
          <w:szCs w:val="16"/>
          <w:color w:val="auto"/>
        </w:rPr>
        <w:t>by</w:t>
        <w:tab/>
        <w:t>/s/ Paul A. Wogan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60" w:type="dxa"/>
            <w:vAlign w:val="bottom"/>
          </w:tcPr>
          <w:p>
            <w:pPr>
              <w:spacing w:after="0"/>
              <w:rPr>
                <w:sz w:val="17"/>
                <w:szCs w:val="17"/>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Name:</w:t>
            </w:r>
          </w:p>
        </w:tc>
        <w:tc>
          <w:tcPr>
            <w:tcW w:w="334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Paul A. Wogan</w:t>
            </w:r>
          </w:p>
        </w:tc>
        <w:tc>
          <w:tcPr>
            <w:tcW w:w="680" w:type="dxa"/>
            <w:vAlign w:val="bottom"/>
          </w:tcPr>
          <w:p>
            <w:pPr>
              <w:spacing w:after="0"/>
              <w:rPr>
                <w:sz w:val="17"/>
                <w:szCs w:val="17"/>
                <w:color w:val="auto"/>
              </w:rPr>
            </w:pPr>
          </w:p>
        </w:tc>
      </w:tr>
      <w:tr>
        <w:trPr>
          <w:trHeight w:val="206"/>
        </w:trPr>
        <w:tc>
          <w:tcPr>
            <w:tcW w:w="686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6"/>
                <w:szCs w:val="16"/>
                <w:color w:val="auto"/>
              </w:rPr>
              <w:t>Title:</w:t>
            </w:r>
          </w:p>
        </w:tc>
        <w:tc>
          <w:tcPr>
            <w:tcW w:w="3340" w:type="dxa"/>
            <w:vAlign w:val="bottom"/>
          </w:tcPr>
          <w:p>
            <w:pPr>
              <w:ind w:left="100"/>
              <w:spacing w:after="0"/>
              <w:rPr>
                <w:sz w:val="20"/>
                <w:szCs w:val="20"/>
                <w:color w:val="auto"/>
              </w:rPr>
            </w:pPr>
            <w:r>
              <w:rPr>
                <w:rFonts w:ascii="Arial" w:cs="Arial" w:eastAsia="Arial" w:hAnsi="Arial"/>
                <w:sz w:val="16"/>
                <w:szCs w:val="16"/>
                <w:color w:val="auto"/>
              </w:rPr>
              <w:t>Chief Executive Officer</w:t>
            </w:r>
          </w:p>
        </w:tc>
        <w:tc>
          <w:tcPr>
            <w:tcW w:w="680" w:type="dxa"/>
            <w:vAlign w:val="bottom"/>
          </w:tcPr>
          <w:p>
            <w:pPr>
              <w:spacing w:after="0"/>
              <w:rPr>
                <w:sz w:val="17"/>
                <w:szCs w:val="17"/>
                <w:color w:val="auto"/>
              </w:rPr>
            </w:pPr>
          </w:p>
        </w:tc>
      </w:tr>
      <w:tr>
        <w:trPr>
          <w:trHeight w:val="340"/>
        </w:trPr>
        <w:tc>
          <w:tcPr>
            <w:tcW w:w="68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99"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GasLog Partners LP Announces Closing Of </w:t>
      </w:r>
      <w:r>
        <w:rPr>
          <w:rFonts w:ascii="Arial" w:cs="Arial" w:eastAsia="Arial" w:hAnsi="Arial"/>
          <w:sz w:val="22"/>
          <w:szCs w:val="22"/>
          <w:b w:val="1"/>
          <w:bCs w:val="1"/>
          <w:i w:val="1"/>
          <w:iCs w:val="1"/>
          <w:color w:val="auto"/>
        </w:rPr>
        <w:t>GasLog Seattle</w:t>
      </w:r>
      <w:r>
        <w:rPr>
          <w:rFonts w:ascii="Arial" w:cs="Arial" w:eastAsia="Arial" w:hAnsi="Arial"/>
          <w:sz w:val="22"/>
          <w:szCs w:val="22"/>
          <w:b w:val="1"/>
          <w:bCs w:val="1"/>
          <w:color w:val="auto"/>
        </w:rPr>
        <w:t xml:space="preserve"> Acquisition From GasLog Ltd.</w:t>
      </w:r>
    </w:p>
    <w:p>
      <w:pPr>
        <w:spacing w:after="0" w:line="377" w:lineRule="exact"/>
        <w:rPr>
          <w:sz w:val="20"/>
          <w:szCs w:val="20"/>
          <w:color w:val="auto"/>
        </w:rPr>
      </w:pPr>
    </w:p>
    <w:p>
      <w:pPr>
        <w:ind w:right="380"/>
        <w:spacing w:after="0" w:line="236" w:lineRule="auto"/>
        <w:rPr>
          <w:sz w:val="20"/>
          <w:szCs w:val="20"/>
          <w:color w:val="auto"/>
        </w:rPr>
      </w:pPr>
      <w:r>
        <w:rPr>
          <w:rFonts w:ascii="Arial" w:cs="Arial" w:eastAsia="Arial" w:hAnsi="Arial"/>
          <w:sz w:val="18"/>
          <w:szCs w:val="18"/>
          <w:b w:val="1"/>
          <w:bCs w:val="1"/>
          <w:color w:val="auto"/>
        </w:rPr>
        <w:t xml:space="preserve">MONACO — November 1, 2016 — </w:t>
      </w:r>
      <w:r>
        <w:rPr>
          <w:rFonts w:ascii="Arial" w:cs="Arial" w:eastAsia="Arial" w:hAnsi="Arial"/>
          <w:sz w:val="18"/>
          <w:szCs w:val="18"/>
          <w:color w:val="auto"/>
        </w:rPr>
        <w:t>GasLog Partners LP (NYSE:GLOP) (“GasLog Partners” or the “Partnership”) and GasLog Ltd. (NYSE:GLOG)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(“GasLog”) announced today the closing of the Partnership’s acquisition from GasLog of 100% of the shares in the entity that owns and charters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Seattle</w:t>
      </w:r>
      <w:r>
        <w:rPr>
          <w:rFonts w:ascii="Arial" w:cs="Arial" w:eastAsia="Arial" w:hAnsi="Arial"/>
          <w:sz w:val="18"/>
          <w:szCs w:val="18"/>
          <w:color w:val="auto"/>
        </w:rPr>
        <w:t>.</w:t>
      </w:r>
    </w:p>
    <w:p>
      <w:pPr>
        <w:spacing w:after="0" w:line="69" w:lineRule="exact"/>
        <w:rPr>
          <w:sz w:val="20"/>
          <w:szCs w:val="20"/>
          <w:color w:val="auto"/>
        </w:rPr>
      </w:pPr>
    </w:p>
    <w:p>
      <w:pPr>
        <w:spacing w:after="0" w:line="253" w:lineRule="auto"/>
        <w:rPr>
          <w:sz w:val="20"/>
          <w:szCs w:val="20"/>
          <w:color w:val="auto"/>
        </w:rPr>
      </w:pPr>
      <w:r>
        <w:rPr>
          <w:rFonts w:ascii="Arial" w:cs="Arial" w:eastAsia="Arial" w:hAnsi="Arial"/>
          <w:sz w:val="17"/>
          <w:szCs w:val="17"/>
          <w:i w:val="1"/>
          <w:iCs w:val="1"/>
          <w:color w:val="auto"/>
        </w:rPr>
        <w:t xml:space="preserve">GasLog Seattle </w:t>
      </w:r>
      <w:r>
        <w:rPr>
          <w:rFonts w:ascii="Arial" w:cs="Arial" w:eastAsia="Arial" w:hAnsi="Arial"/>
          <w:sz w:val="17"/>
          <w:szCs w:val="17"/>
          <w:color w:val="auto"/>
        </w:rPr>
        <w:t>is a 155,000 cubic meter tri-fuel diesel electric liquefied natural gas (“LNG”) carrier built in 2013 and operated by GasLog since delivery. The</w:t>
      </w:r>
      <w:r>
        <w:rPr>
          <w:rFonts w:ascii="Arial" w:cs="Arial" w:eastAsia="Arial" w:hAnsi="Arial"/>
          <w:sz w:val="17"/>
          <w:szCs w:val="17"/>
          <w:i w:val="1"/>
          <w:iCs w:val="1"/>
          <w:color w:val="auto"/>
        </w:rPr>
        <w:t xml:space="preserve"> </w:t>
      </w:r>
      <w:r>
        <w:rPr>
          <w:rFonts w:ascii="Arial" w:cs="Arial" w:eastAsia="Arial" w:hAnsi="Arial"/>
          <w:sz w:val="17"/>
          <w:szCs w:val="17"/>
          <w:color w:val="auto"/>
        </w:rPr>
        <w:t>vessel is currently on a multi-year time charter with a wholly owned subsidiary of Royal Dutch Shell plc (“Shell”) through December 2020. Shell has two consecutive 5-year extension options, which if exercised, would extend the charter for a period of either 5 or 10 years.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94"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GasLog Partners is a growth-oriented master limited partnership focused on owning, operating and acquiring LNG carriers under multi-year charters. GasLog Partners’ fleet now consists of nine LNG carriers with an average carrying capacity of approximately 149,500 cbm, each of which has a multi-year time charter. GasLog Partners' principal executive offices are located at Gildo Pastor Center, 7 Rue du Gabian, MC 98000, Monaco.</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94"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27 LNG carriers (22 ships on the water and 5 on order). GasLog also has an additional LNG carrier which was sold to a subsidiary of Mitsui Co. Ltd. and leased back under a long-term bareboat charter. GasLog’s consolidated fleet now includes nine LNG carriers in operation owned by GasLog's subsidiary, GasLog Partners. GasLog's principal executive offices are at Gildo Pastor Center, 7 Rue du Gabian, MC 98000, Monaco.</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Simon Crowe</w:t>
      </w:r>
    </w:p>
    <w:p>
      <w:pPr>
        <w:spacing w:after="0" w:line="219" w:lineRule="auto"/>
        <w:rPr>
          <w:sz w:val="20"/>
          <w:szCs w:val="20"/>
          <w:color w:val="auto"/>
        </w:rPr>
      </w:pPr>
      <w:r>
        <w:rPr>
          <w:rFonts w:ascii="Arial" w:cs="Arial" w:eastAsia="Arial" w:hAnsi="Arial"/>
          <w:sz w:val="18"/>
          <w:szCs w:val="18"/>
          <w:color w:val="auto"/>
        </w:rPr>
        <w:t>Chief Financial Officer</w:t>
      </w:r>
    </w:p>
    <w:p>
      <w:pPr>
        <w:spacing w:after="0"/>
        <w:rPr>
          <w:sz w:val="20"/>
          <w:szCs w:val="20"/>
          <w:color w:val="auto"/>
        </w:rPr>
      </w:pPr>
      <w:r>
        <w:rPr>
          <w:rFonts w:ascii="Arial" w:cs="Arial" w:eastAsia="Arial" w:hAnsi="Arial"/>
          <w:sz w:val="18"/>
          <w:szCs w:val="18"/>
          <w:color w:val="auto"/>
        </w:rPr>
        <w:t>Phone: +44 203 388 3108</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Jamie Buckland</w:t>
      </w:r>
    </w:p>
    <w:p>
      <w:pPr>
        <w:spacing w:after="0" w:line="219" w:lineRule="auto"/>
        <w:rPr>
          <w:sz w:val="20"/>
          <w:szCs w:val="20"/>
          <w:color w:val="auto"/>
        </w:rPr>
      </w:pPr>
      <w:r>
        <w:rPr>
          <w:rFonts w:ascii="Arial" w:cs="Arial" w:eastAsia="Arial" w:hAnsi="Arial"/>
          <w:sz w:val="18"/>
          <w:szCs w:val="18"/>
          <w:color w:val="auto"/>
        </w:rPr>
        <w:t>Head of Investor Relations</w:t>
      </w:r>
    </w:p>
    <w:p>
      <w:pPr>
        <w:spacing w:after="0" w:line="219" w:lineRule="auto"/>
        <w:rPr>
          <w:sz w:val="20"/>
          <w:szCs w:val="20"/>
          <w:color w:val="auto"/>
        </w:rPr>
      </w:pPr>
      <w:r>
        <w:rPr>
          <w:rFonts w:ascii="Arial" w:cs="Arial" w:eastAsia="Arial" w:hAnsi="Arial"/>
          <w:sz w:val="18"/>
          <w:szCs w:val="18"/>
          <w:color w:val="auto"/>
        </w:rPr>
        <w:t>Phone: +44 203 388 3116</w:t>
      </w:r>
    </w:p>
    <w:p>
      <w:pPr>
        <w:spacing w:after="0"/>
        <w:rPr>
          <w:sz w:val="20"/>
          <w:szCs w:val="20"/>
          <w:color w:val="auto"/>
        </w:rPr>
      </w:pPr>
      <w:r>
        <w:rPr>
          <w:rFonts w:ascii="Arial" w:cs="Arial" w:eastAsia="Arial" w:hAnsi="Arial"/>
          <w:sz w:val="18"/>
          <w:szCs w:val="18"/>
          <w:color w:val="auto"/>
        </w:rPr>
        <w:t>Email: ir@gaslogltd.com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Samaan Aziz</w:t>
      </w:r>
    </w:p>
    <w:p>
      <w:pPr>
        <w:spacing w:after="0" w:line="219" w:lineRule="auto"/>
        <w:rPr>
          <w:sz w:val="20"/>
          <w:szCs w:val="20"/>
          <w:color w:val="auto"/>
        </w:rPr>
      </w:pPr>
      <w:r>
        <w:rPr>
          <w:rFonts w:ascii="Arial" w:cs="Arial" w:eastAsia="Arial" w:hAnsi="Arial"/>
          <w:sz w:val="18"/>
          <w:szCs w:val="18"/>
          <w:color w:val="auto"/>
        </w:rPr>
        <w:t>Investor Relations Manager</w:t>
      </w:r>
    </w:p>
    <w:p>
      <w:pPr>
        <w:spacing w:after="0" w:line="219" w:lineRule="auto"/>
        <w:rPr>
          <w:sz w:val="20"/>
          <w:szCs w:val="20"/>
          <w:color w:val="auto"/>
        </w:rPr>
      </w:pPr>
      <w:r>
        <w:rPr>
          <w:rFonts w:ascii="Arial" w:cs="Arial" w:eastAsia="Arial" w:hAnsi="Arial"/>
          <w:sz w:val="18"/>
          <w:szCs w:val="18"/>
          <w:color w:val="auto"/>
        </w:rPr>
        <w:t>Phone: +1 212 223 0643</w:t>
      </w:r>
    </w:p>
    <w:p>
      <w:pPr>
        <w:spacing w:after="0"/>
        <w:rPr>
          <w:sz w:val="20"/>
          <w:szCs w:val="20"/>
          <w:color w:val="auto"/>
        </w:rPr>
      </w:pPr>
      <w:r>
        <w:rPr>
          <w:rFonts w:ascii="Arial" w:cs="Arial" w:eastAsia="Arial" w:hAnsi="Arial"/>
          <w:sz w:val="18"/>
          <w:szCs w:val="18"/>
          <w:color w:val="auto"/>
        </w:rPr>
        <w:t>Email: ir@gaslogmlp.com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294005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2019-12-08T22:24:42Z</dcterms:created>
  <dcterms:modified xsi:type="dcterms:W3CDTF">2019-12-08T22:24:42Z</dcterms:modified>
</cp:coreProperties>
</file>