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For the month of December 2018</w:t>
            </w:r>
          </w:p>
        </w:tc>
        <w:tc>
          <w:tcPr>
            <w:tcW w:w="1460" w:type="dxa"/>
            <w:vAlign w:val="bottom"/>
          </w:tcPr>
          <w:p>
            <w:pPr>
              <w:spacing w:after="0"/>
              <w:rPr>
                <w:sz w:val="20"/>
                <w:szCs w:val="20"/>
                <w:color w:val="auto"/>
              </w:rPr>
            </w:pP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60" w:type="dxa"/>
            <w:vAlign w:val="bottom"/>
          </w:tcPr>
          <w:p>
            <w:pPr>
              <w:spacing w:after="0"/>
              <w:rPr>
                <w:sz w:val="24"/>
                <w:szCs w:val="24"/>
                <w:color w:val="auto"/>
              </w:rPr>
            </w:pPr>
          </w:p>
        </w:tc>
      </w:tr>
      <w:tr>
        <w:trPr>
          <w:trHeight w:val="418"/>
        </w:trPr>
        <w:tc>
          <w:tcPr>
            <w:tcW w:w="1000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GasLog Ltd</w:t>
            </w:r>
          </w:p>
        </w:tc>
        <w:tc>
          <w:tcPr>
            <w:tcW w:w="1460" w:type="dxa"/>
            <w:vAlign w:val="bottom"/>
          </w:tcPr>
          <w:p>
            <w:pPr>
              <w:spacing w:after="0"/>
              <w:rPr>
                <w:sz w:val="24"/>
                <w:szCs w:val="24"/>
                <w:color w:val="auto"/>
              </w:rPr>
            </w:pPr>
          </w:p>
        </w:tc>
      </w:tr>
      <w:tr>
        <w:trPr>
          <w:trHeight w:val="230"/>
        </w:trPr>
        <w:tc>
          <w:tcPr>
            <w:tcW w:w="10000" w:type="dxa"/>
            <w:vAlign w:val="bottom"/>
          </w:tcPr>
          <w:p>
            <w:pPr>
              <w:jc w:val="center"/>
              <w:ind w:left="1350"/>
              <w:spacing w:after="0"/>
              <w:rPr>
                <w:sz w:val="20"/>
                <w:szCs w:val="20"/>
                <w:color w:val="auto"/>
              </w:rPr>
            </w:pPr>
            <w:r>
              <w:rPr>
                <w:rFonts w:ascii="Arial" w:cs="Arial" w:eastAsia="Arial" w:hAnsi="Arial"/>
                <w:sz w:val="18"/>
                <w:szCs w:val="18"/>
                <w:color w:val="auto"/>
                <w:w w:val="91"/>
              </w:rPr>
              <w:t>(Translation of registrant’s name into English)</w:t>
            </w:r>
          </w:p>
        </w:tc>
        <w:tc>
          <w:tcPr>
            <w:tcW w:w="1460" w:type="dxa"/>
            <w:vAlign w:val="bottom"/>
          </w:tcPr>
          <w:p>
            <w:pPr>
              <w:spacing w:after="0"/>
              <w:rPr>
                <w:sz w:val="20"/>
                <w:szCs w:val="20"/>
                <w:color w:val="auto"/>
              </w:rPr>
            </w:pPr>
          </w:p>
        </w:tc>
      </w:tr>
      <w:tr>
        <w:trPr>
          <w:trHeight w:val="418"/>
        </w:trPr>
        <w:tc>
          <w:tcPr>
            <w:tcW w:w="10000" w:type="dxa"/>
            <w:vAlign w:val="bottom"/>
          </w:tcPr>
          <w:p>
            <w:pPr>
              <w:jc w:val="center"/>
              <w:ind w:left="1330"/>
              <w:spacing w:after="0"/>
              <w:rPr>
                <w:sz w:val="20"/>
                <w:szCs w:val="20"/>
                <w:color w:val="auto"/>
              </w:rPr>
            </w:pPr>
            <w:r>
              <w:rPr>
                <w:rFonts w:ascii="Arial" w:cs="Arial" w:eastAsia="Arial" w:hAnsi="Arial"/>
                <w:sz w:val="18"/>
                <w:szCs w:val="18"/>
                <w:color w:val="auto"/>
                <w:w w:val="89"/>
              </w:rPr>
              <w:t>Gildo Pastor Center</w:t>
            </w:r>
          </w:p>
        </w:tc>
        <w:tc>
          <w:tcPr>
            <w:tcW w:w="1460" w:type="dxa"/>
            <w:vAlign w:val="bottom"/>
          </w:tcPr>
          <w:p>
            <w:pPr>
              <w:spacing w:after="0"/>
              <w:rPr>
                <w:sz w:val="24"/>
                <w:szCs w:val="24"/>
                <w:color w:val="auto"/>
              </w:rPr>
            </w:pPr>
          </w:p>
        </w:tc>
      </w:tr>
      <w:tr>
        <w:trPr>
          <w:trHeight w:val="216"/>
        </w:trPr>
        <w:tc>
          <w:tcPr>
            <w:tcW w:w="10000" w:type="dxa"/>
            <w:vAlign w:val="bottom"/>
          </w:tcPr>
          <w:p>
            <w:pPr>
              <w:jc w:val="center"/>
              <w:ind w:left="1330"/>
              <w:spacing w:after="0"/>
              <w:rPr>
                <w:sz w:val="20"/>
                <w:szCs w:val="20"/>
                <w:color w:val="auto"/>
              </w:rPr>
            </w:pPr>
            <w:r>
              <w:rPr>
                <w:rFonts w:ascii="Arial" w:cs="Arial" w:eastAsia="Arial" w:hAnsi="Arial"/>
                <w:sz w:val="18"/>
                <w:szCs w:val="18"/>
                <w:color w:val="auto"/>
                <w:w w:val="89"/>
              </w:rPr>
              <w:t>7 Rue du Gabian</w:t>
            </w:r>
          </w:p>
        </w:tc>
        <w:tc>
          <w:tcPr>
            <w:tcW w:w="1460" w:type="dxa"/>
            <w:vAlign w:val="bottom"/>
          </w:tcPr>
          <w:p>
            <w:pPr>
              <w:spacing w:after="0"/>
              <w:rPr>
                <w:sz w:val="18"/>
                <w:szCs w:val="18"/>
                <w:color w:val="auto"/>
              </w:rPr>
            </w:pPr>
          </w:p>
        </w:tc>
      </w:tr>
      <w:tr>
        <w:trPr>
          <w:trHeight w:val="216"/>
        </w:trPr>
        <w:tc>
          <w:tcPr>
            <w:tcW w:w="10000" w:type="dxa"/>
            <w:vAlign w:val="bottom"/>
          </w:tcPr>
          <w:p>
            <w:pPr>
              <w:jc w:val="center"/>
              <w:ind w:left="1330"/>
              <w:spacing w:after="0"/>
              <w:rPr>
                <w:sz w:val="20"/>
                <w:szCs w:val="20"/>
                <w:color w:val="auto"/>
              </w:rPr>
            </w:pPr>
            <w:r>
              <w:rPr>
                <w:rFonts w:ascii="Arial" w:cs="Arial" w:eastAsia="Arial" w:hAnsi="Arial"/>
                <w:sz w:val="18"/>
                <w:szCs w:val="18"/>
                <w:color w:val="auto"/>
                <w:w w:val="92"/>
              </w:rPr>
              <w:t>MC 98000, Monaco</w:t>
            </w:r>
          </w:p>
        </w:tc>
        <w:tc>
          <w:tcPr>
            <w:tcW w:w="1460" w:type="dxa"/>
            <w:vAlign w:val="bottom"/>
          </w:tcPr>
          <w:p>
            <w:pPr>
              <w:spacing w:after="0"/>
              <w:rPr>
                <w:sz w:val="18"/>
                <w:szCs w:val="18"/>
                <w:color w:val="auto"/>
              </w:rPr>
            </w:pPr>
          </w:p>
        </w:tc>
      </w:tr>
      <w:tr>
        <w:trPr>
          <w:trHeight w:val="230"/>
        </w:trPr>
        <w:tc>
          <w:tcPr>
            <w:tcW w:w="1000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w:t>
            </w:r>
          </w:p>
        </w:tc>
        <w:tc>
          <w:tcPr>
            <w:tcW w:w="1460" w:type="dxa"/>
            <w:vAlign w:val="bottom"/>
          </w:tcPr>
          <w:p>
            <w:pPr>
              <w:spacing w:after="0"/>
              <w:rPr>
                <w:sz w:val="20"/>
                <w:szCs w:val="20"/>
                <w:color w:val="auto"/>
              </w:rPr>
            </w:pP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60" w:type="dxa"/>
            <w:vAlign w:val="bottom"/>
          </w:tcPr>
          <w:p>
            <w:pPr>
              <w:spacing w:after="0"/>
              <w:rPr>
                <w:sz w:val="24"/>
                <w:szCs w:val="24"/>
                <w:color w:val="auto"/>
              </w:rPr>
            </w:pPr>
          </w:p>
        </w:tc>
      </w:tr>
      <w:tr>
        <w:trPr>
          <w:trHeight w:val="452"/>
        </w:trPr>
        <w:tc>
          <w:tcPr>
            <w:tcW w:w="100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60" w:type="dxa"/>
            <w:vAlign w:val="bottom"/>
          </w:tcPr>
          <w:p>
            <w:pPr>
              <w:spacing w:after="0"/>
              <w:rPr>
                <w:sz w:val="24"/>
                <w:szCs w:val="24"/>
                <w:color w:val="auto"/>
              </w:rPr>
            </w:pPr>
          </w:p>
        </w:tc>
      </w:tr>
      <w:tr>
        <w:trPr>
          <w:trHeight w:val="412"/>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60" w:type="dxa"/>
            <w:vAlign w:val="bottom"/>
          </w:tcPr>
          <w:p>
            <w:pPr>
              <w:ind w:left="1040"/>
              <w:spacing w:after="0"/>
              <w:rPr>
                <w:sz w:val="20"/>
                <w:szCs w:val="20"/>
                <w:color w:val="auto"/>
              </w:rPr>
            </w:pPr>
            <w:r>
              <w:rPr>
                <w:rFonts w:ascii="Arial" w:cs="Arial" w:eastAsia="Arial" w:hAnsi="Arial"/>
                <w:sz w:val="18"/>
                <w:szCs w:val="18"/>
                <w:color w:val="auto"/>
              </w:rPr>
              <w:t>o</w:t>
            </w: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60" w:type="dxa"/>
            <w:vAlign w:val="bottom"/>
          </w:tcPr>
          <w:p>
            <w:pPr>
              <w:ind w:left="1040"/>
              <w:spacing w:after="0"/>
              <w:rPr>
                <w:sz w:val="20"/>
                <w:szCs w:val="20"/>
                <w:color w:val="auto"/>
              </w:rPr>
            </w:pPr>
            <w:r>
              <w:rPr>
                <w:rFonts w:ascii="Arial" w:cs="Arial" w:eastAsia="Arial" w:hAnsi="Arial"/>
                <w:sz w:val="18"/>
                <w:szCs w:val="18"/>
                <w:color w:val="auto"/>
              </w:rPr>
              <w:t>o</w:t>
            </w:r>
          </w:p>
        </w:tc>
      </w:tr>
      <w:tr>
        <w:trPr>
          <w:trHeight w:val="348"/>
        </w:trPr>
        <w:tc>
          <w:tcPr>
            <w:tcW w:w="100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83"/>
        <w:spacing w:after="0" w:line="277" w:lineRule="auto"/>
        <w:rPr>
          <w:sz w:val="20"/>
          <w:szCs w:val="20"/>
          <w:color w:val="auto"/>
        </w:rPr>
      </w:pPr>
      <w:r>
        <w:rPr>
          <w:rFonts w:ascii="Arial" w:cs="Arial" w:eastAsia="Arial" w:hAnsi="Arial"/>
          <w:sz w:val="18"/>
          <w:szCs w:val="18"/>
          <w:color w:val="auto"/>
        </w:rPr>
        <w:t>The press release issued by GasLog Ltd on December 26, 2018 announcing two further long-term charters with Cheniere and placing of newbuilding orders at Samsung Heavy Industries is attached hereto as Exhibit 99.1.</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120"/>
        <w:spacing w:after="0"/>
        <w:tabs>
          <w:tab w:leader="none" w:pos="656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5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GasLog Ltd. Announces Two Further Long-Term Charters With Cheniere And Places Newbuilding Orders At Samsung Heavy Industries</w:t>
      </w:r>
    </w:p>
    <w:p>
      <w:pPr>
        <w:spacing w:after="0" w:line="200" w:lineRule="exact"/>
        <w:rPr>
          <w:sz w:val="20"/>
          <w:szCs w:val="20"/>
          <w:color w:val="auto"/>
        </w:rPr>
      </w:pPr>
    </w:p>
    <w:p>
      <w:pPr>
        <w:spacing w:after="0" w:line="25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Monaco, December 26, 2018 - </w:t>
      </w:r>
      <w:r>
        <w:rPr>
          <w:rFonts w:ascii="Arial" w:cs="Arial" w:eastAsia="Arial" w:hAnsi="Arial"/>
          <w:sz w:val="18"/>
          <w:szCs w:val="18"/>
          <w:color w:val="auto"/>
        </w:rPr>
        <w:t>GasLog Ltd. (“GasLog”) (NYSE:GLOG) is pleased to announce that, as referenced in the GasLog press release of August 20,</w:t>
      </w:r>
      <w:r>
        <w:rPr>
          <w:rFonts w:ascii="Arial" w:cs="Arial" w:eastAsia="Arial" w:hAnsi="Arial"/>
          <w:sz w:val="18"/>
          <w:szCs w:val="18"/>
          <w:b w:val="1"/>
          <w:bCs w:val="1"/>
          <w:color w:val="auto"/>
        </w:rPr>
        <w:t xml:space="preserve"> </w:t>
      </w:r>
      <w:r>
        <w:rPr>
          <w:rFonts w:ascii="Arial" w:cs="Arial" w:eastAsia="Arial" w:hAnsi="Arial"/>
          <w:sz w:val="18"/>
          <w:szCs w:val="18"/>
          <w:color w:val="auto"/>
        </w:rPr>
        <w:t>2018, Cheniere Marketing International, LLP has exercised its option for two new charter party agreements each for a firm period of seven years. To fulfil the Charters, two LNG carriers have been ordered from Samsung Heavy Industries in South Korea.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34 LNG carriers (including 25 ships on the water and nine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0000FF"/>
        </w:rPr>
        <w:t>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2019-12-08T01:25:01Z</dcterms:created>
  <dcterms:modified xsi:type="dcterms:W3CDTF">2019-12-08T01:25:01Z</dcterms:modified>
</cp:coreProperties>
</file>