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January 2018</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001-35466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Ltd</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Gildo Pastor Center</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116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7"/>
          <w:szCs w:val="17"/>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right="420" w:firstLine="376"/>
        <w:spacing w:after="0" w:line="277" w:lineRule="auto"/>
        <w:rPr>
          <w:sz w:val="20"/>
          <w:szCs w:val="20"/>
          <w:color w:val="auto"/>
        </w:rPr>
      </w:pPr>
      <w:r>
        <w:rPr>
          <w:rFonts w:ascii="Arial" w:cs="Arial" w:eastAsia="Arial" w:hAnsi="Arial"/>
          <w:sz w:val="18"/>
          <w:szCs w:val="18"/>
          <w:color w:val="auto"/>
        </w:rPr>
        <w:t>The press release issued by GasLog Ltd on January 2, 2018 announcing the placing of a newbuilding order at Samsung Heavy Industries is attached hereto as Exhibit 99.1.</w:t>
      </w:r>
    </w:p>
    <w:p>
      <w:pPr>
        <w:spacing w:after="0" w:line="17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4"/>
          <w:szCs w:val="24"/>
          <w:color w:val="auto"/>
        </w:rPr>
      </w:pPr>
    </w:p>
    <w:p>
      <w:pPr>
        <w:ind w:right="260" w:firstLine="772"/>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419"/>
              <w:spacing w:after="0"/>
              <w:rPr>
                <w:sz w:val="20"/>
                <w:szCs w:val="20"/>
                <w:color w:val="auto"/>
              </w:rPr>
            </w:pPr>
            <w:r>
              <w:rPr>
                <w:rFonts w:ascii="Arial" w:cs="Arial" w:eastAsia="Arial" w:hAnsi="Arial"/>
                <w:sz w:val="18"/>
                <w:szCs w:val="18"/>
                <w:color w:val="auto"/>
              </w:rPr>
              <w:t>EXHIBIT LIST</w:t>
            </w:r>
          </w:p>
        </w:tc>
        <w:tc>
          <w:tcPr>
            <w:tcW w:w="40" w:type="dxa"/>
            <w:vAlign w:val="bottom"/>
          </w:tcPr>
          <w:p>
            <w:pPr>
              <w:spacing w:after="0"/>
              <w:rPr>
                <w:sz w:val="20"/>
                <w:szCs w:val="20"/>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Dated January 2, 2018</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January 2, 2018</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GASLOG LTD</w:t>
      </w:r>
    </w:p>
    <w:p>
      <w:pPr>
        <w:spacing w:after="0" w:line="225" w:lineRule="exact"/>
        <w:rPr>
          <w:sz w:val="24"/>
          <w:szCs w:val="24"/>
          <w:color w:val="auto"/>
        </w:rPr>
      </w:pPr>
    </w:p>
    <w:p>
      <w:pPr>
        <w:ind w:left="612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Paul A. Wogan</w:t>
      </w:r>
    </w:p>
    <w:p>
      <w:pPr>
        <w:spacing w:after="0" w:line="23" w:lineRule="exact"/>
        <w:rPr>
          <w:sz w:val="24"/>
          <w:szCs w:val="24"/>
          <w:color w:val="auto"/>
        </w:rPr>
      </w:pPr>
    </w:p>
    <w:tbl>
      <w:tblPr>
        <w:tblLayout w:type="fixed"/>
        <w:tblInd w:w="648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Paul A. Wogan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44" w:right="199" w:bottom="154" w:gutter="0" w:footer="0" w:header="0"/>
        </w:sectPr>
      </w:pPr>
    </w:p>
    <w:bookmarkStart w:id="1" w:name="page2"/>
    <w:bookmarkEnd w:id="1"/>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Places a Newbuilding Order at Samsung Heavy Industries</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Monaco — January 2, 2018 </w:t>
      </w:r>
      <w:r>
        <w:rPr>
          <w:rFonts w:ascii="Arial" w:cs="Arial" w:eastAsia="Arial" w:hAnsi="Arial"/>
          <w:sz w:val="18"/>
          <w:szCs w:val="18"/>
          <w:color w:val="auto"/>
        </w:rPr>
        <w:t>- GasLog Ltd. (“GasLog”, NYSE: GLOG), an international owner, operator and manager of liquefied natural gas (“LNG”)</w:t>
      </w:r>
      <w:r>
        <w:rPr>
          <w:rFonts w:ascii="Arial" w:cs="Arial" w:eastAsia="Arial" w:hAnsi="Arial"/>
          <w:sz w:val="18"/>
          <w:szCs w:val="18"/>
          <w:b w:val="1"/>
          <w:bCs w:val="1"/>
          <w:color w:val="auto"/>
        </w:rPr>
        <w:t xml:space="preserve"> </w:t>
      </w:r>
      <w:r>
        <w:rPr>
          <w:rFonts w:ascii="Arial" w:cs="Arial" w:eastAsia="Arial" w:hAnsi="Arial"/>
          <w:sz w:val="18"/>
          <w:szCs w:val="18"/>
          <w:color w:val="auto"/>
        </w:rPr>
        <w:t>carriers, today announces that it has ordered a newbuild 180,000 cubic meter vessel with XDF propulsion from Samsung Heavy Industries (“Samsung”) that is scheduled to deliver in the third quarter of 2019. This vessel is currently unchartered but its early delivery means that it is expected to deliver into a strong LNG shipping market.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Paul Wogan, Chief Executive Officer of GasLog Ltd., commented, “I am very pleased to announce this expansion in our fleet. We have secured this vessel at</w:t>
      </w:r>
    </w:p>
    <w:p>
      <w:pPr>
        <w:spacing w:after="0" w:line="46" w:lineRule="exact"/>
        <w:rPr>
          <w:sz w:val="20"/>
          <w:szCs w:val="20"/>
          <w:color w:val="auto"/>
        </w:rPr>
      </w:pPr>
    </w:p>
    <w:p>
      <w:pPr>
        <w:ind w:right="180" w:firstLine="8"/>
        <w:spacing w:after="0" w:line="255" w:lineRule="auto"/>
        <w:tabs>
          <w:tab w:leader="none" w:pos="170" w:val="left"/>
        </w:tabs>
        <w:numPr>
          <w:ilvl w:val="0"/>
          <w:numId w:val="1"/>
        </w:numPr>
        <w:rPr>
          <w:rFonts w:ascii="Arial" w:cs="Arial" w:eastAsia="Arial" w:hAnsi="Arial"/>
          <w:sz w:val="18"/>
          <w:szCs w:val="18"/>
          <w:color w:val="auto"/>
        </w:rPr>
      </w:pPr>
      <w:r>
        <w:rPr>
          <w:rFonts w:ascii="Arial" w:cs="Arial" w:eastAsia="Arial" w:hAnsi="Arial"/>
          <w:sz w:val="18"/>
          <w:szCs w:val="18"/>
          <w:color w:val="auto"/>
        </w:rPr>
        <w:t>very attractive cost and she will be equipped with the latest propulsion and cargo containment technology which will result in highly competitive unit freight costs. The vessel is expected to deliver into a strong LNG shipping market which, according to our estimates, will be short of capacity by the winter of 2019/2020.”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7" w:lineRule="exact"/>
        <w:rPr>
          <w:sz w:val="20"/>
          <w:szCs w:val="20"/>
          <w:color w:val="auto"/>
        </w:rPr>
      </w:pPr>
    </w:p>
    <w:p>
      <w:pPr>
        <w:ind w:right="560"/>
        <w:spacing w:after="0" w:line="254" w:lineRule="auto"/>
        <w:rPr>
          <w:sz w:val="20"/>
          <w:szCs w:val="20"/>
          <w:color w:val="auto"/>
        </w:rPr>
      </w:pPr>
      <w:r>
        <w:rPr>
          <w:rFonts w:ascii="Arial" w:cs="Arial" w:eastAsia="Arial" w:hAnsi="Arial"/>
          <w:sz w:val="18"/>
          <w:szCs w:val="18"/>
          <w:color w:val="auto"/>
        </w:rPr>
        <w:t>GasLog is an international owner, operator and manager of LNG carriers. GasLog’s fully-owned fleet includes 15 LNG carriers (including 10 ships in operation and 5 LNG carriers on order) and GasLog. GasLog Partners LP, a master limited partnership formed by GasLog, owns a further twelve LNG carriers. GasLog’s principal executive offices are at Gildo Pastor Center, 7 Rue du Gabian, MC 98000, Monaco. GasLog’s website is http://www.gaslogltd.com.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 —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 — Deputy Head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+1 212 223 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140" w:right="260" w:hanging="132"/>
        <w:spacing w:after="0" w:line="258" w:lineRule="auto"/>
        <w:tabs>
          <w:tab w:leader="none" w:pos="109"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and technological advancements;</w:t>
      </w:r>
    </w:p>
    <w:p>
      <w:pPr>
        <w:spacing w:after="0" w:line="1" w:lineRule="exact"/>
        <w:rPr>
          <w:rFonts w:ascii="Arial" w:cs="Arial" w:eastAsia="Arial" w:hAnsi="Arial"/>
          <w:sz w:val="18"/>
          <w:szCs w:val="18"/>
          <w:color w:val="auto"/>
        </w:rPr>
      </w:pPr>
    </w:p>
    <w:p>
      <w:pPr>
        <w:ind w:left="100" w:hanging="92"/>
        <w:spacing w:after="0"/>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140" w:right="60" w:hanging="132"/>
        <w:spacing w:after="0" w:line="250" w:lineRule="auto"/>
        <w:tabs>
          <w:tab w:leader="none" w:pos="109"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140" w:right="220" w:hanging="132"/>
        <w:spacing w:after="0" w:line="250" w:lineRule="auto"/>
        <w:tabs>
          <w:tab w:leader="none" w:pos="109"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ind w:left="100" w:hanging="92"/>
        <w:spacing w:after="0"/>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not under time charter commitments;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6" w:lineRule="exact"/>
        <w:rPr>
          <w:rFonts w:ascii="Arial" w:cs="Arial" w:eastAsia="Arial" w:hAnsi="Arial"/>
          <w:sz w:val="18"/>
          <w:szCs w:val="18"/>
          <w:color w:val="auto"/>
        </w:rPr>
      </w:pPr>
    </w:p>
    <w:p>
      <w:pPr>
        <w:ind w:left="140" w:right="220" w:hanging="132"/>
        <w:spacing w:after="0" w:line="258" w:lineRule="auto"/>
        <w:tabs>
          <w:tab w:leader="none" w:pos="10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100" w:hanging="92"/>
        <w:spacing w:after="0"/>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of skilled labor, ship crews and management;</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140" w:right="80" w:hanging="132"/>
        <w:spacing w:after="0" w:line="250" w:lineRule="auto"/>
        <w:tabs>
          <w:tab w:leader="none" w:pos="109"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140" w:right="1120" w:hanging="132"/>
        <w:spacing w:after="0" w:line="261" w:lineRule="auto"/>
        <w:tabs>
          <w:tab w:leader="none" w:pos="109"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described in the Company’s Annual Report on Form 20-F filed with the SEC on March 14, 2016 and available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-1771015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4"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ectPr>
          <w:pgSz w:w="11900" w:h="16860" w:orient="portrait"/>
          <w:cols w:equalWidth="0" w:num="1">
            <w:col w:w="11420"/>
          </w:cols>
          <w:pgMar w:left="240" w:top="121" w:right="239" w:bottom="0" w:gutter="0" w:footer="0" w:header="0"/>
        </w:sectPr>
      </w:pPr>
    </w:p>
    <w:bookmarkStart w:id="2" w:name="page3"/>
    <w:bookmarkEnd w:id="2"/>
    <w:p>
      <w:pPr>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160"/>
      </w:cols>
      <w:pgMar w:left="240" w:top="34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a"/>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2019-12-08T00:51:53Z</dcterms:created>
  <dcterms:modified xsi:type="dcterms:W3CDTF">2019-12-08T00:51:53Z</dcterms:modified>
</cp:coreProperties>
</file>