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May 2022</w:t>
            </w:r>
          </w:p>
        </w:tc>
        <w:tc>
          <w:tcPr>
            <w:tcW w:w="1920" w:type="dxa"/>
            <w:vAlign w:val="bottom"/>
          </w:tcPr>
          <w:p>
            <w:pPr>
              <w:spacing w:after="0"/>
              <w:rPr>
                <w:sz w:val="20"/>
                <w:szCs w:val="20"/>
                <w:color w:val="auto"/>
              </w:rPr>
            </w:pPr>
          </w:p>
        </w:tc>
      </w:tr>
      <w:tr>
        <w:trPr>
          <w:trHeight w:val="432"/>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1920" w:type="dxa"/>
            <w:vAlign w:val="bottom"/>
          </w:tcPr>
          <w:p>
            <w:pPr>
              <w:spacing w:after="0"/>
              <w:rPr>
                <w:sz w:val="24"/>
                <w:szCs w:val="24"/>
                <w:color w:val="auto"/>
              </w:rPr>
            </w:pPr>
          </w:p>
        </w:tc>
      </w:tr>
      <w:tr>
        <w:trPr>
          <w:trHeight w:val="414"/>
        </w:trPr>
        <w:tc>
          <w:tcPr>
            <w:tcW w:w="93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1920" w:type="dxa"/>
            <w:vAlign w:val="bottom"/>
          </w:tcPr>
          <w:p>
            <w:pPr>
              <w:spacing w:after="0"/>
              <w:rPr>
                <w:sz w:val="24"/>
                <w:szCs w:val="24"/>
                <w:color w:val="auto"/>
              </w:rPr>
            </w:pPr>
          </w:p>
        </w:tc>
      </w:tr>
      <w:tr>
        <w:trPr>
          <w:trHeight w:val="234"/>
        </w:trPr>
        <w:tc>
          <w:tcPr>
            <w:tcW w:w="93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920" w:type="dxa"/>
            <w:vAlign w:val="bottom"/>
          </w:tcPr>
          <w:p>
            <w:pPr>
              <w:spacing w:after="0"/>
              <w:rPr>
                <w:sz w:val="20"/>
                <w:szCs w:val="20"/>
                <w:color w:val="auto"/>
              </w:rPr>
            </w:pPr>
          </w:p>
        </w:tc>
      </w:tr>
      <w:tr>
        <w:trPr>
          <w:trHeight w:val="414"/>
        </w:trPr>
        <w:tc>
          <w:tcPr>
            <w:tcW w:w="93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920" w:type="dxa"/>
            <w:vAlign w:val="bottom"/>
          </w:tcPr>
          <w:p>
            <w:pPr>
              <w:spacing w:after="0"/>
              <w:rPr>
                <w:sz w:val="24"/>
                <w:szCs w:val="24"/>
                <w:color w:val="auto"/>
              </w:rPr>
            </w:pPr>
          </w:p>
        </w:tc>
      </w:tr>
      <w:tr>
        <w:trPr>
          <w:trHeight w:val="216"/>
        </w:trPr>
        <w:tc>
          <w:tcPr>
            <w:tcW w:w="932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1920" w:type="dxa"/>
            <w:vAlign w:val="bottom"/>
          </w:tcPr>
          <w:p>
            <w:pPr>
              <w:spacing w:after="0"/>
              <w:rPr>
                <w:sz w:val="18"/>
                <w:szCs w:val="18"/>
                <w:color w:val="auto"/>
              </w:rPr>
            </w:pPr>
          </w:p>
        </w:tc>
      </w:tr>
      <w:tr>
        <w:trPr>
          <w:trHeight w:val="216"/>
        </w:trPr>
        <w:tc>
          <w:tcPr>
            <w:tcW w:w="93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Piraeus, Greece</w:t>
            </w:r>
          </w:p>
        </w:tc>
        <w:tc>
          <w:tcPr>
            <w:tcW w:w="1920" w:type="dxa"/>
            <w:vAlign w:val="bottom"/>
          </w:tcPr>
          <w:p>
            <w:pPr>
              <w:spacing w:after="0"/>
              <w:rPr>
                <w:sz w:val="18"/>
                <w:szCs w:val="18"/>
                <w:color w:val="auto"/>
              </w:rPr>
            </w:pPr>
          </w:p>
        </w:tc>
      </w:tr>
      <w:tr>
        <w:trPr>
          <w:trHeight w:val="234"/>
        </w:trPr>
        <w:tc>
          <w:tcPr>
            <w:tcW w:w="932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920" w:type="dxa"/>
            <w:vAlign w:val="bottom"/>
          </w:tcPr>
          <w:p>
            <w:pPr>
              <w:spacing w:after="0"/>
              <w:rPr>
                <w:sz w:val="20"/>
                <w:szCs w:val="20"/>
                <w:color w:val="auto"/>
              </w:rPr>
            </w:pPr>
          </w:p>
        </w:tc>
      </w:tr>
      <w:tr>
        <w:trPr>
          <w:trHeight w:val="432"/>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920" w:type="dxa"/>
            <w:vAlign w:val="bottom"/>
          </w:tcPr>
          <w:p>
            <w:pPr>
              <w:spacing w:after="0"/>
              <w:rPr>
                <w:sz w:val="24"/>
                <w:szCs w:val="24"/>
                <w:color w:val="auto"/>
              </w:rPr>
            </w:pPr>
          </w:p>
        </w:tc>
      </w:tr>
      <w:tr>
        <w:trPr>
          <w:trHeight w:val="452"/>
        </w:trPr>
        <w:tc>
          <w:tcPr>
            <w:tcW w:w="93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o</w:t>
            </w:r>
          </w:p>
        </w:tc>
        <w:tc>
          <w:tcPr>
            <w:tcW w:w="1920" w:type="dxa"/>
            <w:vAlign w:val="bottom"/>
          </w:tcPr>
          <w:p>
            <w:pPr>
              <w:spacing w:after="0"/>
              <w:rPr>
                <w:sz w:val="24"/>
                <w:szCs w:val="24"/>
                <w:color w:val="auto"/>
              </w:rPr>
            </w:pPr>
          </w:p>
        </w:tc>
      </w:tr>
      <w:tr>
        <w:trPr>
          <w:trHeight w:val="432"/>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628"/>
        </w:trPr>
        <w:tc>
          <w:tcPr>
            <w:tcW w:w="9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jc w:val="center"/>
        <w:ind w:right="-359"/>
        <w:spacing w:after="0"/>
        <w:rPr>
          <w:sz w:val="20"/>
          <w:szCs w:val="20"/>
          <w:color w:val="auto"/>
        </w:rPr>
      </w:pPr>
      <w:r>
        <w:rPr>
          <w:rFonts w:ascii="Times New Roman" w:cs="Times New Roman" w:eastAsia="Times New Roman" w:hAnsi="Times New Roman"/>
          <w:sz w:val="16"/>
          <w:szCs w:val="16"/>
          <w:color w:val="auto"/>
        </w:rPr>
        <w:t>The press release issued by GasLog Ltd. on May 11, 2022, relating to its results for the three-month period ended March 31, 2022, is attached hereto as Exhibit 99.1.</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May 11, 2022</w:t>
      </w:r>
    </w:p>
    <w:p>
      <w:pPr>
        <w:spacing w:after="0" w:line="2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9" w:right="51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5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11, 2022</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6100"/>
        <w:spacing w:after="0"/>
        <w:tabs>
          <w:tab w:leader="none" w:pos="64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46" w:lineRule="exact"/>
        <w:rPr>
          <w:sz w:val="20"/>
          <w:szCs w:val="20"/>
          <w:color w:val="auto"/>
        </w:rPr>
      </w:pPr>
    </w:p>
    <w:p>
      <w:pPr>
        <w:ind w:left="6420"/>
        <w:spacing w:after="0"/>
        <w:tabs>
          <w:tab w:leader="none" w:pos="7020" w:val="left"/>
        </w:tabs>
        <w:rPr>
          <w:sz w:val="20"/>
          <w:szCs w:val="20"/>
          <w:color w:val="auto"/>
        </w:rPr>
      </w:pPr>
      <w:r>
        <w:rPr>
          <w:rFonts w:ascii="Times New Roman" w:cs="Times New Roman" w:eastAsia="Times New Roman" w:hAnsi="Times New Roman"/>
          <w:sz w:val="16"/>
          <w:szCs w:val="16"/>
          <w:color w:val="auto"/>
        </w:rPr>
        <w:t>Name:</w:t>
        <w:tab/>
        <w:t>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-116205</wp:posOffset>
            </wp:positionV>
            <wp:extent cx="3060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6" w:lineRule="exact"/>
        <w:rPr>
          <w:sz w:val="20"/>
          <w:szCs w:val="20"/>
          <w:color w:val="auto"/>
        </w:rPr>
      </w:pPr>
    </w:p>
    <w:p>
      <w:pPr>
        <w:ind w:left="6420"/>
        <w:spacing w:after="0"/>
        <w:tabs>
          <w:tab w:leader="none" w:pos="70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Ltd. Reports Financial Results for the Three-Month Period Ended March 31, 2022</w:t>
      </w:r>
    </w:p>
    <w:p>
      <w:pPr>
        <w:spacing w:after="0" w:line="221"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Hamilton, Bermuda, May 11, 2022, GasLog Ltd. and its subsidiaries (“GasLog”, “Group” or “Company”) (NYSE: GLOG-PA)</w:t>
      </w:r>
      <w:r>
        <w:rPr>
          <w:rFonts w:ascii="Times New Roman" w:cs="Times New Roman" w:eastAsia="Times New Roman" w:hAnsi="Times New Roman"/>
          <w:sz w:val="16"/>
          <w:szCs w:val="16"/>
          <w:color w:val="auto"/>
        </w:rPr>
        <w:t>, an international owner, operator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manager of liquefied natural gas (“LNG”) carriers, today reported its financial results for the quarter ended March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Gastrade S.A. (“Gastrade”) Final Investment Decision (“FID”)</w:t>
      </w:r>
    </w:p>
    <w:p>
      <w:pPr>
        <w:spacing w:after="0" w:line="221" w:lineRule="exact"/>
        <w:rPr>
          <w:sz w:val="20"/>
          <w:szCs w:val="20"/>
          <w:color w:val="auto"/>
        </w:rPr>
      </w:pPr>
    </w:p>
    <w:p>
      <w:pPr>
        <w:ind w:right="280" w:firstLine="401"/>
        <w:spacing w:after="0" w:line="282" w:lineRule="auto"/>
        <w:rPr>
          <w:sz w:val="20"/>
          <w:szCs w:val="20"/>
          <w:color w:val="auto"/>
        </w:rPr>
      </w:pPr>
      <w:r>
        <w:rPr>
          <w:rFonts w:ascii="Times New Roman" w:cs="Times New Roman" w:eastAsia="Times New Roman" w:hAnsi="Times New Roman"/>
          <w:sz w:val="16"/>
          <w:szCs w:val="16"/>
          <w:color w:val="auto"/>
        </w:rPr>
        <w:t xml:space="preserve">On February 3, 2022, GasLog, through its subsidiary GAS-fifteen Ltd., issued a Final Notice to Proceed to Keppel Shipyard Ltd. to convert the </w:t>
      </w:r>
      <w:r>
        <w:rPr>
          <w:rFonts w:ascii="Times New Roman" w:cs="Times New Roman" w:eastAsia="Times New Roman" w:hAnsi="Times New Roman"/>
          <w:sz w:val="16"/>
          <w:szCs w:val="16"/>
          <w:i w:val="1"/>
          <w:iCs w:val="1"/>
          <w:color w:val="auto"/>
        </w:rPr>
        <w:t>GasLog Chelsea</w:t>
      </w:r>
      <w:r>
        <w:rPr>
          <w:rFonts w:ascii="Times New Roman" w:cs="Times New Roman" w:eastAsia="Times New Roman" w:hAnsi="Times New Roman"/>
          <w:sz w:val="16"/>
          <w:szCs w:val="16"/>
          <w:color w:val="auto"/>
        </w:rPr>
        <w:t>, a 153,600 cubic meters (“cbm”) tri-fuel diesel electric propulsion (“TFDE”) LNG carrier built in 2010, into a Floating Storage and Regasification Unit (“FSRU”) in connection with the FID taken by Gastrade for the construction of a regasification terminal in Alexandroupolis.</w:t>
      </w:r>
    </w:p>
    <w:p>
      <w:pPr>
        <w:spacing w:after="0" w:line="161" w:lineRule="exact"/>
        <w:rPr>
          <w:sz w:val="20"/>
          <w:szCs w:val="20"/>
          <w:color w:val="auto"/>
        </w:rPr>
      </w:pPr>
    </w:p>
    <w:p>
      <w:pPr>
        <w:ind w:right="20" w:firstLine="401"/>
        <w:spacing w:after="0" w:line="282" w:lineRule="auto"/>
        <w:rPr>
          <w:sz w:val="20"/>
          <w:szCs w:val="20"/>
          <w:color w:val="auto"/>
        </w:rPr>
      </w:pPr>
      <w:r>
        <w:rPr>
          <w:rFonts w:ascii="Times New Roman" w:cs="Times New Roman" w:eastAsia="Times New Roman" w:hAnsi="Times New Roman"/>
          <w:sz w:val="16"/>
          <w:szCs w:val="16"/>
          <w:color w:val="auto"/>
        </w:rPr>
        <w:t xml:space="preserve">On February 2, 2022, GasLog entered into an agreement for the sale of the </w:t>
      </w:r>
      <w:r>
        <w:rPr>
          <w:rFonts w:ascii="Times New Roman" w:cs="Times New Roman" w:eastAsia="Times New Roman" w:hAnsi="Times New Roman"/>
          <w:sz w:val="16"/>
          <w:szCs w:val="16"/>
          <w:i w:val="1"/>
          <w:iCs w:val="1"/>
          <w:color w:val="auto"/>
        </w:rPr>
        <w:t>GasLog Chelsea</w:t>
      </w:r>
      <w:r>
        <w:rPr>
          <w:rFonts w:ascii="Times New Roman" w:cs="Times New Roman" w:eastAsia="Times New Roman" w:hAnsi="Times New Roman"/>
          <w:sz w:val="16"/>
          <w:szCs w:val="16"/>
          <w:color w:val="auto"/>
        </w:rPr>
        <w:t xml:space="preserve"> to Gastrade for $265.1 million, payable in installments, following its conversion to an FSRU expected to be completed by the fourth quarter of 2023. Following the signing of this agreement, as of March 31, 2022, the vessel was remeasured at the lower of its carrying amount and its fair value less costs to sell, and a non-cash impairment loss of $19.4 million was recorded.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Sale and Lease-Back Arrangement</w:t>
      </w:r>
    </w:p>
    <w:p>
      <w:pPr>
        <w:spacing w:after="0" w:line="221" w:lineRule="exact"/>
        <w:rPr>
          <w:sz w:val="20"/>
          <w:szCs w:val="20"/>
          <w:color w:val="auto"/>
        </w:rPr>
      </w:pPr>
    </w:p>
    <w:p>
      <w:pPr>
        <w:ind w:right="60" w:firstLine="383"/>
        <w:spacing w:after="0" w:line="276" w:lineRule="auto"/>
        <w:rPr>
          <w:sz w:val="20"/>
          <w:szCs w:val="20"/>
          <w:color w:val="auto"/>
        </w:rPr>
      </w:pPr>
      <w:r>
        <w:rPr>
          <w:rFonts w:ascii="Times New Roman" w:cs="Times New Roman" w:eastAsia="Times New Roman" w:hAnsi="Times New Roman"/>
          <w:sz w:val="16"/>
          <w:szCs w:val="16"/>
          <w:color w:val="auto"/>
        </w:rPr>
        <w:t xml:space="preserve">On March 28, 2022, GasLog completed the sale and lease-back of the </w:t>
      </w:r>
      <w:r>
        <w:rPr>
          <w:rFonts w:ascii="Times New Roman" w:cs="Times New Roman" w:eastAsia="Times New Roman" w:hAnsi="Times New Roman"/>
          <w:sz w:val="16"/>
          <w:szCs w:val="16"/>
          <w:i w:val="1"/>
          <w:iCs w:val="1"/>
          <w:color w:val="auto"/>
        </w:rPr>
        <w:t>GasLog Skagen,</w:t>
      </w:r>
      <w:r>
        <w:rPr>
          <w:rFonts w:ascii="Times New Roman" w:cs="Times New Roman" w:eastAsia="Times New Roman" w:hAnsi="Times New Roman"/>
          <w:sz w:val="16"/>
          <w:szCs w:val="16"/>
          <w:color w:val="auto"/>
        </w:rPr>
        <w:t xml:space="preserve"> a 155,000 cbm TFDE LNG carrier built in 2013, with a wholly owned subsidiary of China Development Bank Leasing (“CDBL”) releasing $21.5 million of incremental net liquidity (net sale proceeds less debt prepayment) to the Group. The vessel was sold and leased back under a bareboat charter with CDBL for a period of five years with no repurchase option or obligation, resulting in the recognition of a non-cash impairment loss of $9.5 million and of loss on disposal of $0.6 million. The vessel remains on its charter with Chevron Asia Pacific Shipping Pte. Ltd. (“Chevron”).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Completion of the Refinancing of 8.875% Senior Notes (the “8.875% Senior Notes”)</w:t>
      </w:r>
    </w:p>
    <w:p>
      <w:pPr>
        <w:spacing w:after="0" w:line="223" w:lineRule="exact"/>
        <w:rPr>
          <w:sz w:val="20"/>
          <w:szCs w:val="20"/>
          <w:color w:val="auto"/>
        </w:rPr>
      </w:pPr>
    </w:p>
    <w:p>
      <w:pPr>
        <w:ind w:right="20" w:firstLine="383"/>
        <w:spacing w:after="0" w:line="271" w:lineRule="auto"/>
        <w:rPr>
          <w:sz w:val="20"/>
          <w:szCs w:val="20"/>
          <w:color w:val="auto"/>
        </w:rPr>
      </w:pPr>
      <w:r>
        <w:rPr>
          <w:rFonts w:ascii="Times New Roman" w:cs="Times New Roman" w:eastAsia="Times New Roman" w:hAnsi="Times New Roman"/>
          <w:sz w:val="16"/>
          <w:szCs w:val="16"/>
          <w:color w:val="auto"/>
        </w:rPr>
        <w:t>On March 21, 2022, GasLog completed the refinancing of the 8.875% Senior Notes (the “Refinancing”) in connection with the Note Purchase Agreement (the “Note Purchase Agreement”) entered into on September 24, 2021 between GasLog and certain affiliates of The Carlyle Group and EIG Management Company, LLC and Wilmington Trust (London) Limited, as administrative agent, for an amount of up to $325.0 million of 7.75% Notes due in 2029 (the “7.75% Notes”). In connection with the Refinancing, GasLog drew down $315.0 million of the 7.75% Notes and used the proceeds to repay the 8.875% Senior Notes at maturity. The Note Purchase Agreement allows for the issuance of additional notes at the Company’s discretion in an amount up to $100.0 million for the purpose of refinancing existing obligations or pursuing new growth opportunities.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New Charter Agreements</w:t>
      </w:r>
    </w:p>
    <w:p>
      <w:pPr>
        <w:spacing w:after="0" w:line="221" w:lineRule="exact"/>
        <w:rPr>
          <w:sz w:val="20"/>
          <w:szCs w:val="20"/>
          <w:color w:val="auto"/>
        </w:rPr>
      </w:pPr>
    </w:p>
    <w:p>
      <w:pPr>
        <w:ind w:right="180" w:firstLine="383"/>
        <w:spacing w:after="0" w:line="276" w:lineRule="auto"/>
        <w:rPr>
          <w:sz w:val="20"/>
          <w:szCs w:val="20"/>
          <w:color w:val="auto"/>
        </w:rPr>
      </w:pPr>
      <w:r>
        <w:rPr>
          <w:rFonts w:ascii="Times New Roman" w:cs="Times New Roman" w:eastAsia="Times New Roman" w:hAnsi="Times New Roman"/>
          <w:sz w:val="16"/>
          <w:szCs w:val="16"/>
          <w:color w:val="auto"/>
        </w:rPr>
        <w:t xml:space="preserve">In the first quarter of 2022, GasLog extended the time charter of the </w:t>
      </w:r>
      <w:r>
        <w:rPr>
          <w:rFonts w:ascii="Times New Roman" w:cs="Times New Roman" w:eastAsia="Times New Roman" w:hAnsi="Times New Roman"/>
          <w:sz w:val="16"/>
          <w:szCs w:val="16"/>
          <w:i w:val="1"/>
          <w:iCs w:val="1"/>
          <w:color w:val="auto"/>
        </w:rPr>
        <w:t>GasLog Salem</w:t>
      </w:r>
      <w:r>
        <w:rPr>
          <w:rFonts w:ascii="Times New Roman" w:cs="Times New Roman" w:eastAsia="Times New Roman" w:hAnsi="Times New Roman"/>
          <w:sz w:val="16"/>
          <w:szCs w:val="16"/>
          <w:color w:val="auto"/>
        </w:rPr>
        <w:t xml:space="preserve"> with a wholly owned subsidiary of Gunvor Group Ltd. (“Gunvor”) for an additional twelve months and signed a new one-year time charter party agreement for the </w:t>
      </w:r>
      <w:r>
        <w:rPr>
          <w:rFonts w:ascii="Times New Roman" w:cs="Times New Roman" w:eastAsia="Times New Roman" w:hAnsi="Times New Roman"/>
          <w:sz w:val="16"/>
          <w:szCs w:val="16"/>
          <w:i w:val="1"/>
          <w:iCs w:val="1"/>
          <w:color w:val="auto"/>
        </w:rPr>
        <w:t>GasLog Singapore</w:t>
      </w:r>
      <w:r>
        <w:rPr>
          <w:rFonts w:ascii="Times New Roman" w:cs="Times New Roman" w:eastAsia="Times New Roman" w:hAnsi="Times New Roman"/>
          <w:sz w:val="16"/>
          <w:szCs w:val="16"/>
          <w:color w:val="auto"/>
        </w:rPr>
        <w:t xml:space="preserve"> with Singapore LNG Corporation Pte. Ltd. (“Singapore LNG Corporation”). GasLog Partners LP (“GasLog Partners” or the “Partnership”) also signed a new multi-month time charter agreement for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with Naturgy Aprovisionamientos S.A. (“Naturgy”).</w:t>
      </w:r>
    </w:p>
    <w:p>
      <w:pPr>
        <w:spacing w:after="0" w:line="168" w:lineRule="exact"/>
        <w:rPr>
          <w:sz w:val="20"/>
          <w:szCs w:val="20"/>
          <w:color w:val="auto"/>
        </w:rPr>
      </w:pPr>
    </w:p>
    <w:p>
      <w:pPr>
        <w:ind w:right="20" w:firstLine="383"/>
        <w:spacing w:after="0" w:line="272" w:lineRule="auto"/>
        <w:rPr>
          <w:sz w:val="20"/>
          <w:szCs w:val="20"/>
          <w:color w:val="auto"/>
        </w:rPr>
      </w:pPr>
      <w:r>
        <w:rPr>
          <w:rFonts w:ascii="Times New Roman" w:cs="Times New Roman" w:eastAsia="Times New Roman" w:hAnsi="Times New Roman"/>
          <w:sz w:val="16"/>
          <w:szCs w:val="16"/>
          <w:color w:val="auto"/>
        </w:rPr>
        <w:t>With respect to the Group’s recent newbuilding orders, a new time charter party agreement was signed with Mitsui &amp; Co., Ltd. (“Mitsui”) for a period of nine years, commencing upon the delivery of the vessel, which is expected to be during the third quarter of 2024 and two new time charter party agreements were signed with Woodside Energy Shipping Singapore Pte Ltd. (“Woodside”) for a period of ten years each, commencing upon the delivery of the respective vessel, currently expected to be during the third and fourth quarter of 2025. In April 2022, a new time charter party agreement was signed with a multinational oil and gas company for a period of seven years, commencing upon delivery of the vessel, which is expected to be during the third quarter of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 Declarations</w:t>
      </w:r>
    </w:p>
    <w:p>
      <w:pPr>
        <w:spacing w:after="0" w:line="223" w:lineRule="exact"/>
        <w:rPr>
          <w:sz w:val="20"/>
          <w:szCs w:val="20"/>
          <w:color w:val="auto"/>
        </w:rPr>
      </w:pPr>
    </w:p>
    <w:p>
      <w:pPr>
        <w:ind w:right="180" w:firstLine="401"/>
        <w:spacing w:after="0" w:line="298" w:lineRule="auto"/>
        <w:rPr>
          <w:sz w:val="20"/>
          <w:szCs w:val="20"/>
          <w:color w:val="auto"/>
        </w:rPr>
      </w:pPr>
      <w:r>
        <w:rPr>
          <w:rFonts w:ascii="Times New Roman" w:cs="Times New Roman" w:eastAsia="Times New Roman" w:hAnsi="Times New Roman"/>
          <w:sz w:val="16"/>
          <w:szCs w:val="16"/>
          <w:color w:val="auto"/>
        </w:rPr>
        <w:t>On March 9, 2022, the board of directors declared a dividend on the Series A Preference Shares of $0.546875 per share, or $2.5 million in the aggregate, payable on April 1, 2022, to holders of record as of March 31, 2022. GasLog paid the declared dividend to the transfer agent on April 1, 2022.</w:t>
      </w:r>
    </w:p>
    <w:p>
      <w:pPr>
        <w:spacing w:after="0" w:line="151" w:lineRule="exact"/>
        <w:rPr>
          <w:sz w:val="20"/>
          <w:szCs w:val="20"/>
          <w:color w:val="auto"/>
        </w:rPr>
      </w:pPr>
    </w:p>
    <w:p>
      <w:pPr>
        <w:ind w:right="160" w:firstLine="405"/>
        <w:spacing w:after="0" w:line="298" w:lineRule="auto"/>
        <w:rPr>
          <w:sz w:val="20"/>
          <w:szCs w:val="20"/>
          <w:color w:val="auto"/>
        </w:rPr>
      </w:pPr>
      <w:r>
        <w:rPr>
          <w:rFonts w:ascii="Times New Roman" w:cs="Times New Roman" w:eastAsia="Times New Roman" w:hAnsi="Times New Roman"/>
          <w:sz w:val="16"/>
          <w:szCs w:val="16"/>
          <w:color w:val="auto"/>
        </w:rPr>
        <w:t>On May 10, 2022, the board of directors declared a quarterly cash dividend of $0.15 per common share, or $14.3 million in the aggregate, payable on May 12, 2022, to shareholders of record as of May 11, 2022.</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 w:name="page5"/>
    <w:bookmarkEnd w:id="4"/>
    <w:p>
      <w:pPr>
        <w:ind w:right="220" w:firstLine="401"/>
        <w:spacing w:after="0" w:line="298" w:lineRule="auto"/>
        <w:rPr>
          <w:sz w:val="20"/>
          <w:szCs w:val="20"/>
          <w:color w:val="auto"/>
        </w:rPr>
      </w:pPr>
      <w:r>
        <w:rPr>
          <w:rFonts w:ascii="Times New Roman" w:cs="Times New Roman" w:eastAsia="Times New Roman" w:hAnsi="Times New Roman"/>
          <w:sz w:val="16"/>
          <w:szCs w:val="16"/>
          <w:color w:val="auto"/>
        </w:rPr>
        <w:t>On May 10, 2022, the board of directors declared a dividend on the Series A Preference Shares of $0.546875 per share, or $2.5 million in the aggregate, payable on July 1, 2022, to holders of record as of June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9"/>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400" w:type="dxa"/>
            <w:vAlign w:val="bottom"/>
          </w:tcPr>
          <w:p>
            <w:pPr>
              <w:spacing w:after="0"/>
              <w:rPr>
                <w:sz w:val="24"/>
                <w:szCs w:val="24"/>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8100" w:type="dxa"/>
            <w:vAlign w:val="bottom"/>
          </w:tcPr>
          <w:p>
            <w:pPr>
              <w:spacing w:after="0"/>
              <w:rPr>
                <w:sz w:val="19"/>
                <w:szCs w:val="19"/>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3"/>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205,327</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213,723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84,244</w:t>
            </w:r>
          </w:p>
        </w:tc>
        <w:tc>
          <w:tcPr>
            <w:tcW w:w="3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71,052</w:t>
            </w:r>
          </w:p>
        </w:tc>
      </w:tr>
      <w:tr>
        <w:trPr>
          <w:trHeight w:val="246"/>
        </w:trPr>
        <w:tc>
          <w:tcPr>
            <w:tcW w:w="8100" w:type="dxa"/>
            <w:vAlign w:val="bottom"/>
            <w:shd w:val="clear" w:color="auto" w:fill="CCEEFF"/>
          </w:tcPr>
          <w:p>
            <w:pPr>
              <w:spacing w:after="0" w:line="24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154,160</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157,533</w:t>
            </w:r>
          </w:p>
        </w:tc>
      </w:tr>
      <w:tr>
        <w:trPr>
          <w:trHeight w:val="355"/>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61,853</w:t>
            </w:r>
          </w:p>
        </w:tc>
        <w:tc>
          <w:tcPr>
            <w:tcW w:w="32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58,034</w:t>
            </w:r>
          </w:p>
        </w:tc>
      </w:tr>
    </w:tbl>
    <w:p>
      <w:pPr>
        <w:spacing w:after="0" w:line="154" w:lineRule="exact"/>
        <w:rPr>
          <w:sz w:val="20"/>
          <w:szCs w:val="20"/>
          <w:color w:val="auto"/>
        </w:rPr>
      </w:pPr>
    </w:p>
    <w:p>
      <w:pPr>
        <w:ind w:left="140" w:right="40" w:hanging="132"/>
        <w:spacing w:after="0" w:line="181" w:lineRule="auto"/>
        <w:tabs>
          <w:tab w:leader="none" w:pos="125"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79" w:lineRule="exact"/>
        <w:rPr>
          <w:sz w:val="20"/>
          <w:szCs w:val="20"/>
          <w:color w:val="auto"/>
        </w:rPr>
      </w:pPr>
    </w:p>
    <w:p>
      <w:pPr>
        <w:ind w:right="80" w:firstLine="383"/>
        <w:spacing w:after="0" w:line="271" w:lineRule="auto"/>
        <w:rPr>
          <w:sz w:val="20"/>
          <w:szCs w:val="20"/>
          <w:color w:val="auto"/>
        </w:rPr>
      </w:pPr>
      <w:r>
        <w:rPr>
          <w:rFonts w:ascii="Times New Roman" w:cs="Times New Roman" w:eastAsia="Times New Roman" w:hAnsi="Times New Roman"/>
          <w:sz w:val="16"/>
          <w:szCs w:val="16"/>
          <w:color w:val="auto"/>
        </w:rPr>
        <w:t xml:space="preserve">There were 3,150 available days for the quarter ended March 31, 2022, as compared to 2,953 available days for the quarter ended March 31, 2021. Available days represent total calendar days in the period after deducting off-hire days where vessels are undergoing dry-dockings and unavailable days (i.e. days before and after a dry-docking where the vessel has limited practical ability for chartering opportunities). The increase in available days was mainly driven by the deliveries of the GasLog wholly owned vessels, the </w:t>
      </w:r>
      <w:r>
        <w:rPr>
          <w:rFonts w:ascii="Times New Roman" w:cs="Times New Roman" w:eastAsia="Times New Roman" w:hAnsi="Times New Roman"/>
          <w:sz w:val="16"/>
          <w:szCs w:val="16"/>
          <w:i w:val="1"/>
          <w:iCs w:val="1"/>
          <w:color w:val="auto"/>
        </w:rPr>
        <w:t>GasLog Wellington</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Winchester</w:t>
      </w:r>
      <w:r>
        <w:rPr>
          <w:rFonts w:ascii="Times New Roman" w:cs="Times New Roman" w:eastAsia="Times New Roman" w:hAnsi="Times New Roman"/>
          <w:sz w:val="16"/>
          <w:szCs w:val="16"/>
          <w:color w:val="auto"/>
        </w:rPr>
        <w:t xml:space="preserve"> on June 15, 2021 and August 24, 2021, respectively and the decrease in off-hire days for scheduled dry-dockings (14 dry-docking off-hire days in the three-month period ended March 31, 2021 compared to nil dry-docking off-hire days in the three-month period ended March 31, 2022).</w:t>
      </w:r>
    </w:p>
    <w:p>
      <w:pPr>
        <w:spacing w:after="0" w:line="171" w:lineRule="exact"/>
        <w:rPr>
          <w:sz w:val="20"/>
          <w:szCs w:val="20"/>
          <w:color w:val="auto"/>
        </w:rPr>
      </w:pPr>
    </w:p>
    <w:p>
      <w:pPr>
        <w:ind w:right="240" w:firstLine="383"/>
        <w:spacing w:after="0" w:line="275" w:lineRule="auto"/>
        <w:rPr>
          <w:sz w:val="20"/>
          <w:szCs w:val="20"/>
          <w:color w:val="auto"/>
        </w:rPr>
      </w:pPr>
      <w:r>
        <w:rPr>
          <w:rFonts w:ascii="Times New Roman" w:cs="Times New Roman" w:eastAsia="Times New Roman" w:hAnsi="Times New Roman"/>
          <w:sz w:val="16"/>
          <w:szCs w:val="16"/>
          <w:color w:val="auto"/>
        </w:rPr>
        <w:t>Revenues were $213.7 million for the quarter ended March 31, 2022 ($205.3 million for the quarter ended March 31, 2021). The increase in revenues is mainly attributable to an increase from the aforementioned deliveries of the GasLog wholly-owned vessels. This increase was partially offset by decreased revenues mainly from GasLog Partners’ vessels operating in the spot market in the first quarter of 2022, for an additional 112 days due to the lower average headline rates earned by GasLog Partners’ spot fleet in 2022 compared to the same period in 2021, as the premium winter spot market ended much earlier this year.</w:t>
      </w:r>
    </w:p>
    <w:p>
      <w:pPr>
        <w:spacing w:after="0" w:line="169" w:lineRule="exact"/>
        <w:rPr>
          <w:sz w:val="20"/>
          <w:szCs w:val="20"/>
          <w:color w:val="auto"/>
        </w:rPr>
      </w:pPr>
    </w:p>
    <w:p>
      <w:pPr>
        <w:ind w:right="40" w:firstLine="383"/>
        <w:spacing w:after="0" w:line="275" w:lineRule="auto"/>
        <w:rPr>
          <w:sz w:val="20"/>
          <w:szCs w:val="20"/>
          <w:color w:val="auto"/>
        </w:rPr>
      </w:pPr>
      <w:r>
        <w:rPr>
          <w:rFonts w:ascii="Times New Roman" w:cs="Times New Roman" w:eastAsia="Times New Roman" w:hAnsi="Times New Roman"/>
          <w:sz w:val="16"/>
          <w:szCs w:val="16"/>
          <w:color w:val="auto"/>
        </w:rPr>
        <w:t>Profit for the period was $71.1 million for the quarter ended March 31, 2022 (profit of $84.2 million for the quarter ended March 31, 2021). The decrease in Profit is mainly attributable to the decrease in profit from operations, which is mainly affected by the impairment loss recognized, the increased depreciation due to the increased fleet from the newbuilding deliveries, partially offset by the increase in revenues, as discussed above. The decrease in profit from operations is partially offset by an increase in gain on derivatives, mainly due to the increase in the mark-to-market valuation of derivatives held for trading which were carried at fair value through profit or loss.</w:t>
      </w:r>
    </w:p>
    <w:p>
      <w:pPr>
        <w:spacing w:after="0" w:line="169" w:lineRule="exact"/>
        <w:rPr>
          <w:sz w:val="20"/>
          <w:szCs w:val="20"/>
          <w:color w:val="auto"/>
        </w:rPr>
      </w:pPr>
    </w:p>
    <w:p>
      <w:pPr>
        <w:ind w:right="120" w:firstLine="383"/>
        <w:spacing w:after="0" w:line="271" w:lineRule="auto"/>
        <w:rPr>
          <w:sz w:val="20"/>
          <w:szCs w:val="20"/>
          <w:color w:val="auto"/>
        </w:rPr>
      </w:pPr>
      <w:r>
        <w:rPr>
          <w:rFonts w:ascii="Times New Roman" w:cs="Times New Roman" w:eastAsia="Times New Roman" w:hAnsi="Times New Roman"/>
          <w:sz w:val="16"/>
          <w:szCs w:val="16"/>
          <w:color w:val="auto"/>
        </w:rPr>
        <w:t>Adjusted EBITDA was $157.5 million for the quarter ended March 31, 2022 ($154.2 million for the quarter ended March 31, 2021). The increase in Adjusted EBITDA is mainly attributable to the increase in revenues of $8.4 million, as discussed above, partially offset by an increase of $4.3 million in vessel operating and supervision costs. The increase in vessel operating and supervision costs is mainly due to an increase in crew costs following our enhanced COVID-19 protocols, including crew extension bonuses to support our seafarers, travelling and extended quarantine days for seafarers prior to embarkation, and the increased fleet from the newbuilding deliveries, partially offset by the favorable movement of the Euro (“EUR”)/U. S. Dollar (“USD”) exchange rate in the three-month period ended March 31, 2022 as compared to the same period ended March 31, 2021.</w:t>
      </w:r>
    </w:p>
    <w:p>
      <w:pPr>
        <w:spacing w:after="0" w:line="171" w:lineRule="exact"/>
        <w:rPr>
          <w:sz w:val="20"/>
          <w:szCs w:val="20"/>
          <w:color w:val="auto"/>
        </w:rPr>
      </w:pPr>
    </w:p>
    <w:p>
      <w:pPr>
        <w:ind w:right="340" w:firstLine="383"/>
        <w:spacing w:after="0" w:line="271" w:lineRule="auto"/>
        <w:rPr>
          <w:sz w:val="20"/>
          <w:szCs w:val="20"/>
          <w:color w:val="auto"/>
        </w:rPr>
      </w:pPr>
      <w:r>
        <w:rPr>
          <w:rFonts w:ascii="Times New Roman" w:cs="Times New Roman" w:eastAsia="Times New Roman" w:hAnsi="Times New Roman"/>
          <w:sz w:val="16"/>
          <w:szCs w:val="16"/>
          <w:color w:val="auto"/>
        </w:rPr>
        <w:t xml:space="preserve">Adjusted Profit was $58.0 million for the quarter ended March 31, 2022 ($61.9 million for the quarter ended March 31, 2021). The decrease in Adjusted Profit is mainly attributable to the decrease in Profit for the period as discussed above, adjusted for the effects of the impairment loss recognized in the first quarter of 2022, the write-off of unamortized loan fees as a result of the </w:t>
      </w:r>
      <w:r>
        <w:rPr>
          <w:rFonts w:ascii="Times New Roman" w:cs="Times New Roman" w:eastAsia="Times New Roman" w:hAnsi="Times New Roman"/>
          <w:sz w:val="16"/>
          <w:szCs w:val="16"/>
          <w:i w:val="1"/>
          <w:iCs w:val="1"/>
          <w:color w:val="auto"/>
        </w:rPr>
        <w:t>GasLog Skagen</w:t>
      </w:r>
      <w:r>
        <w:rPr>
          <w:rFonts w:ascii="Times New Roman" w:cs="Times New Roman" w:eastAsia="Times New Roman" w:hAnsi="Times New Roman"/>
          <w:sz w:val="16"/>
          <w:szCs w:val="16"/>
          <w:color w:val="auto"/>
        </w:rPr>
        <w:t xml:space="preserve"> debt prepayment pursuant to the sale and leaseback transaction completed in March 2022, the restructuring costs, the costs relating to the transaction with BlackRock’s Global Energy &amp; Power Infrastructure team (the “Transaction”) (such costs, the “Transaction Costs”), the non-cash gain on derivatives, the foreign exchange losses, net, the loss on disposal of the </w:t>
      </w:r>
      <w:r>
        <w:rPr>
          <w:rFonts w:ascii="Times New Roman" w:cs="Times New Roman" w:eastAsia="Times New Roman" w:hAnsi="Times New Roman"/>
          <w:sz w:val="16"/>
          <w:szCs w:val="16"/>
          <w:i w:val="1"/>
          <w:iCs w:val="1"/>
          <w:color w:val="auto"/>
        </w:rPr>
        <w:t>GasLog Skagen</w:t>
      </w:r>
      <w:r>
        <w:rPr>
          <w:rFonts w:ascii="Times New Roman" w:cs="Times New Roman" w:eastAsia="Times New Roman" w:hAnsi="Times New Roman"/>
          <w:sz w:val="16"/>
          <w:szCs w:val="16"/>
          <w:color w:val="auto"/>
        </w:rPr>
        <w:t xml:space="preserve"> and the net unrealized foreign exchange losses on cash.</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March 31, 2022, GasLog had $263.5 million of cash and cash equivalents.</w:t>
      </w:r>
    </w:p>
    <w:p>
      <w:pPr>
        <w:spacing w:after="0" w:line="221" w:lineRule="exact"/>
        <w:rPr>
          <w:sz w:val="20"/>
          <w:szCs w:val="20"/>
          <w:color w:val="auto"/>
        </w:rPr>
      </w:pPr>
    </w:p>
    <w:p>
      <w:pPr>
        <w:ind w:right="60" w:firstLine="383"/>
        <w:spacing w:after="0" w:line="275" w:lineRule="auto"/>
        <w:rPr>
          <w:sz w:val="20"/>
          <w:szCs w:val="20"/>
          <w:color w:val="auto"/>
        </w:rPr>
      </w:pPr>
      <w:r>
        <w:rPr>
          <w:rFonts w:ascii="Times New Roman" w:cs="Times New Roman" w:eastAsia="Times New Roman" w:hAnsi="Times New Roman"/>
          <w:sz w:val="16"/>
          <w:szCs w:val="16"/>
          <w:color w:val="auto"/>
        </w:rPr>
        <w:t xml:space="preserve">As of March 31, 2022, GasLog had an aggregate of $3.5 billion of indebtedness outstanding under its credit facilities and bond agreements, of which $234.9 million is repayable within one year, and $352.5 million of lease liabilities mainly related to the sale and leaseback of the </w:t>
      </w:r>
      <w:r>
        <w:rPr>
          <w:rFonts w:ascii="Times New Roman" w:cs="Times New Roman" w:eastAsia="Times New Roman" w:hAnsi="Times New Roman"/>
          <w:sz w:val="16"/>
          <w:szCs w:val="16"/>
          <w:i w:val="1"/>
          <w:iCs w:val="1"/>
          <w:color w:val="auto"/>
        </w:rPr>
        <w:t>Methane Julia Louise,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Salem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GasLog Skagen, </w:t>
      </w:r>
      <w:r>
        <w:rPr>
          <w:rFonts w:ascii="Times New Roman" w:cs="Times New Roman" w:eastAsia="Times New Roman" w:hAnsi="Times New Roman"/>
          <w:sz w:val="16"/>
          <w:szCs w:val="16"/>
          <w:color w:val="auto"/>
        </w:rPr>
        <w:t>of which $41.4 million is payable within one year. GasLog has hedged 36.7% of its expected floating interest rate exposure on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debt (excluding the lease liabilities and the 7.75% Notes) as of March 31, 2022.</w:t>
      </w:r>
    </w:p>
    <w:p>
      <w:pPr>
        <w:spacing w:after="0" w:line="169" w:lineRule="exact"/>
        <w:rPr>
          <w:sz w:val="20"/>
          <w:szCs w:val="20"/>
          <w:color w:val="auto"/>
        </w:rPr>
      </w:pPr>
    </w:p>
    <w:p>
      <w:pPr>
        <w:ind w:right="140" w:firstLine="383"/>
        <w:spacing w:after="0" w:line="281" w:lineRule="auto"/>
        <w:rPr>
          <w:sz w:val="20"/>
          <w:szCs w:val="20"/>
          <w:color w:val="auto"/>
        </w:rPr>
      </w:pPr>
      <w:r>
        <w:rPr>
          <w:rFonts w:ascii="Times New Roman" w:cs="Times New Roman" w:eastAsia="Times New Roman" w:hAnsi="Times New Roman"/>
          <w:sz w:val="16"/>
          <w:szCs w:val="16"/>
          <w:color w:val="auto"/>
        </w:rPr>
        <w:t>As of March 31, 2022, GasLog’s current assets totaled $311.5 million, while current liabilities totaled $462.3 million, resulting in a negative working capital position of $150.8 million. Current liabilities include $63.0 million of unearned revenue in relation to hires received in advance of March 31, 2022 (which represents a non-cash liability that will be recognized as revenue in April 2022 as the services are rendered).</w:t>
      </w:r>
    </w:p>
    <w:p>
      <w:pPr>
        <w:spacing w:after="0" w:line="164" w:lineRule="exact"/>
        <w:rPr>
          <w:sz w:val="20"/>
          <w:szCs w:val="20"/>
          <w:color w:val="auto"/>
        </w:rPr>
      </w:pPr>
    </w:p>
    <w:p>
      <w:pPr>
        <w:ind w:right="280" w:firstLine="383"/>
        <w:spacing w:after="0" w:line="272" w:lineRule="auto"/>
        <w:rPr>
          <w:sz w:val="20"/>
          <w:szCs w:val="20"/>
          <w:color w:val="auto"/>
        </w:rPr>
      </w:pPr>
      <w:r>
        <w:rPr>
          <w:rFonts w:ascii="Times New Roman" w:cs="Times New Roman" w:eastAsia="Times New Roman" w:hAnsi="Times New Roman"/>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and existing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auto"/>
        </w:rPr>
        <w:t>GasLog Partners’ Preference Unit Repurchase Programme</w:t>
      </w:r>
    </w:p>
    <w:p>
      <w:pPr>
        <w:spacing w:after="0" w:line="223" w:lineRule="exact"/>
        <w:rPr>
          <w:sz w:val="20"/>
          <w:szCs w:val="20"/>
          <w:color w:val="auto"/>
        </w:rPr>
      </w:pPr>
    </w:p>
    <w:p>
      <w:pPr>
        <w:jc w:val="both"/>
        <w:ind w:firstLine="383"/>
        <w:spacing w:after="0" w:line="272" w:lineRule="auto"/>
        <w:rPr>
          <w:sz w:val="20"/>
          <w:szCs w:val="20"/>
          <w:color w:val="auto"/>
        </w:rPr>
      </w:pPr>
      <w:r>
        <w:rPr>
          <w:rFonts w:ascii="Times New Roman" w:cs="Times New Roman" w:eastAsia="Times New Roman" w:hAnsi="Times New Roman"/>
          <w:sz w:val="16"/>
          <w:szCs w:val="16"/>
          <w:color w:val="auto"/>
        </w:rPr>
        <w:t>In the three months ended March 31, 2022, under the GasLog Partners’ preference unit repurchase programme (the “Repurchase Programme”) established in March 2021, GasLog Partners repurchased and cancelled 7,838 8.625% Series A Cumulative Redeemable Perpetual Fixed to Floating Rate Preference Units (the “Series A Preference Units”), 172,590 8.200% Series B Cumulative Redeemable Perpetual Fixed to Floating Rate Preference Units (the “Series B Preference Units”) and 213,335 8.500% Series C Cumulative Redeemable Perpetual Fixed to Floating Rate Preference Units (the “Series C Preference Units”), for an aggregate amount of $10.0 million, including commissions.</w:t>
      </w:r>
    </w:p>
    <w:p>
      <w:pPr>
        <w:spacing w:after="0" w:line="172" w:lineRule="exact"/>
        <w:rPr>
          <w:sz w:val="20"/>
          <w:szCs w:val="20"/>
          <w:color w:val="auto"/>
        </w:rPr>
      </w:pPr>
    </w:p>
    <w:p>
      <w:pPr>
        <w:ind w:right="560" w:firstLine="383"/>
        <w:spacing w:after="0" w:line="298" w:lineRule="auto"/>
        <w:rPr>
          <w:sz w:val="20"/>
          <w:szCs w:val="20"/>
          <w:color w:val="auto"/>
        </w:rPr>
      </w:pPr>
      <w:r>
        <w:rPr>
          <w:rFonts w:ascii="Times New Roman" w:cs="Times New Roman" w:eastAsia="Times New Roman" w:hAnsi="Times New Roman"/>
          <w:sz w:val="16"/>
          <w:szCs w:val="16"/>
          <w:color w:val="auto"/>
        </w:rPr>
        <w:t>Since the inception of the Repurchase Programme and up to March 31, 2022, GasLog Partners has repurchased and cancelled 7,838 Series A Preference Units, 637,019 Series B Preference Units and 482,884 Series C Preference Units, for an aggregate amount of $28.4 million, including commissions.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Fleet Update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May 11, 2022, our wholly owned fleet consisted of the following vessels: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Optional</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4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34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rPr>
              <w:t>Cargo Capacity</w:t>
            </w:r>
          </w:p>
        </w:tc>
        <w:tc>
          <w:tcPr>
            <w:tcW w:w="156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Charter Expiration</w:t>
            </w:r>
            <w:r>
              <w:rPr>
                <w:rFonts w:ascii="Times New Roman" w:cs="Times New Roman" w:eastAsia="Times New Roman" w:hAnsi="Times New Roman"/>
                <w:sz w:val="26"/>
                <w:szCs w:val="26"/>
                <w:b w:val="1"/>
                <w:bCs w:val="1"/>
                <w:color w:val="auto"/>
                <w:w w:val="99"/>
                <w:vertAlign w:val="superscript"/>
              </w:rPr>
              <w:t>(1)</w:t>
            </w:r>
          </w:p>
        </w:tc>
        <w:tc>
          <w:tcPr>
            <w:tcW w:w="100" w:type="dxa"/>
            <w:vAlign w:val="bottom"/>
            <w:vMerge w:val="restart"/>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Built</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1"/>
              </w:rPr>
              <w:t>Period</w:t>
            </w:r>
            <w:r>
              <w:rPr>
                <w:rFonts w:ascii="Times New Roman" w:cs="Times New Roman" w:eastAsia="Times New Roman" w:hAnsi="Times New Roman"/>
                <w:sz w:val="26"/>
                <w:szCs w:val="26"/>
                <w:b w:val="1"/>
                <w:bCs w:val="1"/>
                <w:color w:val="auto"/>
                <w:w w:val="91"/>
                <w:vertAlign w:val="superscript"/>
              </w:rPr>
              <w:t>(2)</w:t>
            </w:r>
          </w:p>
        </w:tc>
        <w:tc>
          <w:tcPr>
            <w:tcW w:w="0" w:type="dxa"/>
            <w:vAlign w:val="bottom"/>
          </w:tcPr>
          <w:p>
            <w:pPr>
              <w:spacing w:after="0"/>
              <w:rPr>
                <w:sz w:val="1"/>
                <w:szCs w:val="1"/>
                <w:color w:val="auto"/>
              </w:rPr>
            </w:pPr>
          </w:p>
        </w:tc>
      </w:tr>
      <w:tr>
        <w:trPr>
          <w:trHeight w:val="23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2680" w:type="dxa"/>
            <w:vAlign w:val="bottom"/>
            <w:shd w:val="clear" w:color="auto" w:fill="CCEEFF"/>
          </w:tcPr>
          <w:p>
            <w:pPr>
              <w:ind w:left="20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GasLog Chelsea </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153,600</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Spot Market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Savannah</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Spot Market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TFDE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38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Steam turbine</w:t>
            </w: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28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Methane Lydon Volney</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propulsion</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shd w:val="clear" w:color="auto" w:fill="CCEEFF"/>
          </w:tcPr>
          <w:p>
            <w:pPr>
              <w:spacing w:after="0"/>
              <w:rPr>
                <w:sz w:val="18"/>
                <w:szCs w:val="18"/>
                <w:color w:val="auto"/>
              </w:rPr>
            </w:pPr>
          </w:p>
        </w:tc>
        <w:tc>
          <w:tcPr>
            <w:tcW w:w="280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145,000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Naturgy</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(“Steam”)</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2022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i w:val="1"/>
                <w:iCs w:val="1"/>
                <w:color w:val="auto"/>
              </w:rPr>
              <w:t xml:space="preserve">GasLog Singapore </w:t>
            </w:r>
            <w:r>
              <w:rPr>
                <w:rFonts w:ascii="Times New Roman" w:cs="Times New Roman" w:eastAsia="Times New Roman" w:hAnsi="Times New Roman"/>
                <w:sz w:val="26"/>
                <w:szCs w:val="26"/>
                <w:color w:val="auto"/>
                <w:vertAlign w:val="superscript"/>
              </w:rPr>
              <w:t>(4)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Singapore LNG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Corporation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Saratoga</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Mitsui</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September 2024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Dual-fuel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medium speed</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Genoa</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w w:val="90"/>
              </w:rPr>
              <w:t xml:space="preserve">Shell </w:t>
            </w:r>
            <w:r>
              <w:rPr>
                <w:rFonts w:ascii="Times New Roman" w:cs="Times New Roman" w:eastAsia="Times New Roman" w:hAnsi="Times New Roman"/>
                <w:sz w:val="26"/>
                <w:szCs w:val="26"/>
                <w:color w:val="auto"/>
                <w:w w:val="90"/>
                <w:vertAlign w:val="superscript"/>
              </w:rPr>
              <w:t>(5)</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propulsion</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2030-2033 </w:t>
            </w:r>
            <w:r>
              <w:rPr>
                <w:rFonts w:ascii="Times New Roman" w:cs="Times New Roman" w:eastAsia="Times New Roman" w:hAnsi="Times New Roman"/>
                <w:sz w:val="26"/>
                <w:szCs w:val="26"/>
                <w:color w:val="auto"/>
                <w:w w:val="96"/>
                <w:vertAlign w:val="superscript"/>
              </w:rPr>
              <w:t>(5)</w:t>
            </w: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2027</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Windsor</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180,000</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40"/>
              <w:spacing w:after="0" w:line="243" w:lineRule="exact"/>
              <w:rPr>
                <w:sz w:val="20"/>
                <w:szCs w:val="20"/>
                <w:color w:val="auto"/>
              </w:rPr>
            </w:pPr>
            <w:r>
              <w:rPr>
                <w:rFonts w:ascii="Times New Roman" w:cs="Times New Roman" w:eastAsia="Times New Roman" w:hAnsi="Times New Roman"/>
                <w:sz w:val="16"/>
                <w:szCs w:val="16"/>
                <w:color w:val="auto"/>
                <w:w w:val="94"/>
              </w:rPr>
              <w:t xml:space="preserve">Centrica </w:t>
            </w:r>
            <w:r>
              <w:rPr>
                <w:rFonts w:ascii="Times New Roman" w:cs="Times New Roman" w:eastAsia="Times New Roman" w:hAnsi="Times New Roman"/>
                <w:sz w:val="26"/>
                <w:szCs w:val="26"/>
                <w:color w:val="auto"/>
                <w:w w:val="94"/>
                <w:vertAlign w:val="superscript"/>
              </w:rPr>
              <w:t>(6)</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April 2027</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Westminster</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180,000</w:t>
            </w:r>
          </w:p>
        </w:tc>
        <w:tc>
          <w:tcPr>
            <w:tcW w:w="1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Centrica</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July 2027</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(6)</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Georgetown</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40"/>
              <w:spacing w:after="0" w:line="243" w:lineRule="exact"/>
              <w:rPr>
                <w:sz w:val="20"/>
                <w:szCs w:val="20"/>
                <w:color w:val="auto"/>
              </w:rPr>
            </w:pPr>
            <w:r>
              <w:rPr>
                <w:rFonts w:ascii="Times New Roman" w:cs="Times New Roman" w:eastAsia="Times New Roman" w:hAnsi="Times New Roman"/>
                <w:sz w:val="16"/>
                <w:szCs w:val="16"/>
                <w:color w:val="auto"/>
                <w:w w:val="95"/>
              </w:rPr>
              <w:t xml:space="preserve">Cheniere </w:t>
            </w:r>
            <w:r>
              <w:rPr>
                <w:rFonts w:ascii="Times New Roman" w:cs="Times New Roman" w:eastAsia="Times New Roman" w:hAnsi="Times New Roman"/>
                <w:sz w:val="26"/>
                <w:szCs w:val="26"/>
                <w:color w:val="auto"/>
                <w:w w:val="95"/>
                <w:vertAlign w:val="superscript"/>
              </w:rPr>
              <w:t>(7)</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November 2027</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2030-2034 </w:t>
            </w:r>
            <w:r>
              <w:rPr>
                <w:rFonts w:ascii="Times New Roman" w:cs="Times New Roman" w:eastAsia="Times New Roman" w:hAnsi="Times New Roman"/>
                <w:sz w:val="26"/>
                <w:szCs w:val="26"/>
                <w:color w:val="auto"/>
                <w:w w:val="96"/>
                <w:vertAlign w:val="superscript"/>
              </w:rPr>
              <w:t>(7)</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Galveston</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2028</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2031-2035 </w:t>
            </w:r>
            <w:r>
              <w:rPr>
                <w:rFonts w:ascii="Times New Roman" w:cs="Times New Roman" w:eastAsia="Times New Roman" w:hAnsi="Times New Roman"/>
                <w:sz w:val="26"/>
                <w:szCs w:val="26"/>
                <w:color w:val="auto"/>
                <w:w w:val="96"/>
                <w:vertAlign w:val="superscript"/>
              </w:rPr>
              <w:t>(7)</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11</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Wellington</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180,000</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2028</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2031-2035 </w:t>
            </w:r>
            <w:r>
              <w:rPr>
                <w:rFonts w:ascii="Times New Roman" w:cs="Times New Roman" w:eastAsia="Times New Roman" w:hAnsi="Times New Roman"/>
                <w:sz w:val="26"/>
                <w:szCs w:val="26"/>
                <w:color w:val="auto"/>
                <w:w w:val="96"/>
                <w:vertAlign w:val="superscript"/>
              </w:rPr>
              <w:t>(7)</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Winchester</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180,000</w:t>
            </w:r>
          </w:p>
        </w:tc>
        <w:tc>
          <w:tcPr>
            <w:tcW w:w="12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2028</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2031-2035 </w:t>
            </w:r>
            <w:r>
              <w:rPr>
                <w:rFonts w:ascii="Times New Roman" w:cs="Times New Roman" w:eastAsia="Times New Roman" w:hAnsi="Times New Roman"/>
                <w:sz w:val="26"/>
                <w:szCs w:val="26"/>
                <w:color w:val="auto"/>
                <w:w w:val="96"/>
                <w:vertAlign w:val="superscript"/>
              </w:rPr>
              <w:t>(7)</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13</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Gladstone</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Shell</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January 2029</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2032-2035 </w:t>
            </w:r>
            <w:r>
              <w:rPr>
                <w:rFonts w:ascii="Times New Roman" w:cs="Times New Roman" w:eastAsia="Times New Roman" w:hAnsi="Times New Roman"/>
                <w:sz w:val="26"/>
                <w:szCs w:val="26"/>
                <w:color w:val="auto"/>
                <w:w w:val="96"/>
                <w:vertAlign w:val="superscript"/>
              </w:rPr>
              <w:t>(5)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14</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Warsaw</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180,000</w:t>
            </w:r>
          </w:p>
        </w:tc>
        <w:tc>
          <w:tcPr>
            <w:tcW w:w="120" w:type="dxa"/>
            <w:vAlign w:val="bottom"/>
          </w:tcPr>
          <w:p>
            <w:pPr>
              <w:spacing w:after="0"/>
              <w:rPr>
                <w:sz w:val="21"/>
                <w:szCs w:val="21"/>
                <w:color w:val="auto"/>
              </w:rPr>
            </w:pPr>
          </w:p>
        </w:tc>
        <w:tc>
          <w:tcPr>
            <w:tcW w:w="156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6"/>
                <w:szCs w:val="16"/>
                <w:color w:val="auto"/>
                <w:w w:val="93"/>
              </w:rPr>
              <w:t xml:space="preserve">Endesa </w:t>
            </w:r>
            <w:r>
              <w:rPr>
                <w:rFonts w:ascii="Times New Roman" w:cs="Times New Roman" w:eastAsia="Times New Roman" w:hAnsi="Times New Roman"/>
                <w:sz w:val="26"/>
                <w:szCs w:val="26"/>
                <w:color w:val="auto"/>
                <w:w w:val="93"/>
                <w:vertAlign w:val="superscript"/>
              </w:rPr>
              <w:t>(8)</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2029</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2035-2041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15</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Wales</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180,000</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40"/>
              <w:spacing w:after="0" w:line="243" w:lineRule="exact"/>
              <w:rPr>
                <w:sz w:val="20"/>
                <w:szCs w:val="20"/>
                <w:color w:val="auto"/>
              </w:rPr>
            </w:pPr>
            <w:r>
              <w:rPr>
                <w:rFonts w:ascii="Times New Roman" w:cs="Times New Roman" w:eastAsia="Times New Roman" w:hAnsi="Times New Roman"/>
                <w:sz w:val="16"/>
                <w:szCs w:val="16"/>
                <w:color w:val="auto"/>
                <w:w w:val="91"/>
              </w:rPr>
              <w:t xml:space="preserve">Jera </w:t>
            </w:r>
            <w:r>
              <w:rPr>
                <w:rFonts w:ascii="Times New Roman" w:cs="Times New Roman" w:eastAsia="Times New Roman" w:hAnsi="Times New Roman"/>
                <w:sz w:val="26"/>
                <w:szCs w:val="26"/>
                <w:color w:val="auto"/>
                <w:w w:val="91"/>
                <w:vertAlign w:val="superscript"/>
              </w:rPr>
              <w:t>(9)</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X-DF</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2032</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2035-2038 </w:t>
            </w:r>
            <w:r>
              <w:rPr>
                <w:rFonts w:ascii="Times New Roman" w:cs="Times New Roman" w:eastAsia="Times New Roman" w:hAnsi="Times New Roman"/>
                <w:sz w:val="26"/>
                <w:szCs w:val="26"/>
                <w:color w:val="auto"/>
                <w:w w:val="96"/>
                <w:vertAlign w:val="superscript"/>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11, 2022, the Partnership’s fleet consisted of the following vessels: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Optional</w:t>
            </w: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ind w:left="22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44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Cargo Capacity</w:t>
            </w:r>
          </w:p>
        </w:tc>
        <w:tc>
          <w:tcPr>
            <w:tcW w:w="15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Charter Expiration</w:t>
            </w:r>
            <w:r>
              <w:rPr>
                <w:rFonts w:ascii="Times New Roman" w:cs="Times New Roman" w:eastAsia="Times New Roman" w:hAnsi="Times New Roman"/>
                <w:sz w:val="26"/>
                <w:szCs w:val="26"/>
                <w:b w:val="1"/>
                <w:bCs w:val="1"/>
                <w:color w:val="auto"/>
                <w:w w:val="97"/>
                <w:vertAlign w:val="superscript"/>
              </w:rPr>
              <w:t>(1)</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28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Built</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2000" w:type="dxa"/>
            <w:vAlign w:val="bottom"/>
            <w:gridSpan w:val="2"/>
            <w:vMerge w:val="continue"/>
          </w:tcPr>
          <w:p>
            <w:pPr>
              <w:spacing w:after="0"/>
              <w:rPr>
                <w:sz w:val="22"/>
                <w:szCs w:val="22"/>
                <w:color w:val="auto"/>
              </w:rPr>
            </w:pPr>
          </w:p>
        </w:tc>
        <w:tc>
          <w:tcPr>
            <w:tcW w:w="1120" w:type="dxa"/>
            <w:vAlign w:val="bottom"/>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1"/>
              </w:rPr>
              <w:t>Period</w:t>
            </w:r>
            <w:r>
              <w:rPr>
                <w:rFonts w:ascii="Times New Roman" w:cs="Times New Roman" w:eastAsia="Times New Roman" w:hAnsi="Times New Roman"/>
                <w:sz w:val="26"/>
                <w:szCs w:val="26"/>
                <w:b w:val="1"/>
                <w:bCs w:val="1"/>
                <w:color w:val="auto"/>
                <w:w w:val="91"/>
                <w:vertAlign w:val="superscript"/>
              </w:rPr>
              <w:t>(2)</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26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2014</w:t>
            </w:r>
          </w:p>
        </w:tc>
        <w:tc>
          <w:tcPr>
            <w:tcW w:w="1340" w:type="dxa"/>
            <w:vAlign w:val="bottom"/>
            <w:tcBorders>
              <w:top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Spot Market</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Methane Heather Sally</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2007</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5"/>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2013</w:t>
            </w:r>
          </w:p>
        </w:tc>
        <w:tc>
          <w:tcPr>
            <w:tcW w:w="13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40"/>
              <w:spacing w:after="0" w:line="245" w:lineRule="exact"/>
              <w:rPr>
                <w:sz w:val="20"/>
                <w:szCs w:val="20"/>
                <w:color w:val="auto"/>
              </w:rPr>
            </w:pPr>
            <w:r>
              <w:rPr>
                <w:rFonts w:ascii="Times New Roman" w:cs="Times New Roman" w:eastAsia="Times New Roman" w:hAnsi="Times New Roman"/>
                <w:sz w:val="16"/>
                <w:szCs w:val="16"/>
                <w:color w:val="auto"/>
                <w:w w:val="94"/>
              </w:rPr>
              <w:t>TotalEnergies</w:t>
            </w:r>
            <w:r>
              <w:rPr>
                <w:rFonts w:ascii="Times New Roman" w:cs="Times New Roman" w:eastAsia="Times New Roman" w:hAnsi="Times New Roman"/>
                <w:sz w:val="26"/>
                <w:szCs w:val="26"/>
                <w:color w:val="auto"/>
                <w:w w:val="94"/>
                <w:vertAlign w:val="superscript"/>
              </w:rPr>
              <w:t>(10)</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2022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Methane Shirley Elisabeth</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2007</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tcPr>
          <w:p>
            <w:pPr>
              <w:spacing w:after="0"/>
              <w:rPr>
                <w:sz w:val="21"/>
                <w:szCs w:val="21"/>
                <w:color w:val="auto"/>
              </w:rPr>
            </w:pPr>
          </w:p>
        </w:tc>
        <w:tc>
          <w:tcPr>
            <w:tcW w:w="15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6"/>
                <w:szCs w:val="16"/>
                <w:color w:val="auto"/>
                <w:w w:val="92"/>
              </w:rPr>
              <w:t xml:space="preserve">JOVO </w:t>
            </w:r>
            <w:r>
              <w:rPr>
                <w:rFonts w:ascii="Times New Roman" w:cs="Times New Roman" w:eastAsia="Times New Roman" w:hAnsi="Times New Roman"/>
                <w:sz w:val="26"/>
                <w:szCs w:val="26"/>
                <w:color w:val="auto"/>
                <w:w w:val="92"/>
                <w:vertAlign w:val="superscript"/>
              </w:rPr>
              <w:t>(11)</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August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2006</w:t>
            </w:r>
          </w:p>
        </w:tc>
        <w:tc>
          <w:tcPr>
            <w:tcW w:w="13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Gunvor</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2013</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21"/>
                <w:szCs w:val="21"/>
                <w:color w:val="auto"/>
              </w:rPr>
            </w:pPr>
          </w:p>
        </w:tc>
        <w:tc>
          <w:tcPr>
            <w:tcW w:w="15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6"/>
                <w:szCs w:val="16"/>
                <w:color w:val="auto"/>
                <w:w w:val="94"/>
              </w:rPr>
              <w:t xml:space="preserve">Trafigura </w:t>
            </w:r>
            <w:r>
              <w:rPr>
                <w:rFonts w:ascii="Times New Roman" w:cs="Times New Roman" w:eastAsia="Times New Roman" w:hAnsi="Times New Roman"/>
                <w:sz w:val="26"/>
                <w:szCs w:val="26"/>
                <w:color w:val="auto"/>
                <w:w w:val="94"/>
                <w:vertAlign w:val="superscript"/>
              </w:rPr>
              <w:t>(12)</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2022</w:t>
            </w:r>
          </w:p>
        </w:tc>
        <w:tc>
          <w:tcPr>
            <w:tcW w:w="1120" w:type="dxa"/>
            <w:vAlign w:val="bottom"/>
          </w:tcPr>
          <w:p>
            <w:pPr>
              <w:ind w:left="20"/>
              <w:spacing w:after="0" w:line="243" w:lineRule="exact"/>
              <w:rPr>
                <w:sz w:val="20"/>
                <w:szCs w:val="20"/>
                <w:color w:val="auto"/>
              </w:rPr>
            </w:pPr>
            <w:r>
              <w:rPr>
                <w:rFonts w:ascii="Times New Roman" w:cs="Times New Roman" w:eastAsia="Times New Roman" w:hAnsi="Times New Roman"/>
                <w:sz w:val="16"/>
                <w:szCs w:val="16"/>
                <w:color w:val="auto"/>
              </w:rPr>
              <w:t xml:space="preserve">2023–2028 </w:t>
            </w:r>
            <w:r>
              <w:rPr>
                <w:rFonts w:ascii="Times New Roman" w:cs="Times New Roman" w:eastAsia="Times New Roman" w:hAnsi="Times New Roman"/>
                <w:sz w:val="26"/>
                <w:szCs w:val="26"/>
                <w:color w:val="auto"/>
                <w:vertAlign w:val="superscript"/>
              </w:rPr>
              <w:t>(12)</w:t>
            </w: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2006</w:t>
            </w:r>
          </w:p>
        </w:tc>
        <w:tc>
          <w:tcPr>
            <w:tcW w:w="13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Cheniere</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2024-2025 </w:t>
            </w:r>
            <w:r>
              <w:rPr>
                <w:rFonts w:ascii="Times New Roman" w:cs="Times New Roman" w:eastAsia="Times New Roman" w:hAnsi="Times New Roman"/>
                <w:sz w:val="26"/>
                <w:szCs w:val="26"/>
                <w:color w:val="auto"/>
                <w:w w:val="96"/>
                <w:vertAlign w:val="superscript"/>
              </w:rPr>
              <w:t>(7)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TotalEnergies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2013</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22"/>
                <w:szCs w:val="22"/>
                <w:color w:val="auto"/>
              </w:rPr>
            </w:pPr>
          </w:p>
        </w:tc>
        <w:tc>
          <w:tcPr>
            <w:tcW w:w="1580" w:type="dxa"/>
            <w:vAlign w:val="bottom"/>
            <w:gridSpan w:val="2"/>
          </w:tcPr>
          <w:p>
            <w:pPr>
              <w:jc w:val="center"/>
              <w:ind w:right="140"/>
              <w:spacing w:after="0" w:line="256" w:lineRule="exact"/>
              <w:rPr>
                <w:sz w:val="20"/>
                <w:szCs w:val="20"/>
                <w:color w:val="auto"/>
              </w:rPr>
            </w:pPr>
            <w:r>
              <w:rPr>
                <w:rFonts w:ascii="Times New Roman" w:cs="Times New Roman" w:eastAsia="Times New Roman" w:hAnsi="Times New Roman"/>
                <w:sz w:val="16"/>
                <w:szCs w:val="16"/>
                <w:color w:val="auto"/>
                <w:w w:val="93"/>
              </w:rPr>
              <w:t xml:space="preserve">Naturgy </w:t>
            </w:r>
            <w:r>
              <w:rPr>
                <w:rFonts w:ascii="Times New Roman" w:cs="Times New Roman" w:eastAsia="Times New Roman" w:hAnsi="Times New Roman"/>
                <w:sz w:val="26"/>
                <w:szCs w:val="26"/>
                <w:color w:val="auto"/>
                <w:w w:val="93"/>
                <w:vertAlign w:val="superscript"/>
              </w:rPr>
              <w:t>(13)</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GasLog Geneva</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2016</w:t>
            </w:r>
          </w:p>
        </w:tc>
        <w:tc>
          <w:tcPr>
            <w:tcW w:w="13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2023</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2028-2031 </w:t>
            </w:r>
            <w:r>
              <w:rPr>
                <w:rFonts w:ascii="Times New Roman" w:cs="Times New Roman" w:eastAsia="Times New Roman" w:hAnsi="Times New Roman"/>
                <w:sz w:val="26"/>
                <w:szCs w:val="26"/>
                <w:color w:val="auto"/>
                <w:w w:val="96"/>
                <w:vertAlign w:val="superscript"/>
              </w:rPr>
              <w:t>(5)</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Methane Alison Victoria</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2007</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tcPr>
          <w:p>
            <w:pPr>
              <w:spacing w:after="0"/>
              <w:rPr>
                <w:sz w:val="21"/>
                <w:szCs w:val="21"/>
                <w:color w:val="auto"/>
              </w:rPr>
            </w:pPr>
          </w:p>
        </w:tc>
        <w:tc>
          <w:tcPr>
            <w:tcW w:w="158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6"/>
                <w:szCs w:val="16"/>
                <w:color w:val="auto"/>
                <w:w w:val="96"/>
              </w:rPr>
              <w:t xml:space="preserve">CNTIC VPower </w:t>
            </w:r>
            <w:r>
              <w:rPr>
                <w:rFonts w:ascii="Times New Roman" w:cs="Times New Roman" w:eastAsia="Times New Roman" w:hAnsi="Times New Roman"/>
                <w:sz w:val="26"/>
                <w:szCs w:val="26"/>
                <w:color w:val="auto"/>
                <w:w w:val="96"/>
                <w:vertAlign w:val="superscript"/>
              </w:rPr>
              <w:t>(14)</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3"/>
              </w:rPr>
              <w:t xml:space="preserve">2024-2025 </w:t>
            </w:r>
            <w:r>
              <w:rPr>
                <w:rFonts w:ascii="Times New Roman" w:cs="Times New Roman" w:eastAsia="Times New Roman" w:hAnsi="Times New Roman"/>
                <w:sz w:val="26"/>
                <w:szCs w:val="26"/>
                <w:color w:val="auto"/>
                <w:w w:val="93"/>
                <w:vertAlign w:val="superscript"/>
              </w:rPr>
              <w:t>(14)</w:t>
            </w: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11</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2016</w:t>
            </w:r>
          </w:p>
        </w:tc>
        <w:tc>
          <w:tcPr>
            <w:tcW w:w="13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2028-2031 </w:t>
            </w:r>
            <w:r>
              <w:rPr>
                <w:rFonts w:ascii="Times New Roman" w:cs="Times New Roman" w:eastAsia="Times New Roman" w:hAnsi="Times New Roman"/>
                <w:sz w:val="26"/>
                <w:szCs w:val="26"/>
                <w:color w:val="auto"/>
                <w:w w:val="96"/>
                <w:vertAlign w:val="superscript"/>
              </w:rPr>
              <w:t>(5)</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Methane Becki Anne</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2010</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170,000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2027-2029 </w:t>
            </w:r>
            <w:r>
              <w:rPr>
                <w:rFonts w:ascii="Times New Roman" w:cs="Times New Roman" w:eastAsia="Times New Roman" w:hAnsi="Times New Roman"/>
                <w:sz w:val="26"/>
                <w:szCs w:val="26"/>
                <w:color w:val="auto"/>
                <w:w w:val="96"/>
                <w:vertAlign w:val="superscript"/>
              </w:rPr>
              <w:t>(5)</w:t>
            </w: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13</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GasLog Greece</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2016</w:t>
            </w:r>
          </w:p>
        </w:tc>
        <w:tc>
          <w:tcPr>
            <w:tcW w:w="13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(5)</w:t>
            </w:r>
          </w:p>
        </w:tc>
        <w:tc>
          <w:tcPr>
            <w:tcW w:w="0" w:type="dxa"/>
            <w:vAlign w:val="bottom"/>
          </w:tcPr>
          <w:p>
            <w:pPr>
              <w:spacing w:after="0"/>
              <w:rPr>
                <w:sz w:val="1"/>
                <w:szCs w:val="1"/>
                <w:color w:val="auto"/>
              </w:rPr>
            </w:pPr>
          </w:p>
        </w:tc>
      </w:tr>
      <w:tr>
        <w:trPr>
          <w:trHeight w:val="355"/>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14</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GasLog Glasgow</w:t>
            </w:r>
          </w:p>
        </w:tc>
        <w:tc>
          <w:tcPr>
            <w:tcW w:w="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2016</w:t>
            </w:r>
          </w:p>
        </w:tc>
        <w:tc>
          <w:tcPr>
            <w:tcW w:w="13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2026</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(5)</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001"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4"/>
        </w:trPr>
        <w:tc>
          <w:tcPr>
            <w:tcW w:w="3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4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As of May 11, 2022, our bareboat fleet consisted of the following vessels: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Optional</w:t>
            </w: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22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320" w:type="dxa"/>
            <w:vAlign w:val="bottom"/>
            <w:gridSpan w:val="2"/>
          </w:tcPr>
          <w:p>
            <w:pPr>
              <w:jc w:val="center"/>
              <w:ind w:right="60"/>
              <w:spacing w:after="0" w:line="165" w:lineRule="exact"/>
              <w:rPr>
                <w:sz w:val="20"/>
                <w:szCs w:val="20"/>
                <w:color w:val="auto"/>
              </w:rPr>
            </w:pPr>
            <w:r>
              <w:rPr>
                <w:rFonts w:ascii="Times New Roman" w:cs="Times New Roman" w:eastAsia="Times New Roman" w:hAnsi="Times New Roman"/>
                <w:sz w:val="16"/>
                <w:szCs w:val="16"/>
                <w:b w:val="1"/>
                <w:bCs w:val="1"/>
                <w:color w:val="auto"/>
              </w:rPr>
              <w:t>Cargo Capacity</w:t>
            </w:r>
          </w:p>
        </w:tc>
        <w:tc>
          <w:tcPr>
            <w:tcW w:w="158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Charter Expiration</w:t>
            </w:r>
            <w:r>
              <w:rPr>
                <w:rFonts w:ascii="Times New Roman" w:cs="Times New Roman" w:eastAsia="Times New Roman" w:hAnsi="Times New Roman"/>
                <w:sz w:val="26"/>
                <w:szCs w:val="26"/>
                <w:b w:val="1"/>
                <w:bCs w:val="1"/>
                <w:color w:val="auto"/>
                <w:w w:val="97"/>
                <w:vertAlign w:val="superscript"/>
              </w:rPr>
              <w:t>(1)</w:t>
            </w:r>
          </w:p>
        </w:tc>
        <w:tc>
          <w:tcPr>
            <w:tcW w:w="100" w:type="dxa"/>
            <w:vAlign w:val="bottom"/>
            <w:vMerge w:val="restart"/>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2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Built</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1"/>
              </w:rPr>
              <w:t>Period</w:t>
            </w:r>
            <w:r>
              <w:rPr>
                <w:rFonts w:ascii="Times New Roman" w:cs="Times New Roman" w:eastAsia="Times New Roman" w:hAnsi="Times New Roman"/>
                <w:sz w:val="26"/>
                <w:szCs w:val="26"/>
                <w:b w:val="1"/>
                <w:bCs w:val="1"/>
                <w:color w:val="auto"/>
                <w:w w:val="91"/>
                <w:vertAlign w:val="superscript"/>
              </w:rPr>
              <w:t>(2)</w:t>
            </w:r>
          </w:p>
        </w:tc>
        <w:tc>
          <w:tcPr>
            <w:tcW w:w="0" w:type="dxa"/>
            <w:vAlign w:val="bottom"/>
          </w:tcPr>
          <w:p>
            <w:pPr>
              <w:spacing w:after="0"/>
              <w:rPr>
                <w:sz w:val="1"/>
                <w:szCs w:val="1"/>
                <w:color w:val="auto"/>
              </w:rPr>
            </w:pPr>
          </w:p>
        </w:tc>
      </w:tr>
      <w:tr>
        <w:trPr>
          <w:trHeight w:val="236"/>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2600" w:type="dxa"/>
            <w:vAlign w:val="bottom"/>
            <w:shd w:val="clear" w:color="auto" w:fill="CCEEFF"/>
          </w:tcPr>
          <w:p>
            <w:pPr>
              <w:ind w:left="26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GasLog Skagen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6"/>
                <w:szCs w:val="26"/>
                <w:i w:val="1"/>
                <w:iCs w:val="1"/>
                <w:color w:val="auto"/>
                <w:vertAlign w:val="superscript"/>
              </w:rPr>
              <w:t>15)</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Chevron</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w:t>
            </w:r>
          </w:p>
        </w:tc>
        <w:tc>
          <w:tcPr>
            <w:tcW w:w="288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Shanghai </w:t>
            </w:r>
            <w:r>
              <w:rPr>
                <w:rFonts w:ascii="Times New Roman" w:cs="Times New Roman" w:eastAsia="Times New Roman" w:hAnsi="Times New Roman"/>
                <w:sz w:val="26"/>
                <w:szCs w:val="26"/>
                <w:i w:val="1"/>
                <w:iCs w:val="1"/>
                <w:color w:val="auto"/>
                <w:vertAlign w:val="superscript"/>
              </w:rPr>
              <w:t>(15)</w:t>
            </w: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Gunvor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2880" w:type="dxa"/>
            <w:vAlign w:val="bottom"/>
            <w:gridSpan w:val="2"/>
            <w:shd w:val="clear" w:color="auto" w:fill="CCEEFF"/>
          </w:tcPr>
          <w:p>
            <w:pPr>
              <w:ind w:left="2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Salem </w:t>
            </w:r>
            <w:r>
              <w:rPr>
                <w:rFonts w:ascii="Times New Roman" w:cs="Times New Roman" w:eastAsia="Times New Roman" w:hAnsi="Times New Roman"/>
                <w:sz w:val="26"/>
                <w:szCs w:val="26"/>
                <w:i w:val="1"/>
                <w:iCs w:val="1"/>
                <w:color w:val="auto"/>
                <w:vertAlign w:val="superscript"/>
              </w:rPr>
              <w:t>(15)</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Gunvor</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288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Hong Kong </w:t>
            </w:r>
            <w:r>
              <w:rPr>
                <w:rFonts w:ascii="Times New Roman" w:cs="Times New Roman" w:eastAsia="Times New Roman" w:hAnsi="Times New Roman"/>
                <w:sz w:val="26"/>
                <w:szCs w:val="26"/>
                <w:i w:val="1"/>
                <w:iCs w:val="1"/>
                <w:color w:val="auto"/>
                <w:vertAlign w:val="superscript"/>
              </w:rPr>
              <w:t>(15)</w:t>
            </w: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TotalEnergies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X-DF</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2025</w:t>
            </w:r>
          </w:p>
        </w:tc>
        <w:tc>
          <w:tcPr>
            <w:tcW w:w="112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(16)</w:t>
            </w: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2880" w:type="dxa"/>
            <w:vAlign w:val="bottom"/>
            <w:gridSpan w:val="2"/>
            <w:shd w:val="clear" w:color="auto" w:fill="CCEEFF"/>
          </w:tcPr>
          <w:p>
            <w:pPr>
              <w:ind w:left="26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Methane Julia Louise </w:t>
            </w:r>
            <w:r>
              <w:rPr>
                <w:rFonts w:ascii="Times New Roman" w:cs="Times New Roman" w:eastAsia="Times New Roman" w:hAnsi="Times New Roman"/>
                <w:sz w:val="26"/>
                <w:szCs w:val="26"/>
                <w:i w:val="1"/>
                <w:iCs w:val="1"/>
                <w:color w:val="auto"/>
                <w:vertAlign w:val="superscript"/>
              </w:rPr>
              <w:t>(15)</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170,000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1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2029-2031 </w:t>
            </w:r>
            <w:r>
              <w:rPr>
                <w:rFonts w:ascii="Times New Roman" w:cs="Times New Roman" w:eastAsia="Times New Roman" w:hAnsi="Times New Roman"/>
                <w:sz w:val="26"/>
                <w:szCs w:val="26"/>
                <w:color w:val="auto"/>
                <w:w w:val="96"/>
                <w:vertAlign w:val="superscript"/>
              </w:rPr>
              <w:t>(5)</w:t>
            </w:r>
          </w:p>
        </w:tc>
        <w:tc>
          <w:tcPr>
            <w:tcW w:w="0" w:type="dxa"/>
            <w:vAlign w:val="bottom"/>
          </w:tcPr>
          <w:p>
            <w:pPr>
              <w:spacing w:after="0"/>
              <w:rPr>
                <w:sz w:val="1"/>
                <w:szCs w:val="1"/>
                <w:color w:val="auto"/>
              </w:rPr>
            </w:pPr>
          </w:p>
        </w:tc>
      </w:tr>
      <w:tr>
        <w:trPr>
          <w:trHeight w:val="357"/>
        </w:trPr>
        <w:tc>
          <w:tcPr>
            <w:tcW w:w="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2880" w:type="dxa"/>
            <w:vAlign w:val="bottom"/>
            <w:gridSpan w:val="2"/>
          </w:tcPr>
          <w:p>
            <w:pPr>
              <w:ind w:left="260"/>
              <w:spacing w:after="0"/>
              <w:rPr>
                <w:sz w:val="20"/>
                <w:szCs w:val="20"/>
                <w:color w:val="auto"/>
              </w:rPr>
            </w:pPr>
            <w:r>
              <w:rPr>
                <w:rFonts w:ascii="Times New Roman" w:cs="Times New Roman" w:eastAsia="Times New Roman" w:hAnsi="Times New Roman"/>
                <w:sz w:val="16"/>
                <w:szCs w:val="16"/>
                <w:i w:val="1"/>
                <w:iCs w:val="1"/>
                <w:color w:val="auto"/>
              </w:rPr>
              <w:t xml:space="preserve">GasLog Houston </w:t>
            </w:r>
            <w:r>
              <w:rPr>
                <w:rFonts w:ascii="Times New Roman" w:cs="Times New Roman" w:eastAsia="Times New Roman" w:hAnsi="Times New Roman"/>
                <w:sz w:val="26"/>
                <w:szCs w:val="26"/>
                <w:i w:val="1"/>
                <w:iCs w:val="1"/>
                <w:color w:val="auto"/>
                <w:vertAlign w:val="superscript"/>
              </w:rPr>
              <w:t>(15)</w:t>
            </w: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Shell</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X-DF</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2028</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2031-2034 </w:t>
            </w:r>
            <w:r>
              <w:rPr>
                <w:rFonts w:ascii="Times New Roman" w:cs="Times New Roman" w:eastAsia="Times New Roman" w:hAnsi="Times New Roman"/>
                <w:sz w:val="26"/>
                <w:szCs w:val="26"/>
                <w:color w:val="auto"/>
                <w:w w:val="96"/>
                <w:vertAlign w:val="superscript"/>
              </w:rPr>
              <w:t>(5)</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Indicates the expiration of the initial term.</w:t>
      </w:r>
    </w:p>
    <w:p>
      <w:pPr>
        <w:spacing w:after="0" w:line="176"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period shown reflects the expiration of the minimum optional period and the maximum optional period.</w:t>
      </w:r>
    </w:p>
    <w:p>
      <w:pPr>
        <w:spacing w:after="0" w:line="174"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GasLog Chelsea</w:t>
      </w:r>
      <w:r>
        <w:rPr>
          <w:rFonts w:ascii="Times New Roman" w:cs="Times New Roman" w:eastAsia="Times New Roman" w:hAnsi="Times New Roman"/>
          <w:sz w:val="14"/>
          <w:szCs w:val="14"/>
          <w:color w:val="auto"/>
        </w:rPr>
        <w:t xml:space="preserve"> is scheduled to be converted into an FSRU in 2023.</w:t>
      </w:r>
    </w:p>
    <w:p>
      <w:pPr>
        <w:spacing w:after="0" w:line="192" w:lineRule="exact"/>
        <w:rPr>
          <w:rFonts w:ascii="Times New Roman" w:cs="Times New Roman" w:eastAsia="Times New Roman" w:hAnsi="Times New Roman"/>
          <w:sz w:val="12"/>
          <w:szCs w:val="12"/>
          <w:color w:val="auto"/>
        </w:rPr>
      </w:pPr>
    </w:p>
    <w:p>
      <w:pPr>
        <w:jc w:val="both"/>
        <w:ind w:left="260" w:hanging="252"/>
        <w:spacing w:after="0" w:line="233"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LNG Corporation. Subject to receipt of firm notice by the end of 2023, the vessel is expected to be delivered to Sinolam LNG Terminal, S.A. (“Sinolam LNG”) no later than twelve months thereafter for use as a floating storage unit (“FSU”) in support of an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significantly delayed as a result of COVID-19 related impacts to the construction schedule. In the meantime, the vessel has undergone FSU conversion for the Sinolam LNG charter during its scheduled dry-dock in the second quarter of 2021.</w:t>
      </w:r>
    </w:p>
    <w:p>
      <w:pPr>
        <w:spacing w:after="0" w:line="107" w:lineRule="exact"/>
        <w:rPr>
          <w:rFonts w:ascii="Times New Roman" w:cs="Times New Roman" w:eastAsia="Times New Roman" w:hAnsi="Times New Roman"/>
          <w:sz w:val="12"/>
          <w:szCs w:val="12"/>
          <w:color w:val="auto"/>
        </w:rPr>
      </w:pPr>
    </w:p>
    <w:p>
      <w:pPr>
        <w:jc w:val="both"/>
        <w:ind w:left="260" w:right="60" w:hanging="252"/>
        <w:spacing w:after="0" w:line="243"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 is chartered to Shell plc (“Shell”). Shell has the right to extend the charters of (a)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Gladstone</w:t>
      </w:r>
      <w:r>
        <w:rPr>
          <w:rFonts w:ascii="Times New Roman" w:cs="Times New Roman" w:eastAsia="Times New Roman" w:hAnsi="Times New Roman"/>
          <w:sz w:val="14"/>
          <w:szCs w:val="14"/>
          <w:color w:val="auto"/>
        </w:rPr>
        <w:t xml:space="preserve"> by two additional periods of three years, (b) the </w:t>
      </w:r>
      <w:r>
        <w:rPr>
          <w:rFonts w:ascii="Times New Roman" w:cs="Times New Roman" w:eastAsia="Times New Roman" w:hAnsi="Times New Roman"/>
          <w:sz w:val="14"/>
          <w:szCs w:val="14"/>
          <w:i w:val="1"/>
          <w:iCs w:val="1"/>
          <w:color w:val="auto"/>
        </w:rPr>
        <w:t>GasLog Geneva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Gibraltar</w:t>
      </w:r>
      <w:r>
        <w:rPr>
          <w:rFonts w:ascii="Times New Roman" w:cs="Times New Roman" w:eastAsia="Times New Roman" w:hAnsi="Times New Roman"/>
          <w:sz w:val="14"/>
          <w:szCs w:val="14"/>
          <w:color w:val="auto"/>
        </w:rPr>
        <w:t xml:space="preserve"> by two additional periods of five and three years, respectively, (c) the </w:t>
      </w:r>
      <w:r>
        <w:rPr>
          <w:rFonts w:ascii="Times New Roman" w:cs="Times New Roman" w:eastAsia="Times New Roman" w:hAnsi="Times New Roman"/>
          <w:sz w:val="14"/>
          <w:szCs w:val="14"/>
          <w:i w:val="1"/>
          <w:iCs w:val="1"/>
          <w:color w:val="auto"/>
        </w:rPr>
        <w:t>Methane Becki Anne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for a period of either three or five years, (d) the </w:t>
      </w:r>
      <w:r>
        <w:rPr>
          <w:rFonts w:ascii="Times New Roman" w:cs="Times New Roman" w:eastAsia="Times New Roman" w:hAnsi="Times New Roman"/>
          <w:sz w:val="14"/>
          <w:szCs w:val="14"/>
          <w:i w:val="1"/>
          <w:iCs w:val="1"/>
          <w:color w:val="auto"/>
        </w:rPr>
        <w:t>GasLog Greece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Glasgow</w:t>
      </w:r>
      <w:r>
        <w:rPr>
          <w:rFonts w:ascii="Times New Roman" w:cs="Times New Roman" w:eastAsia="Times New Roman" w:hAnsi="Times New Roman"/>
          <w:sz w:val="14"/>
          <w:szCs w:val="14"/>
          <w:color w:val="auto"/>
        </w:rPr>
        <w:t xml:space="preserve"> for a period of five years, provided that Shell gives us advance notice of the declarations.</w:t>
      </w:r>
    </w:p>
    <w:p>
      <w:pPr>
        <w:spacing w:after="0" w:line="107" w:lineRule="exact"/>
        <w:rPr>
          <w:rFonts w:ascii="Times New Roman" w:cs="Times New Roman" w:eastAsia="Times New Roman" w:hAnsi="Times New Roman"/>
          <w:sz w:val="12"/>
          <w:szCs w:val="12"/>
          <w:color w:val="auto"/>
        </w:rPr>
      </w:pPr>
    </w:p>
    <w:p>
      <w:pPr>
        <w:ind w:left="260" w:right="40" w:hanging="252"/>
        <w:spacing w:after="0" w:line="261"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vessels are chartered to Pioneer Shipping Limited, a wholly owned subsidiary of Centrica Plc (“Centrica”). Centrica has the right to extend the charters by three additional periods of two years, provided that Centrica gives us advance notice of declaration.</w:t>
      </w:r>
    </w:p>
    <w:p>
      <w:pPr>
        <w:spacing w:after="0" w:line="93" w:lineRule="exact"/>
        <w:rPr>
          <w:rFonts w:ascii="Times New Roman" w:cs="Times New Roman" w:eastAsia="Times New Roman" w:hAnsi="Times New Roman"/>
          <w:sz w:val="12"/>
          <w:szCs w:val="12"/>
          <w:color w:val="auto"/>
        </w:rPr>
      </w:pPr>
    </w:p>
    <w:p>
      <w:pPr>
        <w:jc w:val="both"/>
        <w:ind w:left="260" w:right="520" w:hanging="252"/>
        <w:spacing w:after="0" w:line="243"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vessels are chartered to Cheniere Marketing International LLP, a subsidiary of Cheniere Energy Inc. (“Cheniere”). Cheniere has the right to extend the charters of (a) the </w:t>
      </w:r>
      <w:r>
        <w:rPr>
          <w:rFonts w:ascii="Times New Roman" w:cs="Times New Roman" w:eastAsia="Times New Roman" w:hAnsi="Times New Roman"/>
          <w:sz w:val="14"/>
          <w:szCs w:val="14"/>
          <w:i w:val="1"/>
          <w:iCs w:val="1"/>
          <w:color w:val="auto"/>
        </w:rPr>
        <w:t>GasLog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Georgetown</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i w:val="1"/>
          <w:iCs w:val="1"/>
          <w:color w:val="auto"/>
        </w:rPr>
        <w:t xml:space="preserve"> GasLog Galveston,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i w:val="1"/>
          <w:iCs w:val="1"/>
          <w:color w:val="auto"/>
        </w:rPr>
        <w:t xml:space="preserve"> GasLog Wellington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GasLog Winchester </w:t>
      </w:r>
      <w:r>
        <w:rPr>
          <w:rFonts w:ascii="Times New Roman" w:cs="Times New Roman" w:eastAsia="Times New Roman" w:hAnsi="Times New Roman"/>
          <w:sz w:val="14"/>
          <w:szCs w:val="14"/>
          <w:color w:val="auto"/>
        </w:rPr>
        <w:t>by three consecutive periods of three years, two years and two years, respectively and (b) the</w:t>
      </w:r>
      <w:r>
        <w:rPr>
          <w:rFonts w:ascii="Times New Roman" w:cs="Times New Roman" w:eastAsia="Times New Roman" w:hAnsi="Times New Roman"/>
          <w:sz w:val="14"/>
          <w:szCs w:val="14"/>
          <w:i w:val="1"/>
          <w:iCs w:val="1"/>
          <w:color w:val="auto"/>
        </w:rPr>
        <w:t xml:space="preserve"> Methane Jane Elizabeth </w:t>
      </w:r>
      <w:r>
        <w:rPr>
          <w:rFonts w:ascii="Times New Roman" w:cs="Times New Roman" w:eastAsia="Times New Roman" w:hAnsi="Times New Roman"/>
          <w:sz w:val="14"/>
          <w:szCs w:val="14"/>
          <w:color w:val="auto"/>
        </w:rPr>
        <w:t>by two additional periods of one year, provided that Cheniere gives us advance notice of the declarations.</w:t>
      </w:r>
    </w:p>
    <w:p>
      <w:pPr>
        <w:spacing w:after="0" w:line="105" w:lineRule="exact"/>
        <w:rPr>
          <w:rFonts w:ascii="Times New Roman" w:cs="Times New Roman" w:eastAsia="Times New Roman" w:hAnsi="Times New Roman"/>
          <w:sz w:val="12"/>
          <w:szCs w:val="12"/>
          <w:color w:val="auto"/>
        </w:rPr>
      </w:pPr>
    </w:p>
    <w:p>
      <w:pPr>
        <w:ind w:left="260" w:right="380" w:hanging="252"/>
        <w:spacing w:after="0" w:line="264"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“Endesa” refers to Endesa S.A. Endesa has the right to extend the charter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by two additional periods of six years, provided that Endesa gives us advance notice of declaration.</w:t>
      </w:r>
    </w:p>
    <w:p>
      <w:pPr>
        <w:spacing w:after="0" w:line="93" w:lineRule="exact"/>
        <w:rPr>
          <w:rFonts w:ascii="Times New Roman" w:cs="Times New Roman" w:eastAsia="Times New Roman" w:hAnsi="Times New Roman"/>
          <w:sz w:val="12"/>
          <w:szCs w:val="12"/>
          <w:color w:val="auto"/>
        </w:rPr>
      </w:pPr>
    </w:p>
    <w:p>
      <w:pPr>
        <w:ind w:left="260" w:right="220" w:hanging="252"/>
        <w:spacing w:after="0" w:line="261"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95"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TotalEnergies Gas &amp; Power Limited, a wholly owned subsidiary of TotalEnergies SE (“TotalEnergies”).</w:t>
      </w:r>
    </w:p>
    <w:p>
      <w:pPr>
        <w:spacing w:after="0" w:line="176"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Carbon Hydrogen Energy Pte. Ltd., a wholly owned subsidiary of JOVO Group (“JOVO”).</w:t>
      </w:r>
    </w:p>
    <w:p>
      <w:pPr>
        <w:spacing w:after="0" w:line="176" w:lineRule="exact"/>
        <w:rPr>
          <w:rFonts w:ascii="Times New Roman" w:cs="Times New Roman" w:eastAsia="Times New Roman" w:hAnsi="Times New Roman"/>
          <w:sz w:val="12"/>
          <w:szCs w:val="12"/>
          <w:color w:val="auto"/>
        </w:rPr>
      </w:pPr>
    </w:p>
    <w:p>
      <w:pPr>
        <w:ind w:left="260" w:right="80" w:hanging="252"/>
        <w:spacing w:after="0" w:line="261"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“Trafigura” refers to Trafigura Maritime Logistics PTE Ltd. Trafigura may extend the term of this time charter for a period ranging from one to six years, provided that the charterer gives us advance notice of declaration.</w:t>
      </w:r>
    </w:p>
    <w:p>
      <w:pPr>
        <w:spacing w:after="0" w:line="95"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After expiration of its current time charter with TotalEnergies, the vessel will commence its charter with Naturgy.</w:t>
      </w:r>
    </w:p>
    <w:p>
      <w:pPr>
        <w:spacing w:after="0" w:line="176" w:lineRule="exact"/>
        <w:rPr>
          <w:rFonts w:ascii="Times New Roman" w:cs="Times New Roman" w:eastAsia="Times New Roman" w:hAnsi="Times New Roman"/>
          <w:sz w:val="12"/>
          <w:szCs w:val="12"/>
          <w:color w:val="auto"/>
        </w:rPr>
      </w:pPr>
    </w:p>
    <w:p>
      <w:pPr>
        <w:ind w:left="260" w:right="300" w:hanging="252"/>
        <w:spacing w:after="0" w:line="261"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93" w:lineRule="exact"/>
        <w:rPr>
          <w:rFonts w:ascii="Times New Roman" w:cs="Times New Roman" w:eastAsia="Times New Roman" w:hAnsi="Times New Roman"/>
          <w:sz w:val="12"/>
          <w:szCs w:val="12"/>
          <w:color w:val="auto"/>
        </w:rPr>
      </w:pPr>
    </w:p>
    <w:p>
      <w:pPr>
        <w:ind w:left="260" w:right="220" w:hanging="252"/>
        <w:spacing w:after="0" w:line="233" w:lineRule="auto"/>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Gas-six Ltd. has sold the </w:t>
      </w:r>
      <w:r>
        <w:rPr>
          <w:rFonts w:ascii="Times New Roman" w:cs="Times New Roman" w:eastAsia="Times New Roman" w:hAnsi="Times New Roman"/>
          <w:sz w:val="14"/>
          <w:szCs w:val="14"/>
          <w:i w:val="1"/>
          <w:iCs w:val="1"/>
          <w:color w:val="auto"/>
        </w:rPr>
        <w:t>GasLog Skagen</w:t>
      </w:r>
      <w:r>
        <w:rPr>
          <w:rFonts w:ascii="Times New Roman" w:cs="Times New Roman" w:eastAsia="Times New Roman" w:hAnsi="Times New Roman"/>
          <w:sz w:val="14"/>
          <w:szCs w:val="14"/>
          <w:color w:val="auto"/>
        </w:rPr>
        <w:t xml:space="preserve">, to a wholly owned subsidiary of CDBL and leased it back for a period of five years, with no repurchase option or obligation. GAS-ten Ltd. and GAS-three Ltd. have sold the </w:t>
      </w:r>
      <w:r>
        <w:rPr>
          <w:rFonts w:ascii="Times New Roman" w:cs="Times New Roman" w:eastAsia="Times New Roman" w:hAnsi="Times New Roman"/>
          <w:sz w:val="14"/>
          <w:szCs w:val="14"/>
          <w:i w:val="1"/>
          <w:iCs w:val="1"/>
          <w:color w:val="auto"/>
        </w:rPr>
        <w:t>GasLog Salem</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Shanghai</w:t>
      </w:r>
      <w:r>
        <w:rPr>
          <w:rFonts w:ascii="Times New Roman" w:cs="Times New Roman" w:eastAsia="Times New Roman" w:hAnsi="Times New Roman"/>
          <w:sz w:val="14"/>
          <w:szCs w:val="14"/>
          <w:color w:val="auto"/>
        </w:rPr>
        <w:t xml:space="preserve">, respectively, to a wholly owned subsidiary of CDBL and leased them back for a period of five years, with no repurchase option or obligation. GAS-twenty five Ltd., GAS-twenty six Ltd. and GAS-twenty four Ltd. have sold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to Sea 190 Leasing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to Lepta Shipping and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to Hai Kuo Shipping,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111"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TotalEnergies has the right to extend the charter for a period of three years, provided that TotalEnergies provides us with advance notice of declaration.</w:t>
      </w:r>
    </w:p>
    <w:p>
      <w:pPr>
        <w:spacing w:after="0" w:line="1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auto"/>
        </w:rPr>
        <w:t>Future Deliveries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11, 2022, GasLog has four newbuildings on order at Daewoo Shipbuilding and Marine Engineering Co., Ltd. (“Daewoo”):</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Expected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w:t>
            </w:r>
          </w:p>
        </w:tc>
      </w:tr>
      <w:tr>
        <w:trPr>
          <w:trHeight w:val="256"/>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Shipyard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56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6"/>
                <w:szCs w:val="16"/>
                <w:b w:val="1"/>
                <w:bCs w:val="1"/>
                <w:color w:val="auto"/>
                <w:w w:val="95"/>
              </w:rPr>
              <w:t>Expiration</w:t>
            </w:r>
            <w:r>
              <w:rPr>
                <w:rFonts w:ascii="Times New Roman" w:cs="Times New Roman" w:eastAsia="Times New Roman" w:hAnsi="Times New Roman"/>
                <w:sz w:val="26"/>
                <w:szCs w:val="26"/>
                <w:b w:val="1"/>
                <w:bCs w:val="1"/>
                <w:color w:val="auto"/>
                <w:w w:val="95"/>
                <w:vertAlign w:val="superscript"/>
              </w:rPr>
              <w:t>(1)</w:t>
            </w:r>
          </w:p>
        </w:tc>
      </w:tr>
      <w:tr>
        <w:trPr>
          <w:trHeight w:val="196"/>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Hull No. 2532</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Q3 2024</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Daewoo</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multinational oil and gas company</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MEGI</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Hull No. 2533</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Q3 2024</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Daewoo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Mitsui</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MEGI</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2033</w:t>
            </w:r>
          </w:p>
        </w:tc>
        <w:tc>
          <w:tcPr>
            <w:tcW w:w="100" w:type="dxa"/>
            <w:vAlign w:val="bottom"/>
          </w:tcPr>
          <w:p>
            <w:pPr>
              <w:spacing w:after="0"/>
              <w:rPr>
                <w:sz w:val="18"/>
                <w:szCs w:val="18"/>
                <w:color w:val="auto"/>
              </w:rPr>
            </w:pPr>
          </w:p>
        </w:tc>
      </w:tr>
      <w:tr>
        <w:trPr>
          <w:trHeight w:val="219"/>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Hull No. 2534</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Q3 2025</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Daewoo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Woodside</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MEGI</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100" w:type="dxa"/>
            <w:vAlign w:val="bottom"/>
            <w:shd w:val="clear" w:color="auto" w:fill="CCEEFF"/>
          </w:tcPr>
          <w:p>
            <w:pPr>
              <w:spacing w:after="0"/>
              <w:rPr>
                <w:sz w:val="19"/>
                <w:szCs w:val="19"/>
                <w:color w:val="auto"/>
              </w:rPr>
            </w:pPr>
          </w:p>
        </w:tc>
      </w:tr>
      <w:tr>
        <w:trPr>
          <w:trHeight w:val="210"/>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Hull No. 2535</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Q4 2025</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Daewoo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Woodside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MEGI</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2"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 expiration to be determined based upon actual date of delivery.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5"/>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 and March 31, 2022</w:t>
            </w:r>
          </w:p>
        </w:tc>
        <w:tc>
          <w:tcPr>
            <w:tcW w:w="1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1"/>
        </w:trPr>
        <w:tc>
          <w:tcPr>
            <w:tcW w:w="6500" w:type="dxa"/>
            <w:vAlign w:val="bottom"/>
          </w:tcPr>
          <w:p>
            <w:pPr>
              <w:spacing w:after="0"/>
              <w:rPr>
                <w:sz w:val="24"/>
                <w:szCs w:val="24"/>
                <w:color w:val="auto"/>
              </w:rPr>
            </w:pPr>
          </w:p>
        </w:tc>
        <w:tc>
          <w:tcPr>
            <w:tcW w:w="3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3"/>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9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9,511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9,511</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associates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23,508</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24,027</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4,789</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7,444</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5,002,829</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4,781,067</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Vessels under construction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135,061</w:t>
            </w:r>
          </w:p>
        </w:tc>
        <w:tc>
          <w:tcPr>
            <w:tcW w:w="80" w:type="dxa"/>
            <w:vAlign w:val="bottom"/>
            <w:shd w:val="clear" w:color="auto" w:fill="CCEEFF"/>
          </w:tcPr>
          <w:p>
            <w:pPr>
              <w:spacing w:after="0"/>
              <w:rPr>
                <w:sz w:val="17"/>
                <w:szCs w:val="17"/>
                <w:color w:val="auto"/>
              </w:rPr>
            </w:pPr>
          </w:p>
        </w:tc>
      </w:tr>
      <w:tr>
        <w:trPr>
          <w:trHeight w:val="21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363,035</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435,736</w:t>
            </w:r>
          </w:p>
        </w:tc>
        <w:tc>
          <w:tcPr>
            <w:tcW w:w="80" w:type="dxa"/>
            <w:vAlign w:val="bottom"/>
          </w:tcPr>
          <w:p>
            <w:pPr>
              <w:spacing w:after="0"/>
              <w:rPr>
                <w:sz w:val="18"/>
                <w:szCs w:val="18"/>
                <w:color w:val="auto"/>
              </w:rPr>
            </w:pPr>
          </w:p>
        </w:tc>
      </w:tr>
      <w:tr>
        <w:trPr>
          <w:trHeight w:val="19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9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5,434,165</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5,397,635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6"/>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30,056</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Dividends receivable and other amounts due from related parties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8,327</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12,329</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5,451</w:t>
            </w:r>
          </w:p>
        </w:tc>
        <w:tc>
          <w:tcPr>
            <w:tcW w:w="80" w:type="dxa"/>
            <w:vAlign w:val="bottom"/>
            <w:shd w:val="clear" w:color="auto" w:fill="CCEEFF"/>
          </w:tcPr>
          <w:p>
            <w:pPr>
              <w:spacing w:after="0"/>
              <w:rPr>
                <w:sz w:val="17"/>
                <w:szCs w:val="17"/>
                <w:color w:val="auto"/>
              </w:rPr>
            </w:pPr>
          </w:p>
        </w:tc>
      </w:tr>
      <w:tr>
        <w:trPr>
          <w:trHeight w:val="21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282,246</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263,484</w:t>
            </w:r>
          </w:p>
        </w:tc>
        <w:tc>
          <w:tcPr>
            <w:tcW w:w="80" w:type="dxa"/>
            <w:vAlign w:val="bottom"/>
          </w:tcPr>
          <w:p>
            <w:pPr>
              <w:spacing w:after="0"/>
              <w:rPr>
                <w:sz w:val="18"/>
                <w:szCs w:val="18"/>
                <w:color w:val="auto"/>
              </w:rPr>
            </w:pPr>
          </w:p>
        </w:tc>
      </w:tr>
      <w:tr>
        <w:trPr>
          <w:trHeight w:val="19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9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325,580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311,519</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48"/>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9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5,759,745</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5,709,154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8"/>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1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Preference shares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954</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Contributed surplus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692,536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675,712</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Reserves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15,322</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13,920</w:t>
            </w:r>
          </w:p>
        </w:tc>
        <w:tc>
          <w:tcPr>
            <w:tcW w:w="80" w:type="dxa"/>
            <w:vAlign w:val="bottom"/>
          </w:tcPr>
          <w:p>
            <w:pPr>
              <w:spacing w:after="0"/>
              <w:rPr>
                <w:sz w:val="17"/>
                <w:szCs w:val="17"/>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(65,117)</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(20,322)</w:t>
            </w:r>
          </w:p>
        </w:tc>
      </w:tr>
      <w:tr>
        <w:trPr>
          <w:trHeight w:val="196"/>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owners of the Group</w:t>
            </w:r>
          </w:p>
        </w:tc>
        <w:tc>
          <w:tcPr>
            <w:tcW w:w="19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643,741</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670,310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924,630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933,414</w:t>
            </w:r>
          </w:p>
        </w:tc>
        <w:tc>
          <w:tcPr>
            <w:tcW w:w="80" w:type="dxa"/>
            <w:vAlign w:val="bottom"/>
            <w:shd w:val="clear" w:color="auto" w:fill="CCEEFF"/>
          </w:tcPr>
          <w:p>
            <w:pPr>
              <w:spacing w:after="0"/>
              <w:rPr>
                <w:sz w:val="18"/>
                <w:szCs w:val="18"/>
                <w:color w:val="auto"/>
              </w:rPr>
            </w:pPr>
          </w:p>
        </w:tc>
      </w:tr>
      <w:tr>
        <w:trPr>
          <w:trHeight w:val="19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9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1,568,371</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1,603,724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15,892</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39,282</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Ship management creditors</w:t>
            </w:r>
          </w:p>
        </w:tc>
        <w:tc>
          <w:tcPr>
            <w:tcW w:w="3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10,567</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153,501</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136,040</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current portion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553,161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234,887</w:t>
            </w:r>
          </w:p>
        </w:tc>
        <w:tc>
          <w:tcPr>
            <w:tcW w:w="80" w:type="dxa"/>
            <w:vAlign w:val="bottom"/>
            <w:shd w:val="clear" w:color="auto" w:fill="CCEEFF"/>
          </w:tcPr>
          <w:p>
            <w:pPr>
              <w:spacing w:after="0"/>
              <w:rPr>
                <w:sz w:val="17"/>
                <w:szCs w:val="17"/>
                <w:color w:val="auto"/>
              </w:rPr>
            </w:pPr>
          </w:p>
        </w:tc>
      </w:tr>
      <w:tr>
        <w:trPr>
          <w:trHeight w:val="21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current portion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30,905</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41,372</w:t>
            </w:r>
          </w:p>
        </w:tc>
        <w:tc>
          <w:tcPr>
            <w:tcW w:w="80" w:type="dxa"/>
            <w:vAlign w:val="bottom"/>
          </w:tcPr>
          <w:p>
            <w:pPr>
              <w:spacing w:after="0"/>
              <w:rPr>
                <w:sz w:val="18"/>
                <w:szCs w:val="18"/>
                <w:color w:val="auto"/>
              </w:rPr>
            </w:pPr>
          </w:p>
        </w:tc>
      </w:tr>
      <w:tr>
        <w:trPr>
          <w:trHeight w:val="19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9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779,123</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462,312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1,935</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Borrowings, non-current portion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3,105,059</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3,243,809</w:t>
            </w:r>
          </w:p>
        </w:tc>
        <w:tc>
          <w:tcPr>
            <w:tcW w:w="8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non-current portion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271,945</w:t>
            </w: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311,172</w:t>
            </w:r>
          </w:p>
        </w:tc>
      </w:tr>
      <w:tr>
        <w:trPr>
          <w:trHeight w:val="21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6,553</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86,202</w:t>
            </w:r>
          </w:p>
        </w:tc>
        <w:tc>
          <w:tcPr>
            <w:tcW w:w="80" w:type="dxa"/>
            <w:vAlign w:val="bottom"/>
          </w:tcPr>
          <w:p>
            <w:pPr>
              <w:spacing w:after="0"/>
              <w:rPr>
                <w:sz w:val="18"/>
                <w:szCs w:val="18"/>
                <w:color w:val="auto"/>
              </w:rPr>
            </w:pPr>
          </w:p>
        </w:tc>
      </w:tr>
      <w:tr>
        <w:trPr>
          <w:trHeight w:val="19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9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3,412,251</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3,643,118</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8"/>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19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5,759,745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5,709,154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205,327</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213,723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(3,912)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(5,332)</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 operating and supervision costs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(39,253)</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(43,637)</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(47,690)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(54,833)</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(28,884)</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(11,742)</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(10,018)</w:t>
            </w: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102,730</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70,442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(39,388)</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(37,369)</w:t>
            </w:r>
          </w:p>
        </w:tc>
        <w:tc>
          <w:tcPr>
            <w:tcW w:w="100" w:type="dxa"/>
            <w:vAlign w:val="bottom"/>
            <w:gridSpan w:val="2"/>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37,401</w:t>
            </w:r>
          </w:p>
        </w:tc>
        <w:tc>
          <w:tcPr>
            <w:tcW w:w="80" w:type="dxa"/>
            <w:vAlign w:val="bottom"/>
            <w:shd w:val="clear" w:color="auto" w:fill="CCEEFF"/>
          </w:tcPr>
          <w:p>
            <w:pPr>
              <w:spacing w:after="0"/>
              <w:rPr>
                <w:sz w:val="17"/>
                <w:szCs w:val="17"/>
                <w:color w:val="auto"/>
              </w:rPr>
            </w:pP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tcPr>
          <w:p>
            <w:pPr>
              <w:spacing w:after="0"/>
              <w:rPr>
                <w:sz w:val="18"/>
                <w:szCs w:val="18"/>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(expenses)/income, net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(18,486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84,244</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71,052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Attributable to:</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Owners of the Group</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57,934</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44,795</w:t>
            </w:r>
          </w:p>
        </w:tc>
        <w:tc>
          <w:tcPr>
            <w:tcW w:w="80" w:type="dxa"/>
            <w:vAlign w:val="bottom"/>
          </w:tcPr>
          <w:p>
            <w:pPr>
              <w:spacing w:after="0"/>
              <w:rPr>
                <w:sz w:val="17"/>
                <w:szCs w:val="17"/>
                <w:color w:val="auto"/>
              </w:rPr>
            </w:pPr>
          </w:p>
        </w:tc>
      </w:tr>
      <w:tr>
        <w:trPr>
          <w:trHeight w:val="21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26,310</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4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84,244</w:t>
            </w:r>
          </w:p>
        </w:tc>
        <w:tc>
          <w:tcPr>
            <w:tcW w:w="2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71,052</w:t>
            </w: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2"/>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84,244</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71,052</w:t>
            </w:r>
          </w:p>
        </w:tc>
        <w:tc>
          <w:tcPr>
            <w:tcW w:w="80" w:type="dxa"/>
            <w:vAlign w:val="bottom"/>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47,690</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54,833</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28,884</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(567)</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(519)</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37,369</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 (excluding realized loss on forward foreign exchange contracts held for trading)</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(20,333)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(38,036)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shd w:val="clear" w:color="auto" w:fill="CCEEFF"/>
          </w:tcPr>
          <w:p>
            <w:pPr>
              <w:spacing w:after="0"/>
              <w:rPr>
                <w:sz w:val="18"/>
                <w:szCs w:val="18"/>
                <w:color w:val="auto"/>
              </w:rPr>
            </w:pPr>
          </w:p>
        </w:tc>
      </w:tr>
      <w:tr>
        <w:trPr>
          <w:trHeight w:val="207"/>
        </w:trPr>
        <w:tc>
          <w:tcPr>
            <w:tcW w:w="84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151,172</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154,357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(8,632</w:t>
            </w: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142,540</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149,309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and vessels under construction</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(164,287)</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(98,971)</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and leaseback, net of commissions</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125,968</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FSRU conversion</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79,526</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received from associate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(163,835</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106,553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loans and bonds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315,000</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Loan and bond repayments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(217,873)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(492,099)</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(2,740)</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(7,824)</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(52,020)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(45,409)</w:t>
            </w:r>
          </w:p>
        </w:tc>
      </w:tr>
      <w:tr>
        <w:trPr>
          <w:trHeight w:val="20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cash collaterals for swaps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(1,030)</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Release of cash collaterals for swaps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15,367</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loan and bond issuance costs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(2,463)</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(3,637)</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Loan issuance costs received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equity raising costs</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(common and preference)</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(17,700)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(31,318)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GasLog Partners’ common and preference units</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(10,002)</w:t>
            </w: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(112,122</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(274,319</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(133,365</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(18,762</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367,269</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233,904</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263,484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EBITDA, Adjusted EBITDA and Adjusted Profit</w:t>
      </w: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Transaction Costs. Adjusted Profit represents earnings before write-off and accelerated amortization of unamortized loan fees/bond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 (b) 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9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EBITDA, Adjusted EBITDA and Adjusted Profit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84,244</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47,690</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54,833</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37,369</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(20,283)</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(37,401)</w:t>
            </w: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150,987</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125,794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(gains)/losses,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1,478</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28,884</w:t>
            </w:r>
          </w:p>
        </w:tc>
        <w:tc>
          <w:tcPr>
            <w:tcW w:w="80" w:type="dxa"/>
            <w:vAlign w:val="bottom"/>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shd w:val="clear" w:color="auto" w:fill="CCEEFF"/>
          </w:tcPr>
          <w:p>
            <w:pPr>
              <w:spacing w:after="0"/>
              <w:rPr>
                <w:sz w:val="18"/>
                <w:szCs w:val="18"/>
                <w:color w:val="auto"/>
              </w:rPr>
            </w:pP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154,160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157,533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84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84,244</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Non-cash gain on derivatives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(29,040)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(46,212)</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 of unamortized loan fees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(gains)/losses, net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1,478</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28,884</w:t>
            </w:r>
          </w:p>
        </w:tc>
        <w:tc>
          <w:tcPr>
            <w:tcW w:w="8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foreign exchange (gains)/losses, net on cash</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18"/>
                <w:szCs w:val="18"/>
                <w:color w:val="auto"/>
              </w:rPr>
            </w:pP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61,853</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2022-05-11T05:47:01Z</dcterms:created>
  <dcterms:modified xsi:type="dcterms:W3CDTF">2022-05-11T05:47:01Z</dcterms:modified>
</cp:coreProperties>
</file>