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8720" w:val="left"/>
        </w:tabs>
        <w:rPr>
          <w:sz w:val="20"/>
          <w:szCs w:val="20"/>
          <w:color w:val="auto"/>
        </w:rPr>
      </w:pPr>
      <w:r>
        <w:rPr>
          <w:rFonts w:ascii="Arial" w:cs="Arial" w:eastAsia="Arial" w:hAnsi="Arial"/>
          <w:sz w:val="19"/>
          <w:szCs w:val="19"/>
          <w:b w:val="1"/>
          <w:bCs w:val="1"/>
          <w:color w:val="auto"/>
        </w:rPr>
        <w:t>PROSPECTUS SUPPLEMENT</w:t>
      </w:r>
      <w:r>
        <w:rPr>
          <w:sz w:val="20"/>
          <w:szCs w:val="20"/>
          <w:color w:val="auto"/>
        </w:rPr>
        <w:tab/>
      </w:r>
      <w:r>
        <w:rPr>
          <w:rFonts w:ascii="Arial" w:cs="Arial" w:eastAsia="Arial" w:hAnsi="Arial"/>
          <w:sz w:val="17"/>
          <w:szCs w:val="17"/>
          <w:b w:val="1"/>
          <w:bCs w:val="1"/>
          <w:color w:val="auto"/>
        </w:rPr>
        <w:t>Filed Pursuant to Rule 424(b)(5)</w:t>
      </w:r>
    </w:p>
    <w:p>
      <w:pPr>
        <w:spacing w:after="0" w:line="33" w:lineRule="exact"/>
        <w:rPr>
          <w:sz w:val="24"/>
          <w:szCs w:val="24"/>
          <w:color w:val="auto"/>
        </w:rPr>
      </w:pPr>
    </w:p>
    <w:p>
      <w:pPr>
        <w:spacing w:after="0"/>
        <w:tabs>
          <w:tab w:leader="none" w:pos="9060" w:val="left"/>
        </w:tabs>
        <w:rPr>
          <w:sz w:val="20"/>
          <w:szCs w:val="20"/>
          <w:color w:val="auto"/>
        </w:rPr>
      </w:pPr>
      <w:r>
        <w:rPr>
          <w:rFonts w:ascii="Arial" w:cs="Arial" w:eastAsia="Arial" w:hAnsi="Arial"/>
          <w:sz w:val="19"/>
          <w:szCs w:val="19"/>
          <w:b w:val="1"/>
          <w:bCs w:val="1"/>
          <w:color w:val="auto"/>
        </w:rPr>
        <w:t>(to Prospectus dated March 14, 2016)</w:t>
      </w:r>
      <w:r>
        <w:rPr>
          <w:sz w:val="20"/>
          <w:szCs w:val="20"/>
          <w:color w:val="auto"/>
        </w:rPr>
        <w:tab/>
      </w:r>
      <w:r>
        <w:rPr>
          <w:rFonts w:ascii="Arial" w:cs="Arial" w:eastAsia="Arial" w:hAnsi="Arial"/>
          <w:sz w:val="17"/>
          <w:szCs w:val="17"/>
          <w:b w:val="1"/>
          <w:bCs w:val="1"/>
          <w:color w:val="auto"/>
        </w:rPr>
        <w:t>Registration No. 333-210169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156210</wp:posOffset>
            </wp:positionV>
            <wp:extent cx="165544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55"/>
          <w:szCs w:val="55"/>
          <w:b w:val="1"/>
          <w:bCs w:val="1"/>
          <w:color w:val="auto"/>
        </w:rPr>
        <w:t>GasLog Ltd.</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8.875% Senior Notes due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121920</wp:posOffset>
            </wp:positionV>
            <wp:extent cx="1157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5" w:lineRule="exact"/>
        <w:rPr>
          <w:sz w:val="24"/>
          <w:szCs w:val="24"/>
          <w:color w:val="auto"/>
        </w:rPr>
      </w:pPr>
    </w:p>
    <w:p>
      <w:pPr>
        <w:ind w:left="320"/>
        <w:spacing w:after="0"/>
        <w:rPr>
          <w:sz w:val="20"/>
          <w:szCs w:val="20"/>
          <w:color w:val="auto"/>
        </w:rPr>
      </w:pPr>
      <w:r>
        <w:rPr>
          <w:rFonts w:ascii="Arial" w:cs="Arial" w:eastAsia="Arial" w:hAnsi="Arial"/>
          <w:sz w:val="18"/>
          <w:szCs w:val="18"/>
          <w:color w:val="auto"/>
        </w:rPr>
        <w:t>We are offering $250,000,000 aggregate principal amount of 8.875% Senior Notes due 2022 (the “Notes”).</w:t>
      </w:r>
    </w:p>
    <w:p>
      <w:pPr>
        <w:spacing w:after="0" w:line="104" w:lineRule="exact"/>
        <w:rPr>
          <w:sz w:val="24"/>
          <w:szCs w:val="24"/>
          <w:color w:val="auto"/>
        </w:rPr>
      </w:pPr>
    </w:p>
    <w:p>
      <w:pPr>
        <w:ind w:right="60" w:firstLine="321"/>
        <w:spacing w:after="0" w:line="262" w:lineRule="auto"/>
        <w:rPr>
          <w:sz w:val="20"/>
          <w:szCs w:val="20"/>
          <w:color w:val="auto"/>
        </w:rPr>
      </w:pPr>
      <w:r>
        <w:rPr>
          <w:rFonts w:ascii="Arial" w:cs="Arial" w:eastAsia="Arial" w:hAnsi="Arial"/>
          <w:sz w:val="18"/>
          <w:szCs w:val="18"/>
          <w:color w:val="auto"/>
        </w:rPr>
        <w:t>Blenheim Holdings Ltd., which is GasLog’s largest shareholder and is controlled by our chairman, Peter G. Livanos, has agreed to purchase $9,750,000 of Notes in this offering. A total of $16,250,000 of Notes (including the Notes to be purchased by Blenheim Holdings Ltd.) is being sold to GasLog-related investors in this offering.</w:t>
      </w:r>
    </w:p>
    <w:p>
      <w:pPr>
        <w:spacing w:after="0" w:line="78" w:lineRule="exact"/>
        <w:rPr>
          <w:sz w:val="24"/>
          <w:szCs w:val="24"/>
          <w:color w:val="auto"/>
        </w:rPr>
      </w:pPr>
    </w:p>
    <w:p>
      <w:pPr>
        <w:ind w:right="120" w:firstLine="321"/>
        <w:spacing w:after="0" w:line="262" w:lineRule="auto"/>
        <w:rPr>
          <w:sz w:val="20"/>
          <w:szCs w:val="20"/>
          <w:color w:val="auto"/>
        </w:rPr>
      </w:pPr>
      <w:r>
        <w:rPr>
          <w:rFonts w:ascii="Arial" w:cs="Arial" w:eastAsia="Arial" w:hAnsi="Arial"/>
          <w:sz w:val="18"/>
          <w:szCs w:val="18"/>
          <w:color w:val="auto"/>
        </w:rPr>
        <w:t>The Notes will bear interest from the date of original issue until maturity at a rate of % per year. Interest will be payable quarterly in arrears on March 30, June 30, September 30 and December 30 of each year, commencing on June 30, 2017. The Notes will be issued in minimum denominations of $1,000 and integral multiples of $1,000 in excess thereof.</w:t>
      </w:r>
    </w:p>
    <w:p>
      <w:pPr>
        <w:spacing w:after="0" w:line="78" w:lineRule="exact"/>
        <w:rPr>
          <w:sz w:val="24"/>
          <w:szCs w:val="24"/>
          <w:color w:val="auto"/>
        </w:rPr>
      </w:pPr>
    </w:p>
    <w:p>
      <w:pPr>
        <w:jc w:val="both"/>
        <w:ind w:right="20" w:firstLine="321"/>
        <w:spacing w:after="0" w:line="284" w:lineRule="auto"/>
        <w:rPr>
          <w:sz w:val="20"/>
          <w:szCs w:val="20"/>
          <w:color w:val="auto"/>
        </w:rPr>
      </w:pPr>
      <w:r>
        <w:rPr>
          <w:rFonts w:ascii="Arial" w:cs="Arial" w:eastAsia="Arial" w:hAnsi="Arial"/>
          <w:sz w:val="17"/>
          <w:szCs w:val="17"/>
          <w:color w:val="auto"/>
        </w:rPr>
        <w:t>The Notes will be our unsecured unsubordinated obligations. The Notes will rank senior to any of our future subordinated debt and rank equally in right of payment with all of our existing and future unsecured and unsubordinated debt. The Notes will effectively rank junior to our existing and future secured debt to the extent of the value of the assets securing such debt as well as to existing and future debt and other liabilities of our subsidiaries.</w:t>
      </w:r>
    </w:p>
    <w:p>
      <w:pPr>
        <w:spacing w:after="0" w:line="62" w:lineRule="exact"/>
        <w:rPr>
          <w:sz w:val="24"/>
          <w:szCs w:val="24"/>
          <w:color w:val="auto"/>
        </w:rPr>
      </w:pPr>
    </w:p>
    <w:p>
      <w:pPr>
        <w:ind w:right="100" w:firstLine="321"/>
        <w:spacing w:after="0" w:line="309" w:lineRule="auto"/>
        <w:rPr>
          <w:sz w:val="20"/>
          <w:szCs w:val="20"/>
          <w:color w:val="auto"/>
        </w:rPr>
      </w:pPr>
      <w:r>
        <w:rPr>
          <w:rFonts w:ascii="Arial" w:cs="Arial" w:eastAsia="Arial" w:hAnsi="Arial"/>
          <w:sz w:val="16"/>
          <w:szCs w:val="16"/>
          <w:color w:val="auto"/>
        </w:rPr>
        <w:t>We may redeem some or all of the Notes at any time and from time to time at a redemption price of 100% of the principal amount, plus accrued and unpaid interest, if any, to but excluding the redemption date, plus an applicable “make-whole” premium. The Notes may also be redeemed at 100% of their principal amount in whole but not in part upon the occurrence of certain tax events described in this prospectus supplement and the accompanying prospectus.</w:t>
      </w:r>
    </w:p>
    <w:p>
      <w:pPr>
        <w:spacing w:after="0" w:line="46" w:lineRule="exact"/>
        <w:rPr>
          <w:sz w:val="24"/>
          <w:szCs w:val="24"/>
          <w:color w:val="auto"/>
        </w:rPr>
      </w:pPr>
    </w:p>
    <w:p>
      <w:pPr>
        <w:ind w:left="320"/>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332" w:lineRule="exact"/>
        <w:rPr>
          <w:sz w:val="24"/>
          <w:szCs w:val="24"/>
          <w:color w:val="auto"/>
        </w:rPr>
      </w:pPr>
    </w:p>
    <w:p>
      <w:pPr>
        <w:jc w:val="both"/>
        <w:ind w:right="420" w:firstLine="393"/>
        <w:spacing w:after="0" w:line="300" w:lineRule="auto"/>
        <w:rPr>
          <w:sz w:val="20"/>
          <w:szCs w:val="20"/>
          <w:color w:val="auto"/>
        </w:rPr>
      </w:pPr>
      <w:r>
        <w:rPr>
          <w:rFonts w:ascii="Arial" w:cs="Arial" w:eastAsia="Arial" w:hAnsi="Arial"/>
          <w:sz w:val="19"/>
          <w:szCs w:val="19"/>
          <w:b w:val="1"/>
          <w:bCs w:val="1"/>
          <w:color w:val="auto"/>
        </w:rPr>
        <w:t>Investing in the Notes involves a high degree of risk. The Notes have not been rated. Please read the section entitled “Risk Factors” on page S-15 of this prospectus supplement and beginning on page 6 of our Annual Report on Form 20-F filed with the Securities and Exchange Commission on March 1, 2017 before you make an investment in the Notes.</w:t>
      </w:r>
    </w:p>
    <w:p>
      <w:pPr>
        <w:spacing w:after="0" w:line="31" w:lineRule="exact"/>
        <w:rPr>
          <w:sz w:val="24"/>
          <w:szCs w:val="24"/>
          <w:color w:val="auto"/>
        </w:rPr>
      </w:pPr>
    </w:p>
    <w:p>
      <w:pPr>
        <w:ind w:right="40" w:firstLine="321"/>
        <w:spacing w:after="0" w:line="29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9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w w:val="88"/>
              </w:rPr>
              <w:t>Per Note</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37"/>
        </w:trPr>
        <w:tc>
          <w:tcPr>
            <w:tcW w:w="9140" w:type="dxa"/>
            <w:vAlign w:val="bottom"/>
            <w:shd w:val="clear" w:color="auto" w:fill="E5FF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1"/>
              </w:rPr>
              <w:t>1,000.00</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1"/>
              </w:rPr>
              <w:t>250,000,000</w:t>
            </w:r>
          </w:p>
        </w:tc>
      </w:tr>
      <w:tr>
        <w:trPr>
          <w:trHeight w:val="242"/>
        </w:trPr>
        <w:tc>
          <w:tcPr>
            <w:tcW w:w="91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9"/>
                <w:szCs w:val="9"/>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4,219,250</w:t>
            </w:r>
          </w:p>
        </w:tc>
      </w:tr>
      <w:tr>
        <w:trPr>
          <w:trHeight w:val="244"/>
        </w:trPr>
        <w:tc>
          <w:tcPr>
            <w:tcW w:w="9140" w:type="dxa"/>
            <w:vAlign w:val="bottom"/>
            <w:shd w:val="clear" w:color="auto" w:fill="E5FFFF"/>
          </w:tcPr>
          <w:p>
            <w:pPr>
              <w:spacing w:after="0"/>
              <w:rPr>
                <w:sz w:val="20"/>
                <w:szCs w:val="20"/>
                <w:color w:val="auto"/>
              </w:rPr>
            </w:pPr>
            <w:r>
              <w:rPr>
                <w:rFonts w:ascii="Arial" w:cs="Arial" w:eastAsia="Arial" w:hAnsi="Arial"/>
                <w:sz w:val="18"/>
                <w:szCs w:val="18"/>
                <w:color w:val="auto"/>
              </w:rPr>
              <w:t>Proceeds to GasLog Ltd. (before expenses)</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983.12</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1"/>
              </w:rPr>
              <w:t>245,780,750</w:t>
            </w:r>
          </w:p>
        </w:tc>
      </w:tr>
    </w:tbl>
    <w:p>
      <w:pPr>
        <w:spacing w:after="0" w:line="304" w:lineRule="exact"/>
        <w:rPr>
          <w:sz w:val="24"/>
          <w:szCs w:val="24"/>
          <w:color w:val="auto"/>
        </w:rPr>
      </w:pPr>
    </w:p>
    <w:p>
      <w:pPr>
        <w:ind w:left="280" w:right="60" w:hanging="200"/>
        <w:spacing w:after="0"/>
        <w:tabs>
          <w:tab w:leader="none" w:pos="280" w:val="left"/>
        </w:tabs>
        <w:numPr>
          <w:ilvl w:val="0"/>
          <w:numId w:val="1"/>
        </w:numPr>
        <w:rPr>
          <w:rFonts w:ascii="Arial" w:cs="Arial" w:eastAsia="Arial" w:hAnsi="Arial"/>
          <w:sz w:val="9"/>
          <w:szCs w:val="9"/>
          <w:color w:val="auto"/>
        </w:rPr>
      </w:pPr>
      <w:r>
        <w:rPr>
          <w:rFonts w:ascii="Arial" w:cs="Arial" w:eastAsia="Arial" w:hAnsi="Arial"/>
          <w:sz w:val="16"/>
          <w:szCs w:val="16"/>
          <w:color w:val="auto"/>
        </w:rPr>
        <w:t>See “Underwriting” for additional information regarding the total underwriting compensation. The underwriting discount will be $17.50 per Note for institutional orders and $28.00 per Note for retail orders. The underwriters will not receive an underwriting discount or commission on the sale of Notes to Blenheim Holdings Ltd. and other GasLog-related investors.</w:t>
      </w:r>
    </w:p>
    <w:p>
      <w:pPr>
        <w:spacing w:after="0" w:line="90" w:lineRule="exact"/>
        <w:rPr>
          <w:sz w:val="24"/>
          <w:szCs w:val="24"/>
          <w:color w:val="auto"/>
        </w:rPr>
      </w:pPr>
    </w:p>
    <w:p>
      <w:pPr>
        <w:ind w:left="320"/>
        <w:spacing w:after="0"/>
        <w:rPr>
          <w:sz w:val="20"/>
          <w:szCs w:val="20"/>
          <w:color w:val="auto"/>
        </w:rPr>
      </w:pPr>
      <w:r>
        <w:rPr>
          <w:rFonts w:ascii="Arial" w:cs="Arial" w:eastAsia="Arial" w:hAnsi="Arial"/>
          <w:sz w:val="18"/>
          <w:szCs w:val="18"/>
          <w:color w:val="auto"/>
        </w:rPr>
        <w:t>Delivery of the Notes is expected to be on or about March 22, 2017.</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9"/>
          <w:szCs w:val="19"/>
          <w:i w:val="1"/>
          <w:iCs w:val="1"/>
          <w:color w:val="auto"/>
        </w:rPr>
        <w:t>Joint Bookrunners</w:t>
      </w:r>
    </w:p>
    <w:p>
      <w:pPr>
        <w:spacing w:after="0" w:line="226" w:lineRule="exact"/>
        <w:rPr>
          <w:sz w:val="24"/>
          <w:szCs w:val="24"/>
          <w:color w:val="auto"/>
        </w:rPr>
      </w:pPr>
    </w:p>
    <w:p>
      <w:pPr>
        <w:spacing w:after="0"/>
        <w:tabs>
          <w:tab w:leader="none" w:pos="9380" w:val="left"/>
        </w:tabs>
        <w:rPr>
          <w:sz w:val="20"/>
          <w:szCs w:val="20"/>
          <w:color w:val="auto"/>
        </w:rPr>
      </w:pPr>
      <w:r>
        <w:rPr>
          <w:rFonts w:ascii="Arial" w:cs="Arial" w:eastAsia="Arial" w:hAnsi="Arial"/>
          <w:sz w:val="32"/>
          <w:szCs w:val="32"/>
          <w:b w:val="1"/>
          <w:bCs w:val="1"/>
          <w:color w:val="auto"/>
        </w:rPr>
        <w:t>Stifel</w:t>
      </w:r>
      <w:r>
        <w:rPr>
          <w:sz w:val="20"/>
          <w:szCs w:val="20"/>
          <w:color w:val="auto"/>
        </w:rPr>
        <w:tab/>
      </w:r>
      <w:r>
        <w:rPr>
          <w:rFonts w:ascii="Arial" w:cs="Arial" w:eastAsia="Arial" w:hAnsi="Arial"/>
          <w:sz w:val="32"/>
          <w:szCs w:val="32"/>
          <w:b w:val="1"/>
          <w:bCs w:val="1"/>
          <w:color w:val="auto"/>
        </w:rPr>
        <w:t>DNB Markets</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9"/>
          <w:szCs w:val="19"/>
          <w:i w:val="1"/>
          <w:iCs w:val="1"/>
          <w:color w:val="auto"/>
        </w:rPr>
        <w:t>Co-Managers</w:t>
      </w:r>
    </w:p>
    <w:p>
      <w:pPr>
        <w:spacing w:after="0" w:line="28" w:lineRule="exact"/>
        <w:rPr>
          <w:sz w:val="24"/>
          <w:szCs w:val="24"/>
          <w:color w:val="auto"/>
        </w:rPr>
      </w:pPr>
    </w:p>
    <w:p>
      <w:pPr>
        <w:spacing w:after="0"/>
        <w:tabs>
          <w:tab w:leader="none" w:pos="4640" w:val="left"/>
          <w:tab w:leader="none" w:pos="9740" w:val="left"/>
        </w:tabs>
        <w:rPr>
          <w:sz w:val="20"/>
          <w:szCs w:val="20"/>
          <w:color w:val="auto"/>
        </w:rPr>
      </w:pPr>
      <w:r>
        <w:rPr>
          <w:rFonts w:ascii="Arial" w:cs="Arial" w:eastAsia="Arial" w:hAnsi="Arial"/>
          <w:sz w:val="23"/>
          <w:szCs w:val="23"/>
          <w:b w:val="1"/>
          <w:bCs w:val="1"/>
          <w:color w:val="auto"/>
        </w:rPr>
        <w:t>Arctic Securities</w:t>
      </w:r>
      <w:r>
        <w:rPr>
          <w:sz w:val="20"/>
          <w:szCs w:val="20"/>
          <w:color w:val="auto"/>
        </w:rPr>
        <w:tab/>
      </w:r>
      <w:r>
        <w:rPr>
          <w:rFonts w:ascii="Arial" w:cs="Arial" w:eastAsia="Arial" w:hAnsi="Arial"/>
          <w:sz w:val="23"/>
          <w:szCs w:val="23"/>
          <w:b w:val="1"/>
          <w:bCs w:val="1"/>
          <w:color w:val="auto"/>
        </w:rPr>
        <w:t>DVB Capital Markets</w:t>
      </w:r>
      <w:r>
        <w:rPr>
          <w:sz w:val="20"/>
          <w:szCs w:val="20"/>
          <w:color w:val="auto"/>
        </w:rPr>
        <w:tab/>
      </w:r>
      <w:r>
        <w:rPr>
          <w:rFonts w:ascii="Arial" w:cs="Arial" w:eastAsia="Arial" w:hAnsi="Arial"/>
          <w:sz w:val="20"/>
          <w:szCs w:val="20"/>
          <w:b w:val="1"/>
          <w:bCs w:val="1"/>
          <w:color w:val="auto"/>
        </w:rPr>
        <w:t>Pareto Securities</w:t>
      </w:r>
    </w:p>
    <w:p>
      <w:pPr>
        <w:sectPr>
          <w:pgSz w:w="11900" w:h="16838" w:orient="portrait"/>
          <w:cols w:equalWidth="0" w:num="1">
            <w:col w:w="11420"/>
          </w:cols>
          <w:pgMar w:left="240" w:top="336" w:right="239" w:bottom="1440" w:gutter="0" w:footer="0" w:header="0"/>
        </w:sect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March 17,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60" w:type="dxa"/>
            <w:vAlign w:val="bottom"/>
            <w:gridSpan w:val="7"/>
          </w:tcPr>
          <w:p>
            <w:pPr>
              <w:ind w:left="600"/>
              <w:spacing w:after="0"/>
              <w:rPr>
                <w:sz w:val="20"/>
                <w:szCs w:val="20"/>
                <w:color w:val="auto"/>
              </w:rPr>
            </w:pPr>
            <w:r>
              <w:rPr>
                <w:rFonts w:ascii="Arial" w:cs="Arial" w:eastAsia="Arial" w:hAnsi="Arial"/>
                <w:sz w:val="19"/>
                <w:szCs w:val="19"/>
                <w:b w:val="1"/>
                <w:bCs w:val="1"/>
                <w:color w:val="auto"/>
              </w:rPr>
              <w:t>TABLE OF CONTENTS</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04"/>
        </w:trPr>
        <w:tc>
          <w:tcPr>
            <w:tcW w:w="10940" w:type="dxa"/>
            <w:vAlign w:val="bottom"/>
            <w:gridSpan w:val="30"/>
            <w:vMerge w:val="restart"/>
          </w:tcPr>
          <w:p>
            <w:pPr>
              <w:spacing w:after="0"/>
              <w:rPr>
                <w:sz w:val="20"/>
                <w:szCs w:val="20"/>
                <w:color w:val="auto"/>
              </w:rPr>
            </w:pPr>
            <w:r>
              <w:rPr>
                <w:rFonts w:ascii="Arial" w:cs="Arial" w:eastAsia="Arial" w:hAnsi="Arial"/>
                <w:sz w:val="19"/>
                <w:szCs w:val="19"/>
                <w:b w:val="1"/>
                <w:bCs w:val="1"/>
                <w:color w:val="auto"/>
              </w:rPr>
              <w:t>PROSPECTUS SUPPLEMENT</w:t>
            </w:r>
          </w:p>
        </w:tc>
        <w:tc>
          <w:tcPr>
            <w:tcW w:w="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940" w:type="dxa"/>
            <w:vAlign w:val="bottom"/>
            <w:gridSpan w:val="30"/>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4">
              <w:r>
                <w:rPr>
                  <w:rFonts w:ascii="Arial" w:cs="Arial" w:eastAsia="Arial" w:hAnsi="Arial"/>
                  <w:sz w:val="19"/>
                  <w:szCs w:val="19"/>
                  <w:color w:val="0000EE"/>
                </w:rPr>
                <w:t>SUMMARY</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S-1</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18">
              <w:r>
                <w:rPr>
                  <w:rFonts w:ascii="Arial" w:cs="Arial" w:eastAsia="Arial" w:hAnsi="Arial"/>
                  <w:sz w:val="19"/>
                  <w:szCs w:val="19"/>
                  <w:color w:val="0000EE"/>
                </w:rPr>
                <w:t>RISK FACTORS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2">
              <w:r>
                <w:rPr>
                  <w:rFonts w:ascii="Arial" w:cs="Arial" w:eastAsia="Arial" w:hAnsi="Arial"/>
                  <w:sz w:val="19"/>
                  <w:szCs w:val="19"/>
                  <w:color w:val="0000EE"/>
                </w:rPr>
                <w:t>FORWARD-LOOKING STATEMENTS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4">
              <w:r>
                <w:rPr>
                  <w:rFonts w:ascii="Arial" w:cs="Arial" w:eastAsia="Arial" w:hAnsi="Arial"/>
                  <w:sz w:val="19"/>
                  <w:szCs w:val="19"/>
                  <w:color w:val="0000EE"/>
                </w:rPr>
                <w:t>USE OF PROCEEDS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5">
              <w:r>
                <w:rPr>
                  <w:rFonts w:ascii="Arial" w:cs="Arial" w:eastAsia="Arial" w:hAnsi="Arial"/>
                  <w:sz w:val="19"/>
                  <w:szCs w:val="19"/>
                  <w:color w:val="0000EE"/>
                </w:rPr>
                <w:t>RATIO OF EARNINGS TO FIXED CHARGES AND PREFERENCE SHARE DIVIDENDS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720" w:type="dxa"/>
            <w:vAlign w:val="bottom"/>
            <w:tcBorders>
              <w:top w:val="single" w:sz="8" w:color="0000EE"/>
            </w:tcBorders>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6">
              <w:r>
                <w:rPr>
                  <w:rFonts w:ascii="Arial" w:cs="Arial" w:eastAsia="Arial" w:hAnsi="Arial"/>
                  <w:sz w:val="19"/>
                  <w:szCs w:val="19"/>
                  <w:color w:val="0000EE"/>
                </w:rPr>
                <w:t>CAPITALIZATION</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7">
              <w:r>
                <w:rPr>
                  <w:rFonts w:ascii="Arial" w:cs="Arial" w:eastAsia="Arial" w:hAnsi="Arial"/>
                  <w:sz w:val="19"/>
                  <w:szCs w:val="19"/>
                  <w:color w:val="0000EE"/>
                </w:rPr>
                <w:t>DESCRIPTION OF OTHER INDEBTEDNESS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30">
              <w:r>
                <w:rPr>
                  <w:rFonts w:ascii="Arial" w:cs="Arial" w:eastAsia="Arial" w:hAnsi="Arial"/>
                  <w:sz w:val="19"/>
                  <w:szCs w:val="19"/>
                  <w:color w:val="0000EE"/>
                </w:rPr>
                <w:t>DESCRIPTION OF NOTES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52">
              <w:r>
                <w:rPr>
                  <w:rFonts w:ascii="Arial" w:cs="Arial" w:eastAsia="Arial" w:hAnsi="Arial"/>
                  <w:sz w:val="19"/>
                  <w:szCs w:val="19"/>
                  <w:color w:val="0000EE"/>
                </w:rPr>
                <w:t>MATERIAL TAX CONSIDERATIONS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56">
              <w:r>
                <w:rPr>
                  <w:rFonts w:ascii="Arial" w:cs="Arial" w:eastAsia="Arial" w:hAnsi="Arial"/>
                  <w:sz w:val="19"/>
                  <w:szCs w:val="19"/>
                  <w:color w:val="0000EE"/>
                </w:rPr>
                <w:t>OTHER EXPENSES OF ISSUANCE AND DISTRIBUTION</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57">
              <w:r>
                <w:rPr>
                  <w:rFonts w:ascii="Arial" w:cs="Arial" w:eastAsia="Arial" w:hAnsi="Arial"/>
                  <w:sz w:val="19"/>
                  <w:szCs w:val="19"/>
                  <w:color w:val="0000EE"/>
                </w:rPr>
                <w:t>UNDERWRITING</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0">
              <w:r>
                <w:rPr>
                  <w:rFonts w:ascii="Arial" w:cs="Arial" w:eastAsia="Arial" w:hAnsi="Arial"/>
                  <w:sz w:val="19"/>
                  <w:szCs w:val="19"/>
                  <w:color w:val="0000EE"/>
                </w:rPr>
                <w:t>SERVICE OF PROCESS AND ENFORCEMENT OF LIABILITIES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0">
              <w:r>
                <w:rPr>
                  <w:rFonts w:ascii="Arial" w:cs="Arial" w:eastAsia="Arial" w:hAnsi="Arial"/>
                  <w:sz w:val="19"/>
                  <w:szCs w:val="19"/>
                  <w:color w:val="0000EE"/>
                </w:rPr>
                <w:t>LEGAL MATTERS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0">
              <w:r>
                <w:rPr>
                  <w:rFonts w:ascii="Arial" w:cs="Arial" w:eastAsia="Arial" w:hAnsi="Arial"/>
                  <w:sz w:val="19"/>
                  <w:szCs w:val="19"/>
                  <w:color w:val="0000EE"/>
                </w:rPr>
                <w:t>EXPERTS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0">
              <w:r>
                <w:rPr>
                  <w:rFonts w:ascii="Arial" w:cs="Arial" w:eastAsia="Arial" w:hAnsi="Arial"/>
                  <w:sz w:val="19"/>
                  <w:szCs w:val="19"/>
                  <w:color w:val="0000EE"/>
                </w:rPr>
                <w:t>WHERE YOU CAN FIND ADDITIONAL INFORMATION</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1">
              <w:r>
                <w:rPr>
                  <w:rFonts w:ascii="Arial" w:cs="Arial" w:eastAsia="Arial" w:hAnsi="Arial"/>
                  <w:sz w:val="19"/>
                  <w:szCs w:val="19"/>
                  <w:color w:val="0000EE"/>
                </w:rPr>
                <w:t>INCORPORATION OF CERTAIN INFORMATION BY REFERENCE</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50"/>
        </w:trPr>
        <w:tc>
          <w:tcPr>
            <w:tcW w:w="5580" w:type="dxa"/>
            <w:vAlign w:val="bottom"/>
            <w:tcBorders>
              <w:top w:val="single" w:sz="8" w:color="0000EE"/>
            </w:tcBorders>
            <w:gridSpan w:val="28"/>
          </w:tcPr>
          <w:p>
            <w:pPr>
              <w:spacing w:after="0"/>
              <w:rPr>
                <w:sz w:val="20"/>
                <w:szCs w:val="20"/>
                <w:color w:val="auto"/>
              </w:rPr>
            </w:pPr>
            <w:r>
              <w:rPr>
                <w:rFonts w:ascii="Arial" w:cs="Arial" w:eastAsia="Arial" w:hAnsi="Arial"/>
                <w:sz w:val="19"/>
                <w:szCs w:val="19"/>
                <w:b w:val="1"/>
                <w:bCs w:val="1"/>
                <w:color w:val="auto"/>
              </w:rPr>
              <w:t>PROSPECTUS</w:t>
            </w:r>
          </w:p>
        </w:tc>
        <w:tc>
          <w:tcPr>
            <w:tcW w:w="53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4">
              <w:r>
                <w:rPr>
                  <w:rFonts w:ascii="Arial" w:cs="Arial" w:eastAsia="Arial" w:hAnsi="Arial"/>
                  <w:sz w:val="19"/>
                  <w:szCs w:val="19"/>
                  <w:color w:val="0000EE"/>
                </w:rPr>
                <w:t>FORWARD-LOOKING STATEMENTS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3"/>
        </w:trPr>
        <w:tc>
          <w:tcPr>
            <w:tcW w:w="3160" w:type="dxa"/>
            <w:vAlign w:val="bottom"/>
            <w:tcBorders>
              <w:top w:val="single" w:sz="8" w:color="0000EE"/>
            </w:tcBorders>
            <w:gridSpan w:val="18"/>
          </w:tcPr>
          <w:p>
            <w:pPr>
              <w:spacing w:after="0"/>
              <w:rPr>
                <w:rFonts w:ascii="Arial" w:cs="Arial" w:eastAsia="Arial" w:hAnsi="Arial"/>
                <w:sz w:val="19"/>
                <w:szCs w:val="19"/>
                <w:color w:val="0000EE"/>
              </w:rPr>
            </w:pPr>
            <w:hyperlink w:anchor="page65">
              <w:r>
                <w:rPr>
                  <w:rFonts w:ascii="Arial" w:cs="Arial" w:eastAsia="Arial" w:hAnsi="Arial"/>
                  <w:sz w:val="19"/>
                  <w:szCs w:val="19"/>
                  <w:color w:val="0000EE"/>
                </w:rPr>
                <w:t>THE COMPANY</w:t>
              </w:r>
            </w:hyperlink>
          </w:p>
        </w:tc>
        <w:tc>
          <w:tcPr>
            <w:tcW w:w="7780" w:type="dxa"/>
            <w:vAlign w:val="bottom"/>
            <w:gridSpan w:val="12"/>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3"/>
        </w:trPr>
        <w:tc>
          <w:tcPr>
            <w:tcW w:w="136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5"/>
              </w:rPr>
            </w:pPr>
            <w:hyperlink w:anchor="page66">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9560" w:type="dxa"/>
            <w:vAlign w:val="bottom"/>
            <w:gridSpan w:val="25"/>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0000EE"/>
            </w:tcBorders>
            <w:gridSpan w:val="27"/>
          </w:tcPr>
          <w:p>
            <w:pPr>
              <w:spacing w:after="0"/>
              <w:rPr>
                <w:rFonts w:ascii="Arial" w:cs="Arial" w:eastAsia="Arial" w:hAnsi="Arial"/>
                <w:sz w:val="19"/>
                <w:szCs w:val="19"/>
                <w:color w:val="0000EE"/>
                <w:w w:val="97"/>
              </w:rPr>
            </w:pPr>
            <w:hyperlink w:anchor="page66">
              <w:r>
                <w:rPr>
                  <w:rFonts w:ascii="Arial" w:cs="Arial" w:eastAsia="Arial" w:hAnsi="Arial"/>
                  <w:sz w:val="19"/>
                  <w:szCs w:val="19"/>
                  <w:color w:val="0000EE"/>
                  <w:w w:val="97"/>
                </w:rPr>
                <w:t>SERVICE OF PROCESS AND ENFORCEMENT OF LIABILITIES</w:t>
              </w:r>
            </w:hyperlink>
          </w:p>
        </w:tc>
        <w:tc>
          <w:tcPr>
            <w:tcW w:w="554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0000EE"/>
            </w:tcBorders>
            <w:gridSpan w:val="13"/>
          </w:tcPr>
          <w:p>
            <w:pPr>
              <w:spacing w:after="0"/>
              <w:rPr>
                <w:rFonts w:ascii="Arial" w:cs="Arial" w:eastAsia="Arial" w:hAnsi="Arial"/>
                <w:sz w:val="19"/>
                <w:szCs w:val="19"/>
                <w:color w:val="0000EE"/>
                <w:w w:val="95"/>
              </w:rPr>
            </w:pPr>
            <w:hyperlink w:anchor="page67">
              <w:r>
                <w:rPr>
                  <w:rFonts w:ascii="Arial" w:cs="Arial" w:eastAsia="Arial" w:hAnsi="Arial"/>
                  <w:sz w:val="19"/>
                  <w:szCs w:val="19"/>
                  <w:color w:val="0000EE"/>
                  <w:w w:val="95"/>
                </w:rPr>
                <w:t>ABOUT THIS PROSPECTUS</w:t>
              </w:r>
            </w:hyperlink>
          </w:p>
        </w:tc>
        <w:tc>
          <w:tcPr>
            <w:tcW w:w="8520" w:type="dxa"/>
            <w:vAlign w:val="bottom"/>
            <w:gridSpan w:val="17"/>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67">
              <w:r>
                <w:rPr>
                  <w:rFonts w:ascii="Arial" w:cs="Arial" w:eastAsia="Arial" w:hAnsi="Arial"/>
                  <w:sz w:val="19"/>
                  <w:szCs w:val="19"/>
                  <w:color w:val="0000EE"/>
                </w:rPr>
                <w:t>WHERE YOU CAN FIND ADDITIONAL INFORMATION</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INCORPORATION OF CERTAIN INFORMATION BY REFERENCE</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RATIO OF EARNINGS TO FIXED CHARGES AND PREFERENCE SHARE DIVIDENDS</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3"/>
        </w:trPr>
        <w:tc>
          <w:tcPr>
            <w:tcW w:w="1720" w:type="dxa"/>
            <w:vAlign w:val="bottom"/>
            <w:tcBorders>
              <w:top w:val="single" w:sz="8" w:color="0000EE"/>
              <w:bottom w:val="single" w:sz="8" w:color="0000EE"/>
            </w:tcBorders>
            <w:gridSpan w:val="9"/>
          </w:tcPr>
          <w:p>
            <w:pPr>
              <w:spacing w:after="0"/>
              <w:rPr>
                <w:rFonts w:ascii="Arial" w:cs="Arial" w:eastAsia="Arial" w:hAnsi="Arial"/>
                <w:sz w:val="19"/>
                <w:szCs w:val="19"/>
                <w:color w:val="0000EE"/>
                <w:w w:val="93"/>
              </w:rPr>
            </w:pPr>
            <w:hyperlink w:anchor="page69">
              <w:r>
                <w:rPr>
                  <w:rFonts w:ascii="Arial" w:cs="Arial" w:eastAsia="Arial" w:hAnsi="Arial"/>
                  <w:sz w:val="19"/>
                  <w:szCs w:val="19"/>
                  <w:color w:val="0000EE"/>
                  <w:w w:val="93"/>
                </w:rPr>
                <w:t>USE OF PROCEEDS</w:t>
              </w:r>
            </w:hyperlink>
          </w:p>
        </w:tc>
        <w:tc>
          <w:tcPr>
            <w:tcW w:w="5580" w:type="dxa"/>
            <w:vAlign w:val="bottom"/>
            <w:tcBorders>
              <w:top w:val="single" w:sz="8" w:color="0000EE"/>
            </w:tcBorders>
            <w:gridSpan w:val="20"/>
          </w:tcPr>
          <w:p>
            <w:pPr>
              <w:spacing w:after="0"/>
              <w:rPr>
                <w:sz w:val="19"/>
                <w:szCs w:val="19"/>
                <w:color w:val="auto"/>
              </w:rPr>
            </w:pPr>
          </w:p>
        </w:tc>
        <w:tc>
          <w:tcPr>
            <w:tcW w:w="3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0000EE"/>
            </w:tcBorders>
            <w:gridSpan w:val="20"/>
          </w:tcPr>
          <w:p>
            <w:pPr>
              <w:spacing w:after="0"/>
              <w:rPr>
                <w:rFonts w:ascii="Arial" w:cs="Arial" w:eastAsia="Arial" w:hAnsi="Arial"/>
                <w:sz w:val="19"/>
                <w:szCs w:val="19"/>
                <w:color w:val="0000EE"/>
                <w:w w:val="99"/>
              </w:rPr>
            </w:pPr>
            <w:hyperlink w:anchor="page69">
              <w:r>
                <w:rPr>
                  <w:rFonts w:ascii="Arial" w:cs="Arial" w:eastAsia="Arial" w:hAnsi="Arial"/>
                  <w:sz w:val="19"/>
                  <w:szCs w:val="19"/>
                  <w:color w:val="0000EE"/>
                  <w:w w:val="99"/>
                </w:rPr>
                <w:t>CAPITALIZATION AND INDEBTEDNESS</w:t>
              </w:r>
            </w:hyperlink>
          </w:p>
        </w:tc>
        <w:tc>
          <w:tcPr>
            <w:tcW w:w="7400" w:type="dxa"/>
            <w:vAlign w:val="bottom"/>
            <w:gridSpan w:val="10"/>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DESCRIPTION OF SHARE CAPITAL</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PREFERENCE SHARES</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23"/>
        </w:trPr>
        <w:tc>
          <w:tcPr>
            <w:tcW w:w="3620" w:type="dxa"/>
            <w:vAlign w:val="bottom"/>
            <w:tcBorders>
              <w:top w:val="single" w:sz="8" w:color="0000EE"/>
            </w:tcBorders>
            <w:gridSpan w:val="21"/>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DEBT SECURITIES</w:t>
              </w:r>
            </w:hyperlink>
          </w:p>
        </w:tc>
        <w:tc>
          <w:tcPr>
            <w:tcW w:w="732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23"/>
        </w:trPr>
        <w:tc>
          <w:tcPr>
            <w:tcW w:w="3260" w:type="dxa"/>
            <w:vAlign w:val="bottom"/>
            <w:tcBorders>
              <w:top w:val="single" w:sz="8" w:color="0000EE"/>
            </w:tcBorders>
            <w:gridSpan w:val="19"/>
          </w:tcPr>
          <w:p>
            <w:pPr>
              <w:spacing w:after="0"/>
              <w:rPr>
                <w:rFonts w:ascii="Arial" w:cs="Arial" w:eastAsia="Arial" w:hAnsi="Arial"/>
                <w:sz w:val="19"/>
                <w:szCs w:val="19"/>
                <w:color w:val="0000EE"/>
              </w:rPr>
            </w:pPr>
            <w:hyperlink w:anchor="page78">
              <w:r>
                <w:rPr>
                  <w:rFonts w:ascii="Arial" w:cs="Arial" w:eastAsia="Arial" w:hAnsi="Arial"/>
                  <w:sz w:val="19"/>
                  <w:szCs w:val="19"/>
                  <w:color w:val="0000EE"/>
                </w:rPr>
                <w:t>DESCRIPTION OF WARRANTS</w:t>
              </w:r>
            </w:hyperlink>
          </w:p>
        </w:tc>
        <w:tc>
          <w:tcPr>
            <w:tcW w:w="7680" w:type="dxa"/>
            <w:vAlign w:val="bottom"/>
            <w:gridSpan w:val="11"/>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23"/>
        </w:trPr>
        <w:tc>
          <w:tcPr>
            <w:tcW w:w="2320" w:type="dxa"/>
            <w:vAlign w:val="bottom"/>
            <w:tcBorders>
              <w:top w:val="single" w:sz="8" w:color="0000EE"/>
              <w:bottom w:val="single" w:sz="8" w:color="0000EE"/>
            </w:tcBorders>
            <w:gridSpan w:val="12"/>
          </w:tcPr>
          <w:p>
            <w:pPr>
              <w:spacing w:after="0"/>
              <w:rPr>
                <w:rFonts w:ascii="Arial" w:cs="Arial" w:eastAsia="Arial" w:hAnsi="Arial"/>
                <w:sz w:val="19"/>
                <w:szCs w:val="19"/>
                <w:color w:val="0000EE"/>
                <w:w w:val="96"/>
              </w:rPr>
            </w:pPr>
            <w:hyperlink w:anchor="page79">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3"/>
          </w:tcPr>
          <w:p>
            <w:pPr>
              <w:spacing w:after="0"/>
              <w:rPr>
                <w:sz w:val="19"/>
                <w:szCs w:val="19"/>
                <w:color w:val="auto"/>
              </w:rPr>
            </w:pPr>
          </w:p>
        </w:tc>
        <w:tc>
          <w:tcPr>
            <w:tcW w:w="8260" w:type="dxa"/>
            <w:vAlign w:val="bottom"/>
            <w:gridSpan w:val="15"/>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0000EE"/>
            </w:tcBorders>
            <w:gridSpan w:val="14"/>
          </w:tcPr>
          <w:p>
            <w:pPr>
              <w:spacing w:after="0"/>
              <w:rPr>
                <w:rFonts w:ascii="Arial" w:cs="Arial" w:eastAsia="Arial" w:hAnsi="Arial"/>
                <w:sz w:val="19"/>
                <w:szCs w:val="19"/>
                <w:color w:val="0000EE"/>
                <w:w w:val="97"/>
              </w:rPr>
            </w:pPr>
            <w:hyperlink w:anchor="page79">
              <w:r>
                <w:rPr>
                  <w:rFonts w:ascii="Arial" w:cs="Arial" w:eastAsia="Arial" w:hAnsi="Arial"/>
                  <w:sz w:val="19"/>
                  <w:szCs w:val="19"/>
                  <w:color w:val="0000EE"/>
                  <w:w w:val="97"/>
                </w:rPr>
                <w:t>DESCRIPTION OF THE UNITS</w:t>
              </w:r>
            </w:hyperlink>
          </w:p>
        </w:tc>
        <w:tc>
          <w:tcPr>
            <w:tcW w:w="8320" w:type="dxa"/>
            <w:vAlign w:val="bottom"/>
            <w:gridSpan w:val="16"/>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0000EE"/>
            </w:tcBorders>
            <w:gridSpan w:val="26"/>
          </w:tcPr>
          <w:p>
            <w:pPr>
              <w:spacing w:after="0"/>
              <w:rPr>
                <w:rFonts w:ascii="Arial" w:cs="Arial" w:eastAsia="Arial" w:hAnsi="Arial"/>
                <w:sz w:val="19"/>
                <w:szCs w:val="19"/>
                <w:color w:val="0000EE"/>
                <w:w w:val="98"/>
              </w:rPr>
            </w:pPr>
            <w:hyperlink w:anchor="page80">
              <w:r>
                <w:rPr>
                  <w:rFonts w:ascii="Arial" w:cs="Arial" w:eastAsia="Arial" w:hAnsi="Arial"/>
                  <w:sz w:val="19"/>
                  <w:szCs w:val="19"/>
                  <w:color w:val="0000EE"/>
                  <w:w w:val="98"/>
                </w:rPr>
                <w:t>MATERIAL U.S. FEDERAL INCOME TAX CONSIDERATIONS</w:t>
              </w:r>
            </w:hyperlink>
          </w:p>
        </w:tc>
        <w:tc>
          <w:tcPr>
            <w:tcW w:w="568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0000EE"/>
            </w:tcBorders>
            <w:gridSpan w:val="23"/>
          </w:tcPr>
          <w:p>
            <w:pPr>
              <w:spacing w:after="0"/>
              <w:rPr>
                <w:rFonts w:ascii="Arial" w:cs="Arial" w:eastAsia="Arial" w:hAnsi="Arial"/>
                <w:sz w:val="19"/>
                <w:szCs w:val="19"/>
                <w:color w:val="0000EE"/>
                <w:w w:val="97"/>
              </w:rPr>
            </w:pPr>
            <w:hyperlink w:anchor="page80">
              <w:r>
                <w:rPr>
                  <w:rFonts w:ascii="Arial" w:cs="Arial" w:eastAsia="Arial" w:hAnsi="Arial"/>
                  <w:sz w:val="19"/>
                  <w:szCs w:val="19"/>
                  <w:color w:val="0000EE"/>
                  <w:w w:val="97"/>
                </w:rPr>
                <w:t>NON-UNITED STATES TAX CONSIDERATIONS</w:t>
              </w:r>
            </w:hyperlink>
          </w:p>
        </w:tc>
        <w:tc>
          <w:tcPr>
            <w:tcW w:w="6860" w:type="dxa"/>
            <w:vAlign w:val="bottom"/>
            <w:gridSpan w:val="7"/>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0000EE"/>
            </w:tcBorders>
            <w:gridSpan w:val="10"/>
          </w:tcPr>
          <w:p>
            <w:pPr>
              <w:spacing w:after="0"/>
              <w:rPr>
                <w:rFonts w:ascii="Arial" w:cs="Arial" w:eastAsia="Arial" w:hAnsi="Arial"/>
                <w:sz w:val="19"/>
                <w:szCs w:val="19"/>
                <w:color w:val="0000EE"/>
                <w:w w:val="99"/>
              </w:rPr>
            </w:pPr>
            <w:hyperlink w:anchor="page80">
              <w:r>
                <w:rPr>
                  <w:rFonts w:ascii="Arial" w:cs="Arial" w:eastAsia="Arial" w:hAnsi="Arial"/>
                  <w:sz w:val="19"/>
                  <w:szCs w:val="19"/>
                  <w:color w:val="0000EE"/>
                  <w:w w:val="99"/>
                </w:rPr>
                <w:t>PLAN OF DISTRIBUTION</w:t>
              </w:r>
            </w:hyperlink>
          </w:p>
        </w:tc>
        <w:tc>
          <w:tcPr>
            <w:tcW w:w="8720" w:type="dxa"/>
            <w:vAlign w:val="bottom"/>
            <w:gridSpan w:val="20"/>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EXPENSES</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980" w:type="dxa"/>
            <w:vAlign w:val="bottom"/>
            <w:gridSpan w:val="2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83">
              <w:r>
                <w:rPr>
                  <w:rFonts w:ascii="Arial" w:cs="Arial" w:eastAsia="Arial" w:hAnsi="Arial"/>
                  <w:sz w:val="19"/>
                  <w:szCs w:val="19"/>
                  <w:color w:val="0000EE"/>
                  <w:w w:val="99"/>
                </w:rPr>
                <w:t>LEGAL MATTERS</w:t>
              </w:r>
            </w:hyperlink>
          </w:p>
        </w:tc>
        <w:tc>
          <w:tcPr>
            <w:tcW w:w="9360" w:type="dxa"/>
            <w:vAlign w:val="bottom"/>
            <w:gridSpan w:val="23"/>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83">
              <w:r>
                <w:rPr>
                  <w:rFonts w:ascii="Arial" w:cs="Arial" w:eastAsia="Arial" w:hAnsi="Arial"/>
                  <w:sz w:val="19"/>
                  <w:szCs w:val="19"/>
                  <w:color w:val="0000EE"/>
                  <w:w w:val="92"/>
                </w:rPr>
                <w:t>EXPERTS</w:t>
              </w:r>
            </w:hyperlink>
          </w:p>
        </w:tc>
        <w:tc>
          <w:tcPr>
            <w:tcW w:w="10100" w:type="dxa"/>
            <w:vAlign w:val="bottom"/>
            <w:gridSpan w:val="29"/>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p>
      <w:pPr>
        <w:ind w:firstLine="357"/>
        <w:spacing w:after="0" w:line="27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by Reference”. To the extent the description of our securities in this prospectus supplement differs from the description of our securities in the accompanying prospectus, you should rely on the information in this prospectus supplement.</w:t>
      </w:r>
    </w:p>
    <w:p>
      <w:pPr>
        <w:spacing w:after="0" w:line="63"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77"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We expect that delivery of the Notes will be made to investors on March 22, 2017, which will be the third business day following the date of pricing of the Notes (such settlement being referred to as “T+3”).</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47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7447915"/>
                    </a:xfrm>
                    <a:prstGeom prst="rect">
                      <a:avLst/>
                    </a:prstGeom>
                    <a:noFill/>
                  </pic:spPr>
                </pic:pic>
              </a:graphicData>
            </a:graphic>
          </wp:anchor>
        </w:drawing>
        <w:t>SUMMARY</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i w:val="1"/>
          <w:iCs w:val="1"/>
          <w:color w:val="auto"/>
        </w:rPr>
        <w:t>This summary highlights information contained elsewhere in this prospectus supplement and the accompanying prospectus and should be read together with the information contained in other parts of this prospectus supplement, the accompanying prospectus and the documents we incorporate by reference, including the risk factors on page S-15 of this prospectus supplement and beginning on page 6 of our Annual Report on Form 20-F filed with the U.S. Securities and Exchange Commission (the “SEC”), on March 1, 2017 (“Annual Report on Form 20-F”).</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Unless otherwise indicated, references in this prospectus supplement to:</w:t>
      </w:r>
    </w:p>
    <w:p>
      <w:pPr>
        <w:spacing w:after="0" w:line="92" w:lineRule="exact"/>
        <w:rPr>
          <w:sz w:val="20"/>
          <w:szCs w:val="20"/>
          <w:color w:val="auto"/>
        </w:rPr>
      </w:pPr>
    </w:p>
    <w:p>
      <w:pPr>
        <w:ind w:left="520" w:hanging="164"/>
        <w:spacing w:after="0" w:line="281"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the “Company”, the “Group”, the “Issuer”, “we”, “our”, “us” or similar terms refer to GasLog Ltd. or any one or more of its subsidiaries (including GasLog Partners LP) or their predecessors, or to such entities collectively, except that when such terms are used in this prospectus supplement in reference to the common shares, the 8.75% Series A Cumulative Redeemable Perpetual Preference Shares (the “Series A Preference Shares”) or the Notes, they refer to GasLog Ltd.;</w:t>
      </w:r>
    </w:p>
    <w:p>
      <w:pPr>
        <w:spacing w:after="0" w:line="43" w:lineRule="exact"/>
        <w:rPr>
          <w:rFonts w:ascii="Arial" w:cs="Arial" w:eastAsia="Arial" w:hAnsi="Arial"/>
          <w:sz w:val="18"/>
          <w:szCs w:val="18"/>
          <w:color w:val="auto"/>
        </w:rPr>
      </w:pPr>
    </w:p>
    <w:p>
      <w:pPr>
        <w:ind w:left="520" w:right="280" w:hanging="164"/>
        <w:spacing w:after="0" w:line="267"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“GasLog Partners” or the “Partnership”, refer to GasLog Partners LP, a master limited partnership formed by GasLog to own, operate and acquire liquefied natural gas, or “LNG”, carriers under long-term charters, or any one or more of GasLog Partners’ subsidiaries;</w:t>
      </w:r>
    </w:p>
    <w:p>
      <w:pPr>
        <w:spacing w:after="0" w:line="54"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the “general partner” refer to GasLog Partners GP LLC, the general partner of GasLog Partners;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“GasLog LNG Services” refer to GasLog LNG Services Ltd., our wholly owned subsidiary;</w:t>
      </w:r>
    </w:p>
    <w:p>
      <w:pPr>
        <w:spacing w:after="0" w:line="105" w:lineRule="exact"/>
        <w:rPr>
          <w:rFonts w:ascii="Arial" w:cs="Arial" w:eastAsia="Arial" w:hAnsi="Arial"/>
          <w:sz w:val="19"/>
          <w:szCs w:val="19"/>
          <w:color w:val="auto"/>
        </w:rPr>
      </w:pPr>
    </w:p>
    <w:p>
      <w:pPr>
        <w:ind w:left="520" w:right="100" w:hanging="164"/>
        <w:spacing w:after="0" w:line="259"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“our vessels” or “our ships” refer to the LNG carriers owned or controlled by the Company and its subsidiaries, including the LNG carriers owned by GasLog Partners; “our wholly owned vessels” or “our wholly owned ships” refer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63"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“Shell” refer to Royal Dutch Shell plc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“BG Group” refer to BG Group plc. BG Group was acquired by Shell on February 15, 2016;</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“MSL” refer to Methane Services Limited, a subsidiary of BG Group and a subsidiary of Shell;</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“Samsung” refer to Samsung Heavy Industries Co., Ltd.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“Hyundai” refer to Hyundai Heavy Industries Co., Ltd.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“Mitsui” refer to Mitsui Co., Ltd. and “Lepta Shipping” refer to Lepta Shipping Co., Ltd., a subsidiary of Mitsui;</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“Total” refer to Total Gas &amp; Power Chartering Limited, a wholly owned subsidiary of Total plc;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“Centrica” refer to Pioneer Shipping Limited, a wholly owned subsidiary of Centrica plc;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“Egypt LNG” refer to Egypt LNG Shipping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“Dynagas” refers to Dynagas Ltd. and “Golar” refers to Golar LNG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“the Cool Pool” refers to the Cool Pool Limited;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“Gastrade” refers to Gastrade S.A.;</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“Ceres Shipping” refers to Ceres Shipping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“NYSE” refer to the New York Stock Exchange; and “SEC” refer to the U.S. Securities and Exchange Commission;</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“dollars” and “$” refer to, and amounts are presented in, U.S. dollars;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“TFDE” refer to tri-fuel diesel electric;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“Steam” refer to steam-powered;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480" w:top="742" w:right="499" w:bottom="1440" w:gutter="0" w:footer="0" w:header="0"/>
        </w:sectPr>
      </w:pPr>
    </w:p>
    <w:bookmarkStart w:id="4" w:name="page5"/>
    <w:bookmarkEnd w:id="4"/>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624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6624955"/>
                    </a:xfrm>
                    <a:prstGeom prst="rect">
                      <a:avLst/>
                    </a:prstGeom>
                    <a:noFill/>
                  </pic:spPr>
                </pic:pic>
              </a:graphicData>
            </a:graphic>
          </wp:anchor>
        </w:drawing>
        <w:t>“LP-2S” refer to dual-fuel two-stroke engine propulsion; and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“cbm” refer to cubic meters;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Our Company</w:t>
      </w:r>
    </w:p>
    <w:p>
      <w:pPr>
        <w:spacing w:after="0" w:line="125" w:lineRule="exact"/>
        <w:rPr>
          <w:sz w:val="20"/>
          <w:szCs w:val="20"/>
          <w:color w:val="auto"/>
        </w:rPr>
      </w:pPr>
    </w:p>
    <w:p>
      <w:pPr>
        <w:ind w:right="120" w:firstLine="357"/>
        <w:spacing w:after="0" w:line="288" w:lineRule="auto"/>
        <w:rPr>
          <w:sz w:val="20"/>
          <w:szCs w:val="20"/>
          <w:color w:val="auto"/>
        </w:rPr>
      </w:pPr>
      <w:r>
        <w:rPr>
          <w:rFonts w:ascii="Arial" w:cs="Arial" w:eastAsia="Arial" w:hAnsi="Arial"/>
          <w:sz w:val="17"/>
          <w:szCs w:val="17"/>
          <w:color w:val="auto"/>
        </w:rPr>
        <w:t>We are an international owner, operator and manager of LNG carriers providing support to international energy companies as part of their LNG logistics chain. Our owned fleet consists of 27 owned LNG carriers, including 22 ships on the water and five LNG carriers on order at two of the world’s leading LNG shipbuilders, Samsung and Hyundai. This includes nine LNG carriers in operation that are owned by our NYSE-listed subsidiary GasLog Partners, with which we have entered into certain agreements governing our relationship, including purchase options for certain of our ships. We currently manage and operate 24 LNG carriers including 12 of our wholly owned ships in operation (one is managed by a subsidiary of Shell), the nine ships contributed or sold to the Partnership, one ship owned by Shell, one additional LNG carrier in which we have a 25.0% interest and a vessel secured under a long-term bareboat charter from Lepta Shipping, a subsidiary of Mitsui. We are also supervising the construction of our newbuildings. We have secured multi-year time and seasonal time charter contracts for eight of our owned ships, the nine ships owned by the Partnership, the one vessel secured under a long-term bareboat charter from Lepta Shipping and our five newbuildings on order. As of December 31, 2016, these contracts are expected to provide total contracted revenue of approximately $3.57 billion during their initial terms, which expire between 2018 and 2029.</w:t>
      </w:r>
    </w:p>
    <w:p>
      <w:pPr>
        <w:spacing w:after="0" w:line="53"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 xml:space="preserve">We also have a 25% interest in an additional ship, the </w:t>
      </w:r>
      <w:r>
        <w:rPr>
          <w:rFonts w:ascii="Arial" w:cs="Arial" w:eastAsia="Arial" w:hAnsi="Arial"/>
          <w:sz w:val="19"/>
          <w:szCs w:val="19"/>
          <w:i w:val="1"/>
          <w:iCs w:val="1"/>
          <w:color w:val="auto"/>
        </w:rPr>
        <w:t>Methane Nile Eagle</w:t>
      </w:r>
      <w:r>
        <w:rPr>
          <w:rFonts w:ascii="Arial" w:cs="Arial" w:eastAsia="Arial" w:hAnsi="Arial"/>
          <w:sz w:val="19"/>
          <w:szCs w:val="19"/>
          <w:color w:val="auto"/>
        </w:rPr>
        <w:t>, a 2007-built LNG carrier technically managed by us that is currently operating under a 20-year time charter to MSL.</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current time charters have initial terms of up to ten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We have structured our order book of new LNG carriers to have staggered delivery dates, facilitating a smooth integration of the ships into our fleet as well as significant annual growth through 2019. This has the additional advantage of spreading our exposure to the re-employment of these ships over several years upon expiration of their current charters.</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Each of our 27 owned LNG carriers is designed with a capacity of between approximately 145,000 cbm and 180,000 cbm. We believe this size range maximizes their operational flexibility, as these ships are compatible with most existing LNG terminals around the world. All but three of the LNG carriers in our owned fleet are of the same specifications (in groups of ten, eight and six ships), which allows us to benefit from economies of scale and operating efficiencies in ship construction, crew training, crew rotation and shared spare parts. Upon delivery of the last of our five contracted newbuildings, our owned fleet will have an average age of 6.3 years, making it one of the youngest in the industry. By comparison, as of December 31, 2016, the average age for the global fleet of LNG carriers, including LNG carriers of all sizes, was 11.9 years.</w:t>
      </w:r>
    </w:p>
    <w:p>
      <w:pPr>
        <w:spacing w:after="0" w:line="77"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Our wholly owned subsidiary, GasLog LNG Services, handles the technical management of our fleet (one of our vessels is managed by a subsidiary of Shell),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As the sole technical manager of BG Group’s owned fleet of LNG carriers for over 15 years, we have established a track record for the efficient, safe and reliable operation of LNG carriers, which is evidenced by our safety performance and the limited off-hire days of the 24 ships currently operating under our management.</w:t>
      </w:r>
    </w:p>
    <w:p>
      <w:pPr>
        <w:spacing w:after="0" w:line="49"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In 2015 we began to develop a floating LNG storage and regasification unit (“FSRU”) strategy and signed two front-end engineering design (“FEED”) studies with Keppel Offshore and Marine Ltd. for the potential conversion of both a Steam and TFDE vessel from our existing fleet. On</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480" w:top="680" w:right="519" w:bottom="1440" w:gutter="0" w:footer="0" w:header="0"/>
        </w:sectPr>
      </w:pPr>
    </w:p>
    <w:bookmarkStart w:id="5" w:name="page6"/>
    <w:bookmarkEnd w:id="5"/>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235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235575"/>
                    </a:xfrm>
                    <a:prstGeom prst="rect">
                      <a:avLst/>
                    </a:prstGeom>
                    <a:noFill/>
                  </pic:spPr>
                </pic:pic>
              </a:graphicData>
            </a:graphic>
          </wp:anchor>
        </w:drawing>
        <w:t>December 5, 2016 we announced that Keppel Shipyard Limited had begun ordering the long lead items required for the conversion of a GasLog or Gaslog Partners LNG carrier to a FSRU. In addition, on December 22, 2016 we announced that a wholly owned subsidiary of GasLog has entered into a sale and purchase agreement to acquire a 20% shareholding in Gastrade. Gastrade is licensed to develop an independent natural gas system offshore Alexandroupolis in Northern Greece utilizing a FSRU along with other fixed infrastructure. The acquisition of the 20% shareholding in Gastrade closed on February 9, 2017.</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GasLog Partners</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On May 12, 2014, our subsidiary GasLog Partners completed an initial public offering in which it raised net proceeds of $186.03 million. GasLog Partners was formed by us to own and operate LNG carriers under long-term charters. Its common units representing limited partner interests are traded on the NYSE under the ticker symbol “GLOP”. Concurrently with the initial public offering, GasLog Partners acquired the entities that own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from us. On September 29, 2014, GasLog Partners completed a follow-on public offering, resulting in net proceeds of $133.0 million. GasLog Partners used the proceeds to partially finance the acquisition from the Company of the entities that own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On June 26, 2015, GasLog Partners completed a follow-on public offering, resulting in net proceeds of $171.83 million. GasLog Partners used the proceeds to partially finance the acquisition from the Company of the entities that own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On August 5, 2016, GasLog Partners completed a follow-on public offering, resulting in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proceeds of $52.30 million. GasLog Partners used the proceeds to partially finance the acquisition from the Company of the entity that owns </w:t>
      </w:r>
      <w:r>
        <w:rPr>
          <w:rFonts w:ascii="Arial" w:cs="Arial" w:eastAsia="Arial" w:hAnsi="Arial"/>
          <w:sz w:val="18"/>
          <w:szCs w:val="18"/>
          <w:i w:val="1"/>
          <w:iCs w:val="1"/>
          <w:color w:val="auto"/>
        </w:rPr>
        <w:t xml:space="preserve">GasLog Seattle. </w:t>
      </w:r>
      <w:r>
        <w:rPr>
          <w:rFonts w:ascii="Arial" w:cs="Arial" w:eastAsia="Arial" w:hAnsi="Arial"/>
          <w:sz w:val="18"/>
          <w:szCs w:val="18"/>
          <w:color w:val="auto"/>
        </w:rPr>
        <w:t>On January 27, 2017, GasLog Partners completed a follow-on public offering, resulting in net proceeds of $75.49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 the over-allotment option was partially exercised by the underwriter on February 24, 2017, resulting in net additional proceeds of $2.44 million. GasLog Partners plans to use the net proceeds from the public offering for general partnership purposes, which may include future acquisitions, debt repayment, capital expenditures and additions to working capital. GasLog Partners holds options to acquire from us seven additional vessels and GAS-twenty six Ltd. with its long-term bareboat charter of (and right to acquire)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subject to a multi-year charter to MSL) and will have certain rights to acquire future vessels meeting certain criteria that have charters with a remaining term of at least 5 years.</w:t>
      </w:r>
    </w:p>
    <w:p>
      <w:pPr>
        <w:spacing w:after="0" w:line="6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As of March 13, 2017, the Company holds a 27.57% interest in GasLog Partners and, as a result of its ownership of the general partner and the fact that the general partner elects the majority of the Partnership’s directors in accordance with the Partnership’s partnership agreement the Company has the ability to control the Partnership’s affairs and policies. Consequently, GasLog Partners is consolidated in the Company’s financial statements.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Expected Drop-Down Transaction</w:t>
      </w:r>
    </w:p>
    <w:p>
      <w:pPr>
        <w:spacing w:after="0" w:line="119" w:lineRule="exact"/>
        <w:rPr>
          <w:sz w:val="20"/>
          <w:szCs w:val="20"/>
          <w:color w:val="auto"/>
        </w:rPr>
      </w:pPr>
    </w:p>
    <w:p>
      <w:pPr>
        <w:ind w:right="40" w:firstLine="357"/>
        <w:spacing w:after="0" w:line="289" w:lineRule="auto"/>
        <w:rPr>
          <w:sz w:val="20"/>
          <w:szCs w:val="20"/>
          <w:color w:val="auto"/>
        </w:rPr>
      </w:pPr>
      <w:r>
        <w:rPr>
          <w:rFonts w:ascii="Arial" w:cs="Arial" w:eastAsia="Arial" w:hAnsi="Arial"/>
          <w:sz w:val="18"/>
          <w:szCs w:val="18"/>
          <w:color w:val="auto"/>
        </w:rPr>
        <w:t>Following its equity offering in January 2017, we expect GasLog Partners to exercise their option to acquire one GasLog vessel soon after completion of this offering. The general terms and conditions of any such acquisition would be expected to be generally consistent with previous vessel acquisitions by GasLog Partners from GasLog and subject to satisfaction of certain closing conditions.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599"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696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696835"/>
                    </a:xfrm>
                    <a:prstGeom prst="rect">
                      <a:avLst/>
                    </a:prstGeom>
                    <a:noFill/>
                  </pic:spPr>
                </pic:pic>
              </a:graphicData>
            </a:graphic>
          </wp:anchor>
        </w:drawing>
        <w:t>Our Fleet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Owned Fleet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presents information about our wholly owned fleet and their associated time charters as of March 13, 2017:</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Cargo</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Year</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Charter</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Optional</w:t>
            </w:r>
          </w:p>
        </w:tc>
      </w:tr>
      <w:tr>
        <w:trPr>
          <w:trHeight w:val="170"/>
        </w:trPr>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Vessel Name</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(cbm)</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Charterer</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Propulsion</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8"/>
                <w:szCs w:val="8"/>
                <w:b w:val="1"/>
                <w:bCs w:val="1"/>
                <w:color w:val="auto"/>
                <w:w w:val="94"/>
              </w:rPr>
              <w:t>(1)</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r>
              <w:rPr>
                <w:rFonts w:ascii="Arial" w:cs="Arial" w:eastAsia="Arial" w:hAnsi="Arial"/>
                <w:sz w:val="8"/>
                <w:szCs w:val="8"/>
                <w:b w:val="1"/>
                <w:bCs w:val="1"/>
                <w:color w:val="auto"/>
                <w:w w:val="93"/>
              </w:rPr>
              <w:t>(2)</w:t>
            </w: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Savannah</w:t>
            </w:r>
          </w:p>
        </w:tc>
        <w:tc>
          <w:tcPr>
            <w:tcW w:w="2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8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1"/>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Singapore</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Skagen</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2013</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April 2021</w:t>
            </w:r>
            <w:r>
              <w:rPr>
                <w:rFonts w:ascii="Arial" w:cs="Arial" w:eastAsia="Arial" w:hAnsi="Arial"/>
                <w:sz w:val="9"/>
                <w:szCs w:val="9"/>
                <w:color w:val="auto"/>
              </w:rPr>
              <w:t>(4)</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2026-2031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Chelsea</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153,600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Solaris</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2014</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June 2021</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2026-2031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Saratoga</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2014</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Methane Lydon Volney</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2006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October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Methane Becki Anne</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170,000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March 2024</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2027-2029</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Salem</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2015</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Greece</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March 2026</w:t>
            </w:r>
          </w:p>
        </w:tc>
        <w:tc>
          <w:tcPr>
            <w:tcW w:w="106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Glasgow</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June 2026</w:t>
            </w:r>
          </w:p>
        </w:tc>
        <w:tc>
          <w:tcPr>
            <w:tcW w:w="106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Geneva</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September 2023</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2028-2031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Gibraltar</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October 2023</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2028-2031</w:t>
            </w:r>
          </w:p>
        </w:tc>
      </w:tr>
    </w:tbl>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March 13,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Cargo</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c>
          <w:tcPr>
            <w:tcW w:w="260" w:type="dxa"/>
            <w:vAlign w:val="bottom"/>
          </w:tcPr>
          <w:p>
            <w:pPr>
              <w:spacing w:after="0"/>
              <w:rPr>
                <w:sz w:val="12"/>
                <w:szCs w:val="12"/>
                <w:color w:val="auto"/>
              </w:rPr>
            </w:pPr>
          </w:p>
        </w:tc>
        <w:tc>
          <w:tcPr>
            <w:tcW w:w="8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Optional</w:t>
            </w:r>
          </w:p>
        </w:tc>
      </w:tr>
      <w:tr>
        <w:trPr>
          <w:trHeight w:val="170"/>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Vessel Name</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(cbm)</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Charterer</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Propulsion</w:t>
            </w: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w:t>
            </w:r>
            <w:r>
              <w:rPr>
                <w:rFonts w:ascii="Arial" w:cs="Arial" w:eastAsia="Arial" w:hAnsi="Arial"/>
                <w:sz w:val="8"/>
                <w:szCs w:val="8"/>
                <w:b w:val="1"/>
                <w:bCs w:val="1"/>
                <w:color w:val="auto"/>
                <w:w w:val="97"/>
              </w:rPr>
              <w:t>(1)</w:t>
            </w:r>
          </w:p>
        </w:tc>
        <w:tc>
          <w:tcPr>
            <w:tcW w:w="260" w:type="dxa"/>
            <w:vAlign w:val="bottom"/>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Period</w:t>
            </w:r>
            <w:r>
              <w:rPr>
                <w:rFonts w:ascii="Arial" w:cs="Arial" w:eastAsia="Arial" w:hAnsi="Arial"/>
                <w:sz w:val="8"/>
                <w:szCs w:val="8"/>
                <w:b w:val="1"/>
                <w:bCs w:val="1"/>
                <w:color w:val="auto"/>
              </w:rPr>
              <w:t>(2)</w:t>
            </w:r>
          </w:p>
        </w:tc>
      </w:tr>
      <w:tr>
        <w:trPr>
          <w:trHeight w:val="220"/>
        </w:trPr>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Shanghai</w:t>
            </w:r>
          </w:p>
        </w:tc>
        <w:tc>
          <w:tcPr>
            <w:tcW w:w="2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May 2018</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Santiago</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2013</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July 2018</w:t>
            </w:r>
          </w:p>
        </w:tc>
        <w:tc>
          <w:tcPr>
            <w:tcW w:w="2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Sydney</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2013</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September 2018</w:t>
            </w:r>
            <w:r>
              <w:rPr>
                <w:rFonts w:ascii="Arial" w:cs="Arial" w:eastAsia="Arial" w:hAnsi="Arial"/>
                <w:sz w:val="9"/>
                <w:szCs w:val="9"/>
                <w:color w:val="auto"/>
              </w:rPr>
              <w:t>(5)</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2021-2026</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Seattle</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2013</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December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2025-2030</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Rita Andrea</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2006</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April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6</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Jane Elizabeth</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2006</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October 2019</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2022-2024</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7</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Shirley Elisabeth</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2007</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June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8</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Alison Victoria</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2007</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December 2019</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2022-2024</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9</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Heather Sally</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2007</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December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Bareboat Vessel</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Cargo</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Optional</w:t>
            </w:r>
          </w:p>
        </w:tc>
      </w:tr>
      <w:tr>
        <w:trPr>
          <w:trHeight w:val="170"/>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Vessel Name</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(cbm)</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Charterer</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Propulsion</w:t>
            </w: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w:t>
            </w:r>
            <w:r>
              <w:rPr>
                <w:rFonts w:ascii="Arial" w:cs="Arial" w:eastAsia="Arial" w:hAnsi="Arial"/>
                <w:sz w:val="8"/>
                <w:szCs w:val="8"/>
                <w:b w:val="1"/>
                <w:bCs w:val="1"/>
                <w:color w:val="auto"/>
                <w:w w:val="97"/>
              </w:rPr>
              <w:t>(1)</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r>
              <w:rPr>
                <w:rFonts w:ascii="Arial" w:cs="Arial" w:eastAsia="Arial" w:hAnsi="Arial"/>
                <w:sz w:val="8"/>
                <w:szCs w:val="8"/>
                <w:b w:val="1"/>
                <w:bCs w:val="1"/>
                <w:color w:val="auto"/>
                <w:w w:val="93"/>
              </w:rPr>
              <w:t>(2)</w:t>
            </w:r>
          </w:p>
        </w:tc>
      </w:tr>
      <w:tr>
        <w:trPr>
          <w:trHeight w:val="225"/>
        </w:trPr>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9"/>
                <w:szCs w:val="9"/>
                <w:color w:val="auto"/>
              </w:rPr>
              <w:t>(6)</w:t>
            </w:r>
          </w:p>
        </w:tc>
        <w:tc>
          <w:tcPr>
            <w:tcW w:w="2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March 2026</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2029-2031</w:t>
            </w:r>
          </w:p>
        </w:tc>
      </w:tr>
    </w:tbl>
    <w:p>
      <w:pPr>
        <w:spacing w:after="0" w:line="323" w:lineRule="exact"/>
        <w:rPr>
          <w:sz w:val="20"/>
          <w:szCs w:val="20"/>
          <w:color w:val="auto"/>
        </w:rPr>
      </w:pPr>
    </w:p>
    <w:p>
      <w:pPr>
        <w:ind w:left="280" w:hanging="210"/>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9"/>
          <w:szCs w:val="19"/>
          <w:color w:val="auto"/>
        </w:rPr>
        <w:t>Indicates the expiration of the initial term.</w:t>
      </w:r>
    </w:p>
    <w:p>
      <w:pPr>
        <w:spacing w:after="0" w:line="82" w:lineRule="exact"/>
        <w:rPr>
          <w:rFonts w:ascii="Arial" w:cs="Arial" w:eastAsia="Arial" w:hAnsi="Arial"/>
          <w:sz w:val="21"/>
          <w:szCs w:val="21"/>
          <w:color w:val="auto"/>
          <w:vertAlign w:val="superscript"/>
        </w:rPr>
      </w:pPr>
    </w:p>
    <w:p>
      <w:pPr>
        <w:ind w:left="280" w:right="40" w:hanging="210"/>
        <w:spacing w:after="0" w:line="268" w:lineRule="auto"/>
        <w:tabs>
          <w:tab w:leader="none" w:pos="280" w:val="left"/>
        </w:tabs>
        <w:numPr>
          <w:ilvl w:val="0"/>
          <w:numId w:val="4"/>
        </w:numPr>
        <w:rPr>
          <w:rFonts w:ascii="Arial" w:cs="Arial" w:eastAsia="Arial" w:hAnsi="Arial"/>
          <w:sz w:val="20"/>
          <w:szCs w:val="20"/>
          <w:color w:val="auto"/>
          <w:vertAlign w:val="superscript"/>
        </w:rPr>
      </w:pPr>
      <w:r>
        <w:rPr>
          <w:rFonts w:ascii="Arial" w:cs="Arial" w:eastAsia="Arial" w:hAnsi="Arial"/>
          <w:sz w:val="18"/>
          <w:szCs w:val="18"/>
          <w:color w:val="auto"/>
        </w:rPr>
        <w:t xml:space="preserve">The period shown reflects the expiration of the minimum optional period and the maximum optional period. The charterer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Skagen </w:t>
      </w:r>
      <w:r>
        <w:rPr>
          <w:rFonts w:ascii="Arial" w:cs="Arial" w:eastAsia="Arial" w:hAnsi="Arial"/>
          <w:sz w:val="18"/>
          <w:szCs w:val="18"/>
          <w:color w:val="auto"/>
        </w:rPr>
        <w:t>has unilateral options to extend the term of the charter for up to ten years, on a seasonal charter basis. The charterer of the</w:t>
      </w:r>
      <w:r>
        <w:rPr>
          <w:rFonts w:ascii="Arial" w:cs="Arial" w:eastAsia="Arial" w:hAnsi="Arial"/>
          <w:sz w:val="18"/>
          <w:szCs w:val="18"/>
          <w:i w:val="1"/>
          <w:iCs w:val="1"/>
          <w:color w:val="auto"/>
        </w:rPr>
        <w:t xml:space="preserve"> GasLog Seattle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Solaris </w:t>
      </w:r>
      <w:r>
        <w:rPr>
          <w:rFonts w:ascii="Arial" w:cs="Arial" w:eastAsia="Arial" w:hAnsi="Arial"/>
          <w:sz w:val="18"/>
          <w:szCs w:val="18"/>
          <w:color w:val="auto"/>
        </w:rPr>
        <w:t>has unilateral options to extend the term of the time charter for periods ranging from 5 to 10 years,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that the charterer provides us with advance notice of declaration of any option in accordance with the terms of the applicable charter. The charterer of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has a unilateral option to extend the term for a period of either three or five years at its election. In addition, the charterer of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has a unilateral option to extend the term of two of the related time charters for a period of either three or five years at its election. The charterers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have the option to extend the charters for two consecutive periods of three or four years each plus or minus 30 days, and</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7" w:name="page8"/>
    <w:bookmarkEnd w:id="7"/>
    <w:p>
      <w:pPr>
        <w:ind w:left="280" w:right="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847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847840"/>
                    </a:xfrm>
                    <a:prstGeom prst="rect">
                      <a:avLst/>
                    </a:prstGeom>
                    <a:noFill/>
                  </pic:spPr>
                </pic:pic>
              </a:graphicData>
            </a:graphic>
          </wp:anchor>
        </w:drawing>
        <w:t xml:space="preserve">each charter extension and the length thereof is to be nominated by charterers at least 18 months before the end of each current charter period and shall follow in direct continuation of the then preceding period. No such nominations have been made in respect of the </w:t>
      </w:r>
      <w:r>
        <w:rPr>
          <w:rFonts w:ascii="Arial" w:cs="Arial" w:eastAsia="Arial" w:hAnsi="Arial"/>
          <w:sz w:val="18"/>
          <w:szCs w:val="18"/>
          <w:i w:val="1"/>
          <w:iCs w:val="1"/>
          <w:color w:val="auto"/>
        </w:rPr>
        <w:t xml:space="preserve">GasLog Shanghai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Santiago. </w:t>
      </w:r>
      <w:r>
        <w:rPr>
          <w:rFonts w:ascii="Arial" w:cs="Arial" w:eastAsia="Arial" w:hAnsi="Arial"/>
          <w:sz w:val="18"/>
          <w:szCs w:val="18"/>
          <w:color w:val="auto"/>
        </w:rPr>
        <w:t>The charterer of the</w:t>
      </w:r>
      <w:r>
        <w:rPr>
          <w:rFonts w:ascii="Arial" w:cs="Arial" w:eastAsia="Arial" w:hAnsi="Arial"/>
          <w:sz w:val="18"/>
          <w:szCs w:val="18"/>
          <w:i w:val="1"/>
          <w:iCs w:val="1"/>
          <w:color w:val="auto"/>
        </w:rPr>
        <w:t xml:space="preserve"> Methane Rita Andrea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Jane Elizabeth </w:t>
      </w:r>
      <w:r>
        <w:rPr>
          <w:rFonts w:ascii="Arial" w:cs="Arial" w:eastAsia="Arial" w:hAnsi="Arial"/>
          <w:sz w:val="18"/>
          <w:szCs w:val="18"/>
          <w:color w:val="auto"/>
        </w:rPr>
        <w:t>may extend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has a unilateral option to extend the term of the time charters for a period of either three or five years at its election. The charterer of the </w:t>
      </w:r>
      <w:r>
        <w:rPr>
          <w:rFonts w:ascii="Arial" w:cs="Arial" w:eastAsia="Arial" w:hAnsi="Arial"/>
          <w:sz w:val="18"/>
          <w:szCs w:val="18"/>
          <w:i w:val="1"/>
          <w:iCs w:val="1"/>
          <w:color w:val="auto"/>
        </w:rPr>
        <w:t xml:space="preserve">GasLog Greece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Glasgow </w:t>
      </w:r>
      <w:r>
        <w:rPr>
          <w:rFonts w:ascii="Arial" w:cs="Arial" w:eastAsia="Arial" w:hAnsi="Arial"/>
          <w:sz w:val="18"/>
          <w:szCs w:val="18"/>
          <w:color w:val="auto"/>
        </w:rPr>
        <w:t>has the right to extend the charters for a period of five years at the charterer’s option.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charterer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has the right to extend the charter by two additional periods of five and three years, respectively, provided that the charterer provides us with advance notice of declaration.</w:t>
      </w:r>
    </w:p>
    <w:p>
      <w:pPr>
        <w:spacing w:after="0" w:line="44" w:lineRule="exact"/>
        <w:rPr>
          <w:sz w:val="20"/>
          <w:szCs w:val="20"/>
          <w:color w:val="auto"/>
        </w:rPr>
      </w:pPr>
    </w:p>
    <w:p>
      <w:pPr>
        <w:ind w:left="280" w:right="260" w:hanging="210"/>
        <w:spacing w:after="0" w:line="253" w:lineRule="auto"/>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9"/>
          <w:szCs w:val="19"/>
          <w:color w:val="auto"/>
        </w:rPr>
        <w:t>Vessels operating in the spot market that have been contributed to the Cool Pool. GasLog has entered into a pool agreement with Dynagas and Golar establishing the Cool Pool to market their vessels, which are currently operating in the LNG shipping spot market. The Cool Pool allows the participating owners to optimize the operation of the pool vessels through improved scheduling ability, cost efficiencies and common marketing.</w:t>
      </w:r>
    </w:p>
    <w:p>
      <w:pPr>
        <w:spacing w:after="0" w:line="67" w:lineRule="exact"/>
        <w:rPr>
          <w:rFonts w:ascii="Arial" w:cs="Arial" w:eastAsia="Arial" w:hAnsi="Arial"/>
          <w:sz w:val="21"/>
          <w:szCs w:val="21"/>
          <w:color w:val="auto"/>
          <w:vertAlign w:val="superscript"/>
        </w:rPr>
      </w:pPr>
    </w:p>
    <w:p>
      <w:pPr>
        <w:ind w:left="280" w:right="120" w:hanging="210"/>
        <w:spacing w:after="0" w:line="258" w:lineRule="auto"/>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9"/>
          <w:szCs w:val="19"/>
          <w:color w:val="auto"/>
        </w:rPr>
        <w:t>Time charter provides for full employment for three years and a subsequent five year seasonal charter under which the ship is employed for seven months and available to accept other charters for five months.</w:t>
      </w:r>
    </w:p>
    <w:p>
      <w:pPr>
        <w:spacing w:after="0" w:line="59" w:lineRule="exact"/>
        <w:rPr>
          <w:rFonts w:ascii="Arial" w:cs="Arial" w:eastAsia="Arial" w:hAnsi="Arial"/>
          <w:sz w:val="21"/>
          <w:szCs w:val="21"/>
          <w:color w:val="auto"/>
          <w:vertAlign w:val="superscript"/>
        </w:rPr>
      </w:pPr>
    </w:p>
    <w:p>
      <w:pPr>
        <w:ind w:left="280" w:right="40" w:hanging="210"/>
        <w:spacing w:after="0" w:line="291" w:lineRule="auto"/>
        <w:tabs>
          <w:tab w:leader="none" w:pos="280" w:val="left"/>
        </w:tabs>
        <w:numPr>
          <w:ilvl w:val="0"/>
          <w:numId w:val="5"/>
        </w:numPr>
        <w:rPr>
          <w:rFonts w:ascii="Arial" w:cs="Arial" w:eastAsia="Arial" w:hAnsi="Arial"/>
          <w:sz w:val="19"/>
          <w:szCs w:val="19"/>
          <w:color w:val="auto"/>
          <w:vertAlign w:val="superscript"/>
        </w:rPr>
      </w:pPr>
      <w:r>
        <w:rPr>
          <w:rFonts w:ascii="Arial" w:cs="Arial" w:eastAsia="Arial" w:hAnsi="Arial"/>
          <w:sz w:val="17"/>
          <w:szCs w:val="17"/>
          <w:color w:val="auto"/>
        </w:rPr>
        <w:t xml:space="preserve">Pursuant to the agreement signed with MSL on April 21, 2015, with respect to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whose charter was shortened by eight months under such agreement, if MSL does not exercise the charter extension options for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GasLog Partners does not enter into a third-party charter for the </w:t>
      </w:r>
      <w:r>
        <w:rPr>
          <w:rFonts w:ascii="Arial" w:cs="Arial" w:eastAsia="Arial" w:hAnsi="Arial"/>
          <w:sz w:val="17"/>
          <w:szCs w:val="17"/>
          <w:i w:val="1"/>
          <w:iCs w:val="1"/>
          <w:color w:val="auto"/>
        </w:rPr>
        <w:t>GasLog Sydney</w:t>
      </w:r>
      <w:r>
        <w:rPr>
          <w:rFonts w:ascii="Arial" w:cs="Arial" w:eastAsia="Arial" w:hAnsi="Arial"/>
          <w:sz w:val="17"/>
          <w:szCs w:val="17"/>
          <w:color w:val="auto"/>
        </w:rPr>
        <w:t>, GasLog and GasLog Partners intend to enter into a bareboat or time charter arrangement that is designed to guarantee the total cash distribution from the vessel for any period of charter shortening.</w:t>
      </w:r>
    </w:p>
    <w:p>
      <w:pPr>
        <w:spacing w:after="0" w:line="36" w:lineRule="exact"/>
        <w:rPr>
          <w:rFonts w:ascii="Arial" w:cs="Arial" w:eastAsia="Arial" w:hAnsi="Arial"/>
          <w:sz w:val="19"/>
          <w:szCs w:val="19"/>
          <w:color w:val="auto"/>
          <w:vertAlign w:val="superscript"/>
        </w:rPr>
      </w:pPr>
    </w:p>
    <w:p>
      <w:pPr>
        <w:ind w:left="280" w:right="60" w:hanging="210"/>
        <w:spacing w:after="0" w:line="253" w:lineRule="auto"/>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9"/>
          <w:szCs w:val="19"/>
          <w:color w:val="auto"/>
        </w:rPr>
        <w:t xml:space="preserve">On February 24, 2016, GasLog’s subsidiary, GAS-twenty six Ltd., completed the sale and leaseback of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Newbuilds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Date of</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Capacity</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c>
          <w:tcPr>
            <w:tcW w:w="300" w:type="dxa"/>
            <w:vAlign w:val="bottom"/>
          </w:tcPr>
          <w:p>
            <w:pPr>
              <w:spacing w:after="0"/>
              <w:rPr>
                <w:sz w:val="15"/>
                <w:szCs w:val="15"/>
                <w:color w:val="auto"/>
              </w:rPr>
            </w:pPr>
          </w:p>
        </w:tc>
        <w:tc>
          <w:tcPr>
            <w:tcW w:w="960" w:type="dxa"/>
            <w:vAlign w:val="bottom"/>
          </w:tcPr>
          <w:p>
            <w:pPr>
              <w:ind w:left="160"/>
              <w:spacing w:after="0" w:line="176" w:lineRule="exact"/>
              <w:rPr>
                <w:sz w:val="20"/>
                <w:szCs w:val="20"/>
                <w:color w:val="auto"/>
              </w:rPr>
            </w:pPr>
            <w:r>
              <w:rPr>
                <w:rFonts w:ascii="Arial" w:cs="Arial" w:eastAsia="Arial" w:hAnsi="Arial"/>
                <w:sz w:val="16"/>
                <w:szCs w:val="16"/>
                <w:b w:val="1"/>
                <w:bCs w:val="1"/>
                <w:color w:val="auto"/>
              </w:rPr>
              <w:t>Optional</w:t>
            </w: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Vessel Name</w:t>
            </w: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Delivery</w:t>
            </w:r>
            <w:r>
              <w:rPr>
                <w:rFonts w:ascii="Arial" w:cs="Arial" w:eastAsia="Arial" w:hAnsi="Arial"/>
                <w:sz w:val="8"/>
                <w:szCs w:val="8"/>
                <w:b w:val="1"/>
                <w:bCs w:val="1"/>
                <w:color w:val="auto"/>
                <w:w w:val="94"/>
              </w:rPr>
              <w:t>(1)</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28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Expiration</w:t>
            </w:r>
            <w:r>
              <w:rPr>
                <w:rFonts w:ascii="Arial" w:cs="Arial" w:eastAsia="Arial" w:hAnsi="Arial"/>
                <w:sz w:val="8"/>
                <w:szCs w:val="8"/>
                <w:b w:val="1"/>
                <w:bCs w:val="1"/>
                <w:color w:val="auto"/>
                <w:w w:val="93"/>
              </w:rPr>
              <w:t>(2)</w:t>
            </w:r>
          </w:p>
        </w:tc>
        <w:tc>
          <w:tcPr>
            <w:tcW w:w="300" w:type="dxa"/>
            <w:vAlign w:val="bottom"/>
          </w:tcPr>
          <w:p>
            <w:pPr>
              <w:spacing w:after="0"/>
              <w:rPr>
                <w:sz w:val="17"/>
                <w:szCs w:val="17"/>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8"/>
                <w:szCs w:val="8"/>
                <w:b w:val="1"/>
                <w:bCs w:val="1"/>
                <w:color w:val="auto"/>
              </w:rPr>
              <w:t>(3)</w:t>
            </w:r>
          </w:p>
        </w:tc>
      </w:tr>
      <w:tr>
        <w:trPr>
          <w:trHeight w:val="217"/>
        </w:trPr>
        <w:tc>
          <w:tcPr>
            <w:tcW w:w="2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b w:val="1"/>
                <w:bCs w:val="1"/>
                <w:color w:val="auto"/>
                <w:w w:val="71"/>
              </w:rPr>
              <w:t>1</w:t>
            </w:r>
          </w:p>
        </w:tc>
        <w:tc>
          <w:tcPr>
            <w:tcW w:w="1840" w:type="dxa"/>
            <w:vAlign w:val="bottom"/>
          </w:tcPr>
          <w:p>
            <w:pPr>
              <w:ind w:left="240"/>
              <w:spacing w:after="0" w:line="217" w:lineRule="exact"/>
              <w:rPr>
                <w:sz w:val="20"/>
                <w:szCs w:val="20"/>
                <w:color w:val="auto"/>
              </w:rPr>
            </w:pPr>
            <w:r>
              <w:rPr>
                <w:rFonts w:ascii="Arial" w:cs="Arial" w:eastAsia="Arial" w:hAnsi="Arial"/>
                <w:sz w:val="19"/>
                <w:szCs w:val="19"/>
                <w:i w:val="1"/>
                <w:iCs w:val="1"/>
                <w:color w:val="auto"/>
              </w:rPr>
              <w:t>Hull No. 2130</w:t>
            </w:r>
          </w:p>
        </w:tc>
        <w:tc>
          <w:tcPr>
            <w:tcW w:w="300" w:type="dxa"/>
            <w:vAlign w:val="bottom"/>
          </w:tcPr>
          <w:p>
            <w:pPr>
              <w:spacing w:after="0"/>
              <w:rPr>
                <w:sz w:val="18"/>
                <w:szCs w:val="18"/>
                <w:color w:val="auto"/>
              </w:rPr>
            </w:pPr>
          </w:p>
        </w:tc>
        <w:tc>
          <w:tcPr>
            <w:tcW w:w="1020" w:type="dxa"/>
            <w:vAlign w:val="bottom"/>
          </w:tcPr>
          <w:p>
            <w:pPr>
              <w:jc w:val="center"/>
              <w:spacing w:after="0" w:line="217" w:lineRule="exact"/>
              <w:rPr>
                <w:sz w:val="20"/>
                <w:szCs w:val="20"/>
                <w:color w:val="auto"/>
              </w:rPr>
            </w:pPr>
            <w:r>
              <w:rPr>
                <w:rFonts w:ascii="Arial" w:cs="Arial" w:eastAsia="Arial" w:hAnsi="Arial"/>
                <w:sz w:val="19"/>
                <w:szCs w:val="19"/>
                <w:color w:val="auto"/>
                <w:w w:val="93"/>
              </w:rPr>
              <w:t>Q1 2018</w:t>
            </w:r>
          </w:p>
        </w:tc>
        <w:tc>
          <w:tcPr>
            <w:tcW w:w="3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4"/>
              </w:rPr>
              <w:t>LP-2S</w:t>
            </w:r>
          </w:p>
        </w:tc>
        <w:tc>
          <w:tcPr>
            <w:tcW w:w="280" w:type="dxa"/>
            <w:vAlign w:val="bottom"/>
          </w:tcPr>
          <w:p>
            <w:pPr>
              <w:spacing w:after="0"/>
              <w:rPr>
                <w:sz w:val="18"/>
                <w:szCs w:val="18"/>
                <w:color w:val="auto"/>
              </w:rPr>
            </w:pPr>
          </w:p>
        </w:tc>
        <w:tc>
          <w:tcPr>
            <w:tcW w:w="1580" w:type="dxa"/>
            <w:vAlign w:val="bottom"/>
          </w:tcPr>
          <w:p>
            <w:pPr>
              <w:jc w:val="center"/>
              <w:spacing w:after="0" w:line="217" w:lineRule="exact"/>
              <w:rPr>
                <w:sz w:val="20"/>
                <w:szCs w:val="20"/>
                <w:color w:val="auto"/>
              </w:rPr>
            </w:pPr>
            <w:r>
              <w:rPr>
                <w:rFonts w:ascii="Arial" w:cs="Arial" w:eastAsia="Arial" w:hAnsi="Arial"/>
                <w:sz w:val="19"/>
                <w:szCs w:val="19"/>
                <w:color w:val="auto"/>
                <w:w w:val="89"/>
              </w:rPr>
              <w:t>2027</w:t>
            </w:r>
          </w:p>
        </w:tc>
        <w:tc>
          <w:tcPr>
            <w:tcW w:w="300" w:type="dxa"/>
            <w:vAlign w:val="bottom"/>
          </w:tcPr>
          <w:p>
            <w:pPr>
              <w:spacing w:after="0"/>
              <w:rPr>
                <w:sz w:val="18"/>
                <w:szCs w:val="18"/>
                <w:color w:val="auto"/>
              </w:rPr>
            </w:pPr>
          </w:p>
        </w:tc>
        <w:tc>
          <w:tcPr>
            <w:tcW w:w="960" w:type="dxa"/>
            <w:vAlign w:val="bottom"/>
          </w:tcPr>
          <w:p>
            <w:pPr>
              <w:jc w:val="center"/>
              <w:spacing w:after="0" w:line="217" w:lineRule="exact"/>
              <w:rPr>
                <w:sz w:val="20"/>
                <w:szCs w:val="20"/>
                <w:color w:val="auto"/>
              </w:rPr>
            </w:pPr>
            <w:r>
              <w:rPr>
                <w:rFonts w:ascii="Arial" w:cs="Arial" w:eastAsia="Arial" w:hAnsi="Arial"/>
                <w:sz w:val="19"/>
                <w:szCs w:val="19"/>
                <w:color w:val="auto"/>
                <w:w w:val="92"/>
              </w:rPr>
              <w:t>2030-2033</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2</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2131</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Q1 2019</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2029</w:t>
            </w:r>
          </w:p>
        </w:tc>
        <w:tc>
          <w:tcPr>
            <w:tcW w:w="1260" w:type="dxa"/>
            <w:vAlign w:val="bottom"/>
            <w:gridSpan w:val="2"/>
          </w:tcPr>
          <w:p>
            <w:pPr>
              <w:jc w:val="center"/>
              <w:ind w:left="163"/>
              <w:spacing w:after="0"/>
              <w:rPr>
                <w:sz w:val="20"/>
                <w:szCs w:val="20"/>
                <w:color w:val="auto"/>
              </w:rPr>
            </w:pPr>
            <w:r>
              <w:rPr>
                <w:rFonts w:ascii="Arial" w:cs="Arial" w:eastAsia="Arial" w:hAnsi="Arial"/>
                <w:sz w:val="19"/>
                <w:szCs w:val="19"/>
                <w:color w:val="auto"/>
                <w:w w:val="92"/>
              </w:rPr>
              <w:t>2032-2035</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3</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2800</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Q1 2018</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2028</w:t>
            </w:r>
          </w:p>
        </w:tc>
        <w:tc>
          <w:tcPr>
            <w:tcW w:w="1260" w:type="dxa"/>
            <w:vAlign w:val="bottom"/>
            <w:gridSpan w:val="2"/>
          </w:tcPr>
          <w:p>
            <w:pPr>
              <w:jc w:val="center"/>
              <w:ind w:left="163"/>
              <w:spacing w:after="0"/>
              <w:rPr>
                <w:sz w:val="20"/>
                <w:szCs w:val="20"/>
                <w:color w:val="auto"/>
              </w:rPr>
            </w:pPr>
            <w:r>
              <w:rPr>
                <w:rFonts w:ascii="Arial" w:cs="Arial" w:eastAsia="Arial" w:hAnsi="Arial"/>
                <w:sz w:val="19"/>
                <w:szCs w:val="19"/>
                <w:color w:val="auto"/>
                <w:w w:val="92"/>
              </w:rPr>
              <w:t>2031-2034</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4</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2801</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Q1 2018</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89"/>
              </w:rPr>
              <w:t>Total</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2025</w:t>
            </w:r>
          </w:p>
        </w:tc>
        <w:tc>
          <w:tcPr>
            <w:tcW w:w="12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2028</w:t>
            </w:r>
          </w:p>
        </w:tc>
      </w:tr>
      <w:tr>
        <w:trPr>
          <w:trHeight w:val="25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5</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2212</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Q2 2019</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180,000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3"/>
              </w:rPr>
              <w:t>Centrica</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2026</w:t>
            </w:r>
          </w:p>
        </w:tc>
        <w:tc>
          <w:tcPr>
            <w:tcW w:w="1260" w:type="dxa"/>
            <w:vAlign w:val="bottom"/>
            <w:gridSpan w:val="2"/>
          </w:tcPr>
          <w:p>
            <w:pPr>
              <w:jc w:val="center"/>
              <w:ind w:left="163"/>
              <w:spacing w:after="0"/>
              <w:rPr>
                <w:sz w:val="20"/>
                <w:szCs w:val="20"/>
                <w:color w:val="auto"/>
              </w:rPr>
            </w:pPr>
            <w:r>
              <w:rPr>
                <w:rFonts w:ascii="Arial" w:cs="Arial" w:eastAsia="Arial" w:hAnsi="Arial"/>
                <w:sz w:val="19"/>
                <w:szCs w:val="19"/>
                <w:color w:val="auto"/>
                <w:w w:val="92"/>
              </w:rPr>
              <w:t>2028-2032</w:t>
            </w:r>
          </w:p>
        </w:tc>
      </w:tr>
    </w:tbl>
    <w:p>
      <w:pPr>
        <w:spacing w:after="0" w:line="320" w:lineRule="exact"/>
        <w:rPr>
          <w:sz w:val="20"/>
          <w:szCs w:val="20"/>
          <w:color w:val="auto"/>
        </w:rPr>
      </w:pPr>
    </w:p>
    <w:p>
      <w:pPr>
        <w:ind w:left="280" w:hanging="210"/>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Expected delivery quarters are presented.</w:t>
      </w:r>
    </w:p>
    <w:p>
      <w:pPr>
        <w:spacing w:after="0" w:line="82" w:lineRule="exact"/>
        <w:rPr>
          <w:rFonts w:ascii="Arial" w:cs="Arial" w:eastAsia="Arial" w:hAnsi="Arial"/>
          <w:sz w:val="21"/>
          <w:szCs w:val="21"/>
          <w:color w:val="auto"/>
          <w:vertAlign w:val="superscript"/>
        </w:rPr>
      </w:pPr>
    </w:p>
    <w:p>
      <w:pPr>
        <w:ind w:left="280" w:hanging="210"/>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Indicates the expiration of the initial term.</w:t>
      </w:r>
    </w:p>
    <w:p>
      <w:pPr>
        <w:spacing w:after="0" w:line="82" w:lineRule="exact"/>
        <w:rPr>
          <w:rFonts w:ascii="Arial" w:cs="Arial" w:eastAsia="Arial" w:hAnsi="Arial"/>
          <w:sz w:val="21"/>
          <w:szCs w:val="21"/>
          <w:color w:val="auto"/>
          <w:vertAlign w:val="superscript"/>
        </w:rPr>
      </w:pPr>
    </w:p>
    <w:p>
      <w:pPr>
        <w:ind w:left="280" w:right="120" w:hanging="210"/>
        <w:spacing w:after="0" w:line="254" w:lineRule="auto"/>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The charterer of Hulls No. 2130, No. 2131 and No. 2800 has the right to extend each of the charters by two consecutive periods of three years each, provided that the charterer provides us with advance notice of declaration. The charterer of Hull No. 2801 has the right to extend the</w:t>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815" w:right="459" w:bottom="1440" w:gutter="0" w:footer="0" w:header="0"/>
        </w:sectPr>
      </w:pPr>
    </w:p>
    <w:bookmarkStart w:id="8" w:name="page9"/>
    <w:bookmarkEnd w:id="8"/>
    <w:p>
      <w:pPr>
        <w:ind w:left="280" w:right="80"/>
        <w:spacing w:after="0" w:line="28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81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t>charter by a three-year period. The charter of Hull No. 2212 has the right to extend the charter by three consecutive periods of two years each at the charterer’s option.</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key characteristics of our owned fleet include the following:</w:t>
      </w:r>
    </w:p>
    <w:p>
      <w:pPr>
        <w:spacing w:after="0" w:line="106" w:lineRule="exact"/>
        <w:rPr>
          <w:sz w:val="20"/>
          <w:szCs w:val="20"/>
          <w:color w:val="auto"/>
        </w:rPr>
      </w:pPr>
    </w:p>
    <w:p>
      <w:pPr>
        <w:jc w:val="both"/>
        <w:ind w:left="520" w:right="100" w:hanging="164"/>
        <w:spacing w:after="0" w:line="267" w:lineRule="auto"/>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ship is sized at between approximately 145,000 cbm and 180,000 cbm capacity, which places our ships in the medium- to large-size class of LNG carriers; we believe this size range maximizes their operational flexibility, as these ships are compatible with most existing LNG terminals around the world, and minimizes excess LNG boil-off;</w:t>
      </w:r>
    </w:p>
    <w:p>
      <w:pPr>
        <w:spacing w:after="0" w:line="54" w:lineRule="exact"/>
        <w:rPr>
          <w:rFonts w:ascii="Arial" w:cs="Arial" w:eastAsia="Arial" w:hAnsi="Arial"/>
          <w:sz w:val="19"/>
          <w:szCs w:val="19"/>
          <w:color w:val="auto"/>
        </w:rPr>
      </w:pPr>
    </w:p>
    <w:p>
      <w:pPr>
        <w:ind w:left="520" w:hanging="164"/>
        <w:spacing w:after="0"/>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ship is double-hulled, which is standard in the LNG industry;</w:t>
      </w:r>
    </w:p>
    <w:p>
      <w:pPr>
        <w:spacing w:after="0" w:line="105" w:lineRule="exact"/>
        <w:rPr>
          <w:rFonts w:ascii="Arial" w:cs="Arial" w:eastAsia="Arial" w:hAnsi="Arial"/>
          <w:sz w:val="19"/>
          <w:szCs w:val="19"/>
          <w:color w:val="auto"/>
        </w:rPr>
      </w:pPr>
    </w:p>
    <w:p>
      <w:pPr>
        <w:ind w:left="520" w:right="340" w:hanging="164"/>
        <w:spacing w:after="0" w:line="267" w:lineRule="auto"/>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54" w:lineRule="exact"/>
        <w:rPr>
          <w:rFonts w:ascii="Arial" w:cs="Arial" w:eastAsia="Arial" w:hAnsi="Arial"/>
          <w:sz w:val="19"/>
          <w:szCs w:val="19"/>
          <w:color w:val="auto"/>
        </w:rPr>
      </w:pPr>
    </w:p>
    <w:p>
      <w:pPr>
        <w:ind w:left="520" w:hanging="164"/>
        <w:spacing w:after="0"/>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of our ships is modern steam powered or has TFDE or has dual-fuel two-stroke engine propulsion technology;</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Bermuda is the flag state of each ship;</w:t>
      </w:r>
    </w:p>
    <w:p>
      <w:pPr>
        <w:spacing w:after="0" w:line="105" w:lineRule="exact"/>
        <w:rPr>
          <w:rFonts w:ascii="Arial" w:cs="Arial" w:eastAsia="Arial" w:hAnsi="Arial"/>
          <w:sz w:val="19"/>
          <w:szCs w:val="19"/>
          <w:color w:val="auto"/>
        </w:rPr>
      </w:pPr>
    </w:p>
    <w:p>
      <w:pPr>
        <w:ind w:left="520" w:hanging="164"/>
        <w:spacing w:after="0" w:line="313"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8" w:lineRule="exact"/>
        <w:rPr>
          <w:rFonts w:ascii="Arial" w:cs="Arial" w:eastAsia="Arial" w:hAnsi="Arial"/>
          <w:sz w:val="17"/>
          <w:szCs w:val="17"/>
          <w:color w:val="auto"/>
        </w:rPr>
      </w:pPr>
    </w:p>
    <w:p>
      <w:pPr>
        <w:ind w:left="520" w:right="20" w:hanging="164"/>
        <w:spacing w:after="0" w:line="267" w:lineRule="auto"/>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upon delivery of the last of our five contracted newbuildings in 2019, our owned fleet will have an average age of 6.3 years, making it one of the youngest in the industry, compared to a current average age of 11.9 years for the global LNG carrier fleet including LNG carriers of all sizes as of December 31, 2016.</w:t>
      </w:r>
    </w:p>
    <w:p>
      <w:pPr>
        <w:spacing w:after="0" w:line="68" w:lineRule="exact"/>
        <w:rPr>
          <w:sz w:val="20"/>
          <w:szCs w:val="20"/>
          <w:color w:val="auto"/>
        </w:rPr>
      </w:pPr>
    </w:p>
    <w:p>
      <w:pPr>
        <w:ind w:right="180" w:firstLine="357"/>
        <w:spacing w:after="0" w:line="258" w:lineRule="auto"/>
        <w:rPr>
          <w:sz w:val="20"/>
          <w:szCs w:val="20"/>
          <w:color w:val="auto"/>
        </w:rPr>
      </w:pPr>
      <w:r>
        <w:rPr>
          <w:rFonts w:ascii="Arial" w:cs="Arial" w:eastAsia="Arial" w:hAnsi="Arial"/>
          <w:sz w:val="19"/>
          <w:szCs w:val="19"/>
          <w:color w:val="auto"/>
        </w:rPr>
        <w:t xml:space="preserve">In addition to our owned fleet, we have a 25% ownership interest in Egypt LNG, an entity whose principal asset is the </w:t>
      </w:r>
      <w:r>
        <w:rPr>
          <w:rFonts w:ascii="Arial" w:cs="Arial" w:eastAsia="Arial" w:hAnsi="Arial"/>
          <w:sz w:val="19"/>
          <w:szCs w:val="19"/>
          <w:i w:val="1"/>
          <w:iCs w:val="1"/>
          <w:color w:val="auto"/>
        </w:rPr>
        <w:t>Methane Nile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Eagle. </w:t>
      </w:r>
      <w:r>
        <w:rPr>
          <w:rFonts w:ascii="Arial" w:cs="Arial" w:eastAsia="Arial" w:hAnsi="Arial"/>
          <w:sz w:val="19"/>
          <w:szCs w:val="19"/>
          <w:color w:val="auto"/>
        </w:rPr>
        <w:t>The</w:t>
      </w:r>
      <w:r>
        <w:rPr>
          <w:rFonts w:ascii="Arial" w:cs="Arial" w:eastAsia="Arial" w:hAnsi="Arial"/>
          <w:sz w:val="19"/>
          <w:szCs w:val="19"/>
          <w:i w:val="1"/>
          <w:iCs w:val="1"/>
          <w:color w:val="auto"/>
        </w:rPr>
        <w:t xml:space="preserve"> Methane Nile Eagle </w:t>
      </w:r>
      <w:r>
        <w:rPr>
          <w:rFonts w:ascii="Arial" w:cs="Arial" w:eastAsia="Arial" w:hAnsi="Arial"/>
          <w:sz w:val="19"/>
          <w:szCs w:val="19"/>
          <w:color w:val="auto"/>
        </w:rPr>
        <w:t>is a 145,000 cbm LNG carrier that was built in 2007. It is currently chartered to MSL under a 20-year time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charter, which is subject to extension for up to 10 years at the charterer’s option. On October 29, 2015, Egypt LNG and MSL mutually agreed to lay up the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for a period of approximately one year. The charterer continued to pay charter hire costs adjusted for net savings in operating expenses and insurance as a result of the vessel being laid up. The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was re-activated on October 15, 2016.</w:t>
      </w:r>
    </w:p>
    <w:p>
      <w:pPr>
        <w:spacing w:after="0" w:line="76"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We continually evaluate short and long-term charter opportunities for our vessels. Our discussions with potential charterers are at various stages of advancement; however, as of the date of this prospectus supplement, we cannot provide assurance that we will conclude any particular charter or, if concluded, the charter rate that will apply.</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Managed Fleet</w:t>
      </w:r>
    </w:p>
    <w:p>
      <w:pPr>
        <w:spacing w:after="0" w:line="119"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 xml:space="preserve">Through GasLog LNG Services, we provide technical ship management services for three LNG carriers owned by third parties (including the bareboat vessel), in addition to management of the 21 LNG carriers currently operating in our owned fleet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We supervised the construction by Samsung of each LNG carrier in our managed fleet, and each ship has operated under our technical management since its delivery from the shipyard with the exception of the </w:t>
      </w:r>
      <w:r>
        <w:rPr>
          <w:rFonts w:ascii="Arial" w:cs="Arial" w:eastAsia="Arial" w:hAnsi="Arial"/>
          <w:sz w:val="18"/>
          <w:szCs w:val="18"/>
          <w:i w:val="1"/>
          <w:iCs w:val="1"/>
          <w:color w:val="auto"/>
        </w:rPr>
        <w:t>Solaris.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815" w:right="479" w:bottom="1440" w:gutter="0" w:footer="0" w:header="0"/>
        </w:sectPr>
      </w:pPr>
    </w:p>
    <w:bookmarkStart w:id="9" w:name="page10"/>
    <w:bookmarkEnd w:id="9"/>
    <w:p>
      <w:pPr>
        <w:ind w:left="3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4695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5190"/>
                    </a:xfrm>
                    <a:prstGeom prst="rect">
                      <a:avLst/>
                    </a:prstGeom>
                    <a:noFill/>
                  </pic:spPr>
                </pic:pic>
              </a:graphicData>
            </a:graphic>
          </wp:anchor>
        </w:drawing>
        <w:t>The following table provides information about our managed ships: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Year</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GasLog</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Vessel Name</w:t>
            </w: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Built</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Ownership</w:t>
            </w:r>
          </w:p>
        </w:tc>
        <w:tc>
          <w:tcPr>
            <w:tcW w:w="28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Ship Owner</w:t>
            </w:r>
          </w:p>
        </w:tc>
      </w:tr>
      <w:tr>
        <w:trPr>
          <w:trHeight w:val="217"/>
        </w:trPr>
        <w:tc>
          <w:tcPr>
            <w:tcW w:w="2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b w:val="1"/>
                <w:bCs w:val="1"/>
                <w:color w:val="auto"/>
                <w:w w:val="71"/>
              </w:rPr>
              <w:t>1</w:t>
            </w:r>
          </w:p>
        </w:tc>
        <w:tc>
          <w:tcPr>
            <w:tcW w:w="3000" w:type="dxa"/>
            <w:vAlign w:val="bottom"/>
          </w:tcPr>
          <w:p>
            <w:pPr>
              <w:ind w:left="240"/>
              <w:spacing w:after="0" w:line="217" w:lineRule="exact"/>
              <w:rPr>
                <w:sz w:val="20"/>
                <w:szCs w:val="20"/>
                <w:color w:val="auto"/>
              </w:rPr>
            </w:pPr>
            <w:r>
              <w:rPr>
                <w:rFonts w:ascii="Arial" w:cs="Arial" w:eastAsia="Arial" w:hAnsi="Arial"/>
                <w:sz w:val="19"/>
                <w:szCs w:val="19"/>
                <w:i w:val="1"/>
                <w:iCs w:val="1"/>
                <w:color w:val="auto"/>
              </w:rPr>
              <w:t>Methane Kari Elin</w:t>
            </w:r>
          </w:p>
        </w:tc>
        <w:tc>
          <w:tcPr>
            <w:tcW w:w="300" w:type="dxa"/>
            <w:vAlign w:val="bottom"/>
          </w:tcPr>
          <w:p>
            <w:pPr>
              <w:spacing w:after="0"/>
              <w:rPr>
                <w:sz w:val="18"/>
                <w:szCs w:val="18"/>
                <w:color w:val="auto"/>
              </w:rPr>
            </w:pPr>
          </w:p>
        </w:tc>
        <w:tc>
          <w:tcPr>
            <w:tcW w:w="1000" w:type="dxa"/>
            <w:vAlign w:val="bottom"/>
          </w:tcPr>
          <w:p>
            <w:pPr>
              <w:jc w:val="center"/>
              <w:spacing w:after="0" w:line="217" w:lineRule="exact"/>
              <w:rPr>
                <w:sz w:val="20"/>
                <w:szCs w:val="20"/>
                <w:color w:val="auto"/>
              </w:rPr>
            </w:pPr>
            <w:r>
              <w:rPr>
                <w:rFonts w:ascii="Arial" w:cs="Arial" w:eastAsia="Arial" w:hAnsi="Arial"/>
                <w:sz w:val="19"/>
                <w:szCs w:val="19"/>
                <w:color w:val="auto"/>
                <w:w w:val="89"/>
              </w:rPr>
              <w:t>2004</w:t>
            </w:r>
          </w:p>
        </w:tc>
        <w:tc>
          <w:tcPr>
            <w:tcW w:w="3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3"/>
              </w:rPr>
              <w:t>138,000</w:t>
            </w:r>
          </w:p>
        </w:tc>
        <w:tc>
          <w:tcPr>
            <w:tcW w:w="2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87"/>
              </w:rPr>
              <w:t>Steam</w:t>
            </w:r>
          </w:p>
        </w:tc>
        <w:tc>
          <w:tcPr>
            <w:tcW w:w="280" w:type="dxa"/>
            <w:vAlign w:val="bottom"/>
          </w:tcPr>
          <w:p>
            <w:pPr>
              <w:spacing w:after="0"/>
              <w:rPr>
                <w:sz w:val="18"/>
                <w:szCs w:val="18"/>
                <w:color w:val="auto"/>
              </w:rPr>
            </w:pPr>
          </w:p>
        </w:tc>
        <w:tc>
          <w:tcPr>
            <w:tcW w:w="1140" w:type="dxa"/>
            <w:vAlign w:val="bottom"/>
          </w:tcPr>
          <w:p>
            <w:pPr>
              <w:jc w:val="center"/>
              <w:spacing w:after="0" w:line="217"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1720" w:type="dxa"/>
            <w:vAlign w:val="bottom"/>
          </w:tcPr>
          <w:p>
            <w:pPr>
              <w:jc w:val="center"/>
              <w:spacing w:after="0" w:line="217" w:lineRule="exact"/>
              <w:rPr>
                <w:sz w:val="20"/>
                <w:szCs w:val="20"/>
                <w:color w:val="auto"/>
              </w:rPr>
            </w:pPr>
            <w:r>
              <w:rPr>
                <w:rFonts w:ascii="Arial" w:cs="Arial" w:eastAsia="Arial" w:hAnsi="Arial"/>
                <w:sz w:val="19"/>
                <w:szCs w:val="19"/>
                <w:color w:val="auto"/>
              </w:rPr>
              <w:t>MSL</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2</w:t>
            </w:r>
          </w:p>
        </w:tc>
        <w:tc>
          <w:tcPr>
            <w:tcW w:w="3000" w:type="dxa"/>
            <w:vAlign w:val="bottom"/>
          </w:tcPr>
          <w:p>
            <w:pPr>
              <w:ind w:left="240"/>
              <w:spacing w:after="0"/>
              <w:rPr>
                <w:sz w:val="20"/>
                <w:szCs w:val="20"/>
                <w:color w:val="auto"/>
              </w:rPr>
            </w:pPr>
            <w:r>
              <w:rPr>
                <w:rFonts w:ascii="Arial" w:cs="Arial" w:eastAsia="Arial" w:hAnsi="Arial"/>
                <w:sz w:val="19"/>
                <w:szCs w:val="19"/>
                <w:i w:val="1"/>
                <w:iCs w:val="1"/>
                <w:color w:val="auto"/>
              </w:rPr>
              <w:t>Methane Nile Eagle</w:t>
            </w:r>
            <w:r>
              <w:rPr>
                <w:rFonts w:ascii="Arial" w:cs="Arial" w:eastAsia="Arial" w:hAnsi="Arial"/>
                <w:sz w:val="10"/>
                <w:szCs w:val="10"/>
                <w:color w:val="auto"/>
              </w:rPr>
              <w:t>(1)</w:t>
            </w:r>
          </w:p>
        </w:tc>
        <w:tc>
          <w:tcPr>
            <w:tcW w:w="130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2007</w:t>
            </w:r>
          </w:p>
        </w:tc>
        <w:tc>
          <w:tcPr>
            <w:tcW w:w="1460" w:type="dxa"/>
            <w:vAlign w:val="bottom"/>
            <w:gridSpan w:val="2"/>
          </w:tcPr>
          <w:p>
            <w:pPr>
              <w:jc w:val="center"/>
              <w:ind w:left="203"/>
              <w:spacing w:after="0"/>
              <w:rPr>
                <w:sz w:val="20"/>
                <w:szCs w:val="20"/>
                <w:color w:val="auto"/>
              </w:rPr>
            </w:pPr>
            <w:r>
              <w:rPr>
                <w:rFonts w:ascii="Arial" w:cs="Arial" w:eastAsia="Arial" w:hAnsi="Arial"/>
                <w:sz w:val="19"/>
                <w:szCs w:val="19"/>
                <w:color w:val="auto"/>
                <w:w w:val="93"/>
              </w:rPr>
              <w:t>145,000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87"/>
              </w:rPr>
              <w:t>Steam</w:t>
            </w:r>
          </w:p>
        </w:tc>
        <w:tc>
          <w:tcPr>
            <w:tcW w:w="1420" w:type="dxa"/>
            <w:vAlign w:val="bottom"/>
            <w:gridSpan w:val="2"/>
          </w:tcPr>
          <w:p>
            <w:pPr>
              <w:jc w:val="center"/>
              <w:ind w:left="183"/>
              <w:spacing w:after="0"/>
              <w:rPr>
                <w:sz w:val="20"/>
                <w:szCs w:val="20"/>
                <w:color w:val="auto"/>
              </w:rPr>
            </w:pPr>
            <w:r>
              <w:rPr>
                <w:rFonts w:ascii="Arial" w:cs="Arial" w:eastAsia="Arial" w:hAnsi="Arial"/>
                <w:sz w:val="19"/>
                <w:szCs w:val="19"/>
                <w:color w:val="auto"/>
                <w:w w:val="92"/>
              </w:rPr>
              <w:t>25.0%</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w w:val="98"/>
              </w:rPr>
              <w:t>Egypt LNG</w:t>
            </w:r>
            <w:r>
              <w:rPr>
                <w:rFonts w:ascii="Arial" w:cs="Arial" w:eastAsia="Arial" w:hAnsi="Arial"/>
                <w:sz w:val="10"/>
                <w:szCs w:val="10"/>
                <w:color w:val="auto"/>
                <w:w w:val="98"/>
              </w:rPr>
              <w:t>(1)</w:t>
            </w:r>
          </w:p>
        </w:tc>
      </w:tr>
      <w:tr>
        <w:trPr>
          <w:trHeight w:val="25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3</w:t>
            </w:r>
          </w:p>
        </w:tc>
        <w:tc>
          <w:tcPr>
            <w:tcW w:w="3000" w:type="dxa"/>
            <w:vAlign w:val="bottom"/>
          </w:tcPr>
          <w:p>
            <w:pPr>
              <w:ind w:left="240"/>
              <w:spacing w:after="0"/>
              <w:rPr>
                <w:sz w:val="20"/>
                <w:szCs w:val="20"/>
                <w:color w:val="auto"/>
              </w:rPr>
            </w:pPr>
            <w:r>
              <w:rPr>
                <w:rFonts w:ascii="Arial" w:cs="Arial" w:eastAsia="Arial" w:hAnsi="Arial"/>
                <w:sz w:val="19"/>
                <w:szCs w:val="19"/>
                <w:i w:val="1"/>
                <w:iCs w:val="1"/>
                <w:color w:val="auto"/>
              </w:rPr>
              <w:t>Methane Julia Louise</w:t>
            </w:r>
          </w:p>
        </w:tc>
        <w:tc>
          <w:tcPr>
            <w:tcW w:w="130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2010</w:t>
            </w:r>
          </w:p>
        </w:tc>
        <w:tc>
          <w:tcPr>
            <w:tcW w:w="1460" w:type="dxa"/>
            <w:vAlign w:val="bottom"/>
            <w:gridSpan w:val="2"/>
          </w:tcPr>
          <w:p>
            <w:pPr>
              <w:jc w:val="center"/>
              <w:ind w:left="203"/>
              <w:spacing w:after="0"/>
              <w:rPr>
                <w:sz w:val="20"/>
                <w:szCs w:val="20"/>
                <w:color w:val="auto"/>
              </w:rPr>
            </w:pPr>
            <w:r>
              <w:rPr>
                <w:rFonts w:ascii="Arial" w:cs="Arial" w:eastAsia="Arial" w:hAnsi="Arial"/>
                <w:sz w:val="19"/>
                <w:szCs w:val="19"/>
                <w:color w:val="auto"/>
                <w:w w:val="93"/>
              </w:rPr>
              <w:t>170,000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6"/>
              </w:rPr>
              <w:t>TFDE</w:t>
            </w:r>
          </w:p>
        </w:tc>
        <w:tc>
          <w:tcPr>
            <w:tcW w:w="2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w w:val="93"/>
              </w:rPr>
              <w:t>Lepta Shipping</w:t>
            </w:r>
          </w:p>
        </w:tc>
      </w:tr>
    </w:tbl>
    <w:p>
      <w:pPr>
        <w:spacing w:after="0" w:line="320" w:lineRule="exact"/>
        <w:rPr>
          <w:sz w:val="20"/>
          <w:szCs w:val="20"/>
          <w:color w:val="auto"/>
        </w:rPr>
      </w:pPr>
    </w:p>
    <w:p>
      <w:pPr>
        <w:jc w:val="both"/>
        <w:ind w:left="280" w:right="180" w:hanging="210"/>
        <w:spacing w:after="0" w:line="254" w:lineRule="auto"/>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is owned by Egypt LNG, in which we indirectly hold a 25.0% equity interest. BG Asia Pacific Pte. Limited, a subsidiary of BG Group, and Eagle Gas Shipping Co. E.S.A., an entity affiliated with the government of Egypt, have 25.0% and 50.0% equity interests, respectively, in Egypt LNG.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Our Relationship to Our Controlling Shareholders</w:t>
      </w:r>
    </w:p>
    <w:p>
      <w:pPr>
        <w:spacing w:after="0" w:line="125"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Our chairman, Peter G. Livanos, is our largest shareholder through his ownership of Ceres Shipping, which has a majority ownership interest in Blenheim Holdings Ltd., or “Blenheim Holdings”. The shipping activities of the Livanos family commenced more than 100 years ago, and Ceres Shipping also has interests in tankers, dry bulk carriers and containerships. Ceres Shipping’s LNG shipping activities commenced in 2001, and its operations in the LNG shipping sector are conducted exclusively through GasLog. Entities controlled by members of the Livanos family, including our chairman, are deemed to beneficially own approximately 40.16% of our issued and outstanding common shares. As a result of his ownership of our common shares, Mr. Livanos can effectively control the outcome of most matters on which GasLog’s shareholders are entitled to vote.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Anthony Papadimitriou, a member of our Board, was originally designated by the Onassis Foundation to serve as one of our directors.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 Onassis Foundation beneficially owns 8.68% of our issued and outstanding common shares.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Information</w:t>
      </w:r>
    </w:p>
    <w:p>
      <w:pPr>
        <w:spacing w:after="0" w:line="125"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599" w:right="45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615"/>
        </w:trPr>
        <w:tc>
          <w:tcPr>
            <w:tcW w:w="37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9"/>
                <w:szCs w:val="19"/>
                <w:b w:val="1"/>
                <w:bCs w:val="1"/>
                <w:color w:val="auto"/>
              </w:rPr>
              <w:t>The Offering</w:t>
            </w:r>
          </w:p>
        </w:tc>
      </w:tr>
      <w:tr>
        <w:trPr>
          <w:trHeight w:val="253"/>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Issuer</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GasLog Ltd.</w:t>
            </w:r>
          </w:p>
        </w:tc>
      </w:tr>
      <w:tr>
        <w:trPr>
          <w:trHeight w:val="230"/>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Securities Offered</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9"/>
              </w:rPr>
              <w:t>$250.0 million aggregate principal amount of our 8.875% Senior Notes due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9"/>
              </w:rPr>
              <w:t>2022 issued in minimum denominations of $1,000 and integral multiples of</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$1,000 in excess thereof. For a detailed description of the Notes, see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“Description of Notes.”</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Blenheim Holdings Ltd., which is GasLog’s largest shareholder and is</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controlled by our chairman, Peter G. Livanos, has agreed to purchase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$9,750,000 of Notes in this offering. A total of $16,250,000 of Notes</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(including the Notes to be purchased by Blenheim Holdings Ltd.) is being</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sold to GasLog-related investors in this offering.</w:t>
            </w:r>
          </w:p>
        </w:tc>
      </w:tr>
      <w:tr>
        <w:trPr>
          <w:trHeight w:val="243"/>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Maturity Dates</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The Notes will mature on March 22, 2022.</w:t>
            </w:r>
          </w:p>
        </w:tc>
      </w:tr>
      <w:tr>
        <w:trPr>
          <w:trHeight w:val="230"/>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Interest Payment Dates.</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March 30, June 30, September 30 and December 30 of each year,</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commencing on June 30, 2017.</w:t>
            </w:r>
          </w:p>
        </w:tc>
      </w:tr>
      <w:tr>
        <w:trPr>
          <w:trHeight w:val="230"/>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Interest Rate</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8"/>
              </w:rPr>
              <w:t>The Notes will bear interest from the date of original issue until maturity at a</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rate of 8.875% per year, payable quarterly in arrears.</w:t>
            </w:r>
          </w:p>
        </w:tc>
      </w:tr>
      <w:tr>
        <w:trPr>
          <w:trHeight w:val="230"/>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Ranking</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The Notes will be unsecured unsubordinated obligations of GasLog. The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6"/>
              </w:rPr>
              <w:t>Notes will rank senior to any of our future subordinated debt and rank equally</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in right of payment with all of our existing and future unsecured and</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unsubordinated debt. The Notes will effectively rank junior to our existing</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6"/>
              </w:rPr>
              <w:t>and future secured debt to the extent of the value of the assets securing such</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debt as well as to existing and future debt and other liabilities of our</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8"/>
              </w:rPr>
              <w:t>subsidiaries. As of December 31, 2016, after giving effect to the issuance of</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the Notes and the use of proceeds thereof as described under “Use of</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Proceeds,” we would have had total consolidated debt of approximately</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9"/>
              </w:rPr>
              <w:t>$3.12 billion. Of such amount, $2.74 billion would have been secured debt,</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all of which is debt of our subsidiaries.</w:t>
            </w:r>
          </w:p>
        </w:tc>
      </w:tr>
      <w:tr>
        <w:trPr>
          <w:trHeight w:val="230"/>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No Security or Guarantees</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None of our obligations under the Notes will be secured by collateral or</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guaranteed by any of our subsidiaries, affiliates or any other persons.</w:t>
            </w:r>
          </w:p>
        </w:tc>
      </w:tr>
      <w:tr>
        <w:trPr>
          <w:trHeight w:val="230"/>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Change of Control</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Upon the occurrence of certain change of control events (as defined in the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indenture governing the Notes), you will have the right, as a holder of the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8"/>
              </w:rPr>
              <w:t>Notes, to require us to repurchase some or all of your Notes at 101% of the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principal amount, plus accrued and unpaid interest to, but excluding, the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repurchase date. For additional information, please read “Description of</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5"/>
              </w:rPr>
              <w:t>Notes—Change of Control Permits Holders to Require the Issuer to Purchase</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Notes.”</w:t>
            </w:r>
          </w:p>
        </w:tc>
      </w:tr>
      <w:tr>
        <w:trPr>
          <w:trHeight w:val="230"/>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Optional Redemption</w:t>
            </w: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w w:val="96"/>
              </w:rPr>
              <w:t>We may redeem some or all of the notes at any time and from time to time at</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a redemption price of 100% of their principal amount, plus accrued and</w:t>
            </w:r>
          </w:p>
        </w:tc>
      </w:tr>
      <w:tr>
        <w:trPr>
          <w:trHeight w:val="230"/>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unpaid interest, if any, to but excluding the redemption date, plus an</w:t>
            </w:r>
          </w:p>
        </w:tc>
      </w:tr>
      <w:tr>
        <w:trPr>
          <w:trHeight w:val="247"/>
        </w:trPr>
        <w:tc>
          <w:tcPr>
            <w:tcW w:w="3720" w:type="dxa"/>
            <w:vAlign w:val="bottom"/>
            <w:tcBorders>
              <w:left w:val="single" w:sz="8" w:color="auto"/>
            </w:tcBorders>
          </w:tcPr>
          <w:p>
            <w:pPr>
              <w:spacing w:after="0"/>
              <w:rPr>
                <w:sz w:val="21"/>
                <w:szCs w:val="21"/>
                <w:color w:val="auto"/>
              </w:rPr>
            </w:pPr>
          </w:p>
        </w:tc>
        <w:tc>
          <w:tcPr>
            <w:tcW w:w="7700" w:type="dxa"/>
            <w:vAlign w:val="bottom"/>
            <w:tcBorders>
              <w:right w:val="single" w:sz="8" w:color="auto"/>
            </w:tcBorders>
          </w:tcPr>
          <w:p>
            <w:pPr>
              <w:ind w:left="1420"/>
              <w:spacing w:after="0"/>
              <w:rPr>
                <w:sz w:val="20"/>
                <w:szCs w:val="20"/>
                <w:color w:val="auto"/>
              </w:rPr>
            </w:pPr>
            <w:r>
              <w:rPr>
                <w:rFonts w:ascii="Arial" w:cs="Arial" w:eastAsia="Arial" w:hAnsi="Arial"/>
                <w:sz w:val="19"/>
                <w:szCs w:val="19"/>
                <w:color w:val="auto"/>
              </w:rPr>
              <w:t>applicable “make-whole” premium. For</w:t>
            </w:r>
          </w:p>
        </w:tc>
      </w:tr>
      <w:tr>
        <w:trPr>
          <w:trHeight w:val="195"/>
        </w:trPr>
        <w:tc>
          <w:tcPr>
            <w:tcW w:w="3720" w:type="dxa"/>
            <w:vAlign w:val="bottom"/>
            <w:tcBorders>
              <w:left w:val="single" w:sz="8" w:color="auto"/>
              <w:bottom w:val="single" w:sz="8" w:color="auto"/>
            </w:tcBorders>
          </w:tcPr>
          <w:p>
            <w:pPr>
              <w:spacing w:after="0"/>
              <w:rPr>
                <w:sz w:val="16"/>
                <w:szCs w:val="16"/>
                <w:color w:val="auto"/>
              </w:rPr>
            </w:pPr>
          </w:p>
        </w:tc>
        <w:tc>
          <w:tcPr>
            <w:tcW w:w="7700" w:type="dxa"/>
            <w:vAlign w:val="bottom"/>
            <w:tcBorders>
              <w:bottom w:val="single" w:sz="8" w:color="auto"/>
              <w:right w:val="single" w:sz="8" w:color="auto"/>
            </w:tcBorders>
          </w:tcPr>
          <w:p>
            <w:pPr>
              <w:spacing w:after="0"/>
              <w:rPr>
                <w:sz w:val="16"/>
                <w:szCs w:val="16"/>
                <w:color w:val="auto"/>
              </w:rPr>
            </w:pPr>
          </w:p>
        </w:tc>
      </w:tr>
      <w:tr>
        <w:trPr>
          <w:trHeight w:val="338"/>
        </w:trPr>
        <w:tc>
          <w:tcPr>
            <w:tcW w:w="3720" w:type="dxa"/>
            <w:vAlign w:val="bottom"/>
          </w:tcPr>
          <w:p>
            <w:pPr>
              <w:spacing w:after="0"/>
              <w:rPr>
                <w:sz w:val="24"/>
                <w:szCs w:val="24"/>
                <w:color w:val="auto"/>
              </w:rPr>
            </w:pPr>
          </w:p>
        </w:tc>
        <w:tc>
          <w:tcPr>
            <w:tcW w:w="7700" w:type="dxa"/>
            <w:vAlign w:val="bottom"/>
          </w:tcPr>
          <w:p>
            <w:pPr>
              <w:ind w:left="1860"/>
              <w:spacing w:after="0"/>
              <w:rPr>
                <w:sz w:val="20"/>
                <w:szCs w:val="20"/>
                <w:color w:val="auto"/>
              </w:rPr>
            </w:pPr>
            <w:r>
              <w:rPr>
                <w:rFonts w:ascii="Arial" w:cs="Arial" w:eastAsia="Arial" w:hAnsi="Arial"/>
                <w:sz w:val="19"/>
                <w:szCs w:val="19"/>
                <w:color w:val="auto"/>
              </w:rPr>
              <w:t>S-8</w:t>
            </w:r>
          </w:p>
        </w:tc>
      </w:tr>
      <w:tr>
        <w:trPr>
          <w:trHeight w:val="222"/>
        </w:trPr>
        <w:tc>
          <w:tcPr>
            <w:tcW w:w="3720" w:type="dxa"/>
            <w:vAlign w:val="bottom"/>
            <w:tcBorders>
              <w:bottom w:val="single" w:sz="8" w:color="auto"/>
            </w:tcBorders>
          </w:tcPr>
          <w:p>
            <w:pPr>
              <w:spacing w:after="0"/>
              <w:rPr>
                <w:sz w:val="19"/>
                <w:szCs w:val="19"/>
                <w:color w:val="auto"/>
              </w:rPr>
            </w:pPr>
          </w:p>
        </w:tc>
        <w:tc>
          <w:tcPr>
            <w:tcW w:w="77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476"/>
        </w:trPr>
        <w:tc>
          <w:tcPr>
            <w:tcW w:w="4180" w:type="dxa"/>
            <w:vAlign w:val="bottom"/>
            <w:tcBorders>
              <w:top w:val="single" w:sz="8" w:color="auto"/>
              <w:left w:val="single" w:sz="8" w:color="auto"/>
            </w:tcBorders>
          </w:tcPr>
          <w:p>
            <w:pPr>
              <w:spacing w:after="0"/>
              <w:rPr>
                <w:sz w:val="24"/>
                <w:szCs w:val="24"/>
                <w:color w:val="auto"/>
              </w:rPr>
            </w:pPr>
          </w:p>
        </w:tc>
        <w:tc>
          <w:tcPr>
            <w:tcW w:w="72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9"/>
                <w:szCs w:val="19"/>
                <w:color w:val="auto"/>
              </w:rPr>
              <w:t>additional information, please read “ Description of Notes—Optional</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Redemption.”</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Covenants</w:t>
            </w: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The indenture governing the Notes contains certain restrictive covenants,</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including covenants that require us to maintain a certain amount of asset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6"/>
              </w:rPr>
              <w:t>coverage and provide certain reports. For additional information, please read</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“Description of Notes.”</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“Reopening” of Notes</w:t>
            </w: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7"/>
              </w:rPr>
              <w:t>We may “reopen” the Notes at any time without the consent of the holders of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4"/>
              </w:rPr>
              <w:t>the Notes and issue additional notes with the same terms as the Notes (except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the issue price, issue date and initial interest payment date), which will</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thereafter constitute a single fungible series with the Notes.</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Use of Proceeds</w:t>
            </w: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We intend to use the net proceeds of the sale of the Notes, which, after</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6"/>
              </w:rPr>
              <w:t>deducting underwriting discounts and the estimated expenses payable by us,</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7"/>
              </w:rPr>
              <w:t>are expected to total approximately $245,280,750, for the repayment of debt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and general corporate purposes, including working capital.</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Ratings</w:t>
            </w: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9"/>
              </w:rPr>
              <w:t>The Notes will not be rated by any Nationally Recognized Statistical Rating</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Organization.</w:t>
            </w:r>
          </w:p>
        </w:tc>
      </w:tr>
      <w:tr>
        <w:trPr>
          <w:trHeight w:val="243"/>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Listing</w:t>
            </w: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The Notes will not be listed on any securities exchange.</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Form</w:t>
            </w: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6"/>
              </w:rPr>
              <w:t>The Notes will be represented by one or more permanent global notes, which</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will be deposited with the trustee as custodian for The Depository Trust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7"/>
              </w:rPr>
              <w:t>Company, or DTC, and registered in the name of Cede &amp; Co., as a nominee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designated by DTC. Holders of Notes may hold interests in a global Note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5"/>
              </w:rPr>
              <w:t>only in the manner described in this prospectus. Any such interest may not be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exchanged for certificated securities except in limited circumstances</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described in this prospectus. For additional information, please read</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“Description of Notes—Book-Entry System; Delivery and Form” in this</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prospectus.</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Additional Amounts; Tax Redemption</w:t>
            </w: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Any payments made by us with respect to the Notes will be made without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7"/>
              </w:rPr>
              <w:t>withholding or deduction for or on account of taxes unless required by law. If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we are required by law to withhold or deduct amounts for or on account of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9"/>
              </w:rPr>
              <w:t>tax imposed by a relevant taxing authority with respect to a payment to the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holders of Notes, we will, subject to certain exceptions, pay the additional</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amounts necessary so that the net amount received by the holders of the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6"/>
              </w:rPr>
              <w:t>Notes after the withholding or deduction is not less than the amount that they</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8"/>
              </w:rPr>
              <w:t>would have received in the absence of the withholding or deduction. Please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read “Description of Notes—Additional Amounts.”</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8"/>
              </w:rPr>
              <w:t>In the event of certain developments affecting taxation, we may redeem the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7"/>
              </w:rPr>
              <w:t>Notes in whole, but not in part, at any time, at a redemption price of 100% of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w w:val="98"/>
              </w:rPr>
              <w:t>the principal amount, plus accrued and unpaid interest, if any, to the date of</w:t>
            </w:r>
          </w:p>
        </w:tc>
      </w:tr>
      <w:tr>
        <w:trPr>
          <w:trHeight w:val="247"/>
        </w:trPr>
        <w:tc>
          <w:tcPr>
            <w:tcW w:w="4180" w:type="dxa"/>
            <w:vAlign w:val="bottom"/>
            <w:tcBorders>
              <w:left w:val="single" w:sz="8" w:color="auto"/>
            </w:tcBorders>
          </w:tcPr>
          <w:p>
            <w:pPr>
              <w:spacing w:after="0"/>
              <w:rPr>
                <w:sz w:val="21"/>
                <w:szCs w:val="21"/>
                <w:color w:val="auto"/>
              </w:rPr>
            </w:pPr>
          </w:p>
        </w:tc>
        <w:tc>
          <w:tcPr>
            <w:tcW w:w="7240" w:type="dxa"/>
            <w:vAlign w:val="bottom"/>
            <w:tcBorders>
              <w:right w:val="single" w:sz="8" w:color="auto"/>
            </w:tcBorders>
          </w:tcPr>
          <w:p>
            <w:pPr>
              <w:ind w:left="960"/>
              <w:spacing w:after="0"/>
              <w:rPr>
                <w:sz w:val="20"/>
                <w:szCs w:val="20"/>
                <w:color w:val="auto"/>
              </w:rPr>
            </w:pPr>
            <w:r>
              <w:rPr>
                <w:rFonts w:ascii="Arial" w:cs="Arial" w:eastAsia="Arial" w:hAnsi="Arial"/>
                <w:sz w:val="19"/>
                <w:szCs w:val="19"/>
                <w:color w:val="auto"/>
              </w:rPr>
              <w:t>redemption. Please read</w:t>
            </w:r>
          </w:p>
        </w:tc>
      </w:tr>
      <w:tr>
        <w:trPr>
          <w:trHeight w:val="195"/>
        </w:trPr>
        <w:tc>
          <w:tcPr>
            <w:tcW w:w="4180" w:type="dxa"/>
            <w:vAlign w:val="bottom"/>
            <w:tcBorders>
              <w:left w:val="single" w:sz="8" w:color="auto"/>
              <w:bottom w:val="single" w:sz="8" w:color="auto"/>
            </w:tcBorders>
          </w:tcPr>
          <w:p>
            <w:pPr>
              <w:spacing w:after="0"/>
              <w:rPr>
                <w:sz w:val="16"/>
                <w:szCs w:val="16"/>
                <w:color w:val="auto"/>
              </w:rPr>
            </w:pPr>
          </w:p>
        </w:tc>
        <w:tc>
          <w:tcPr>
            <w:tcW w:w="7240" w:type="dxa"/>
            <w:vAlign w:val="bottom"/>
            <w:tcBorders>
              <w:bottom w:val="single" w:sz="8" w:color="auto"/>
              <w:right w:val="single" w:sz="8" w:color="auto"/>
            </w:tcBorders>
          </w:tcPr>
          <w:p>
            <w:pPr>
              <w:spacing w:after="0"/>
              <w:rPr>
                <w:sz w:val="16"/>
                <w:szCs w:val="16"/>
                <w:color w:val="auto"/>
              </w:rPr>
            </w:pPr>
          </w:p>
        </w:tc>
      </w:tr>
      <w:tr>
        <w:trPr>
          <w:trHeight w:val="338"/>
        </w:trPr>
        <w:tc>
          <w:tcPr>
            <w:tcW w:w="4180" w:type="dxa"/>
            <w:vAlign w:val="bottom"/>
          </w:tcPr>
          <w:p>
            <w:pPr>
              <w:spacing w:after="0"/>
              <w:rPr>
                <w:sz w:val="24"/>
                <w:szCs w:val="24"/>
                <w:color w:val="auto"/>
              </w:rPr>
            </w:pPr>
          </w:p>
        </w:tc>
        <w:tc>
          <w:tcPr>
            <w:tcW w:w="7240" w:type="dxa"/>
            <w:vAlign w:val="bottom"/>
          </w:tcPr>
          <w:p>
            <w:pPr>
              <w:ind w:left="1400"/>
              <w:spacing w:after="0"/>
              <w:rPr>
                <w:sz w:val="20"/>
                <w:szCs w:val="20"/>
                <w:color w:val="auto"/>
              </w:rPr>
            </w:pPr>
            <w:r>
              <w:rPr>
                <w:rFonts w:ascii="Arial" w:cs="Arial" w:eastAsia="Arial" w:hAnsi="Arial"/>
                <w:sz w:val="19"/>
                <w:szCs w:val="19"/>
                <w:color w:val="auto"/>
              </w:rPr>
              <w:t>S-9</w:t>
            </w:r>
          </w:p>
        </w:tc>
      </w:tr>
      <w:tr>
        <w:trPr>
          <w:trHeight w:val="222"/>
        </w:trPr>
        <w:tc>
          <w:tcPr>
            <w:tcW w:w="4180" w:type="dxa"/>
            <w:vAlign w:val="bottom"/>
            <w:tcBorders>
              <w:bottom w:val="single" w:sz="8" w:color="auto"/>
            </w:tcBorders>
          </w:tcPr>
          <w:p>
            <w:pPr>
              <w:spacing w:after="0"/>
              <w:rPr>
                <w:sz w:val="19"/>
                <w:szCs w:val="19"/>
                <w:color w:val="auto"/>
              </w:rPr>
            </w:pPr>
          </w:p>
        </w:tc>
        <w:tc>
          <w:tcPr>
            <w:tcW w:w="72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476"/>
        </w:trPr>
        <w:tc>
          <w:tcPr>
            <w:tcW w:w="3180" w:type="dxa"/>
            <w:vAlign w:val="bottom"/>
            <w:tcBorders>
              <w:top w:val="single" w:sz="8" w:color="auto"/>
              <w:left w:val="single" w:sz="8" w:color="auto"/>
            </w:tcBorders>
          </w:tcPr>
          <w:p>
            <w:pPr>
              <w:spacing w:after="0"/>
              <w:rPr>
                <w:sz w:val="24"/>
                <w:szCs w:val="24"/>
                <w:color w:val="auto"/>
              </w:rPr>
            </w:pPr>
          </w:p>
        </w:tc>
        <w:tc>
          <w:tcPr>
            <w:tcW w:w="824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9"/>
                <w:szCs w:val="19"/>
                <w:color w:val="auto"/>
              </w:rPr>
              <w:t>“Description of Notes—Optional Redemption for Changes in Withholding</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960"/>
              <w:spacing w:after="0"/>
              <w:rPr>
                <w:sz w:val="20"/>
                <w:szCs w:val="20"/>
                <w:color w:val="auto"/>
              </w:rPr>
            </w:pPr>
            <w:r>
              <w:rPr>
                <w:rFonts w:ascii="Arial" w:cs="Arial" w:eastAsia="Arial" w:hAnsi="Arial"/>
                <w:sz w:val="19"/>
                <w:szCs w:val="19"/>
                <w:color w:val="auto"/>
              </w:rPr>
              <w:t>Taxes.”</w:t>
            </w:r>
          </w:p>
        </w:tc>
      </w:tr>
      <w:tr>
        <w:trPr>
          <w:trHeight w:val="230"/>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Settlement</w:t>
            </w:r>
          </w:p>
        </w:tc>
        <w:tc>
          <w:tcPr>
            <w:tcW w:w="8240" w:type="dxa"/>
            <w:vAlign w:val="bottom"/>
            <w:tcBorders>
              <w:right w:val="single" w:sz="8" w:color="auto"/>
            </w:tcBorders>
          </w:tcPr>
          <w:p>
            <w:pPr>
              <w:ind w:left="1960"/>
              <w:spacing w:after="0"/>
              <w:rPr>
                <w:sz w:val="20"/>
                <w:szCs w:val="20"/>
                <w:color w:val="auto"/>
              </w:rPr>
            </w:pPr>
            <w:r>
              <w:rPr>
                <w:rFonts w:ascii="Arial" w:cs="Arial" w:eastAsia="Arial" w:hAnsi="Arial"/>
                <w:sz w:val="19"/>
                <w:szCs w:val="19"/>
                <w:color w:val="auto"/>
                <w:w w:val="98"/>
              </w:rPr>
              <w:t>Delivery of the Notes offered hereby will be made against payment therefor</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960"/>
              <w:spacing w:after="0"/>
              <w:rPr>
                <w:sz w:val="20"/>
                <w:szCs w:val="20"/>
                <w:color w:val="auto"/>
              </w:rPr>
            </w:pPr>
            <w:r>
              <w:rPr>
                <w:rFonts w:ascii="Arial" w:cs="Arial" w:eastAsia="Arial" w:hAnsi="Arial"/>
                <w:sz w:val="19"/>
                <w:szCs w:val="19"/>
                <w:color w:val="auto"/>
              </w:rPr>
              <w:t>on or about March 22, 2017.</w:t>
            </w:r>
          </w:p>
        </w:tc>
      </w:tr>
      <w:tr>
        <w:trPr>
          <w:trHeight w:val="230"/>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Risk Factors</w:t>
            </w:r>
          </w:p>
        </w:tc>
        <w:tc>
          <w:tcPr>
            <w:tcW w:w="8240" w:type="dxa"/>
            <w:vAlign w:val="bottom"/>
            <w:tcBorders>
              <w:right w:val="single" w:sz="8" w:color="auto"/>
            </w:tcBorders>
          </w:tcPr>
          <w:p>
            <w:pPr>
              <w:ind w:left="1960"/>
              <w:spacing w:after="0"/>
              <w:rPr>
                <w:sz w:val="20"/>
                <w:szCs w:val="20"/>
                <w:color w:val="auto"/>
              </w:rPr>
            </w:pPr>
            <w:r>
              <w:rPr>
                <w:rFonts w:ascii="Arial" w:cs="Arial" w:eastAsia="Arial" w:hAnsi="Arial"/>
                <w:sz w:val="19"/>
                <w:szCs w:val="19"/>
                <w:color w:val="auto"/>
                <w:w w:val="98"/>
              </w:rPr>
              <w:t>An investment in the Notes involves risks. You should consider carefully the</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960"/>
              <w:spacing w:after="0"/>
              <w:rPr>
                <w:sz w:val="20"/>
                <w:szCs w:val="20"/>
                <w:color w:val="auto"/>
              </w:rPr>
            </w:pPr>
            <w:r>
              <w:rPr>
                <w:rFonts w:ascii="Arial" w:cs="Arial" w:eastAsia="Arial" w:hAnsi="Arial"/>
                <w:sz w:val="19"/>
                <w:szCs w:val="19"/>
                <w:color w:val="auto"/>
              </w:rPr>
              <w:t>factors set forth in the section of this prospectus entitled “Risk Factors”</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960"/>
              <w:spacing w:after="0"/>
              <w:rPr>
                <w:sz w:val="20"/>
                <w:szCs w:val="20"/>
                <w:color w:val="auto"/>
              </w:rPr>
            </w:pPr>
            <w:r>
              <w:rPr>
                <w:rFonts w:ascii="Arial" w:cs="Arial" w:eastAsia="Arial" w:hAnsi="Arial"/>
                <w:sz w:val="19"/>
                <w:szCs w:val="19"/>
                <w:color w:val="auto"/>
              </w:rPr>
              <w:t>beginning on page S-15 of this prospectus to determine whether an</w:t>
            </w:r>
          </w:p>
        </w:tc>
      </w:tr>
      <w:tr>
        <w:trPr>
          <w:trHeight w:val="247"/>
        </w:trPr>
        <w:tc>
          <w:tcPr>
            <w:tcW w:w="3180" w:type="dxa"/>
            <w:vAlign w:val="bottom"/>
            <w:tcBorders>
              <w:left w:val="single" w:sz="8" w:color="auto"/>
            </w:tcBorders>
          </w:tcPr>
          <w:p>
            <w:pPr>
              <w:spacing w:after="0"/>
              <w:rPr>
                <w:sz w:val="21"/>
                <w:szCs w:val="21"/>
                <w:color w:val="auto"/>
              </w:rPr>
            </w:pPr>
          </w:p>
        </w:tc>
        <w:tc>
          <w:tcPr>
            <w:tcW w:w="8240" w:type="dxa"/>
            <w:vAlign w:val="bottom"/>
            <w:tcBorders>
              <w:right w:val="single" w:sz="8" w:color="auto"/>
            </w:tcBorders>
          </w:tcPr>
          <w:p>
            <w:pPr>
              <w:ind w:left="1960"/>
              <w:spacing w:after="0"/>
              <w:rPr>
                <w:sz w:val="20"/>
                <w:szCs w:val="20"/>
                <w:color w:val="auto"/>
              </w:rPr>
            </w:pPr>
            <w:r>
              <w:rPr>
                <w:rFonts w:ascii="Arial" w:cs="Arial" w:eastAsia="Arial" w:hAnsi="Arial"/>
                <w:sz w:val="19"/>
                <w:szCs w:val="19"/>
                <w:color w:val="auto"/>
              </w:rPr>
              <w:t>investment in the Notes is appropriate for you.</w:t>
            </w:r>
          </w:p>
        </w:tc>
      </w:tr>
      <w:tr>
        <w:trPr>
          <w:trHeight w:val="195"/>
        </w:trPr>
        <w:tc>
          <w:tcPr>
            <w:tcW w:w="3180" w:type="dxa"/>
            <w:vAlign w:val="bottom"/>
            <w:tcBorders>
              <w:left w:val="single" w:sz="8" w:color="auto"/>
              <w:bottom w:val="single" w:sz="8" w:color="auto"/>
            </w:tcBorders>
          </w:tcPr>
          <w:p>
            <w:pPr>
              <w:spacing w:after="0"/>
              <w:rPr>
                <w:sz w:val="16"/>
                <w:szCs w:val="16"/>
                <w:color w:val="auto"/>
              </w:rPr>
            </w:pPr>
          </w:p>
        </w:tc>
        <w:tc>
          <w:tcPr>
            <w:tcW w:w="8240" w:type="dxa"/>
            <w:vAlign w:val="bottom"/>
            <w:tcBorders>
              <w:bottom w:val="single" w:sz="8" w:color="auto"/>
              <w:right w:val="single" w:sz="8" w:color="auto"/>
            </w:tcBorders>
          </w:tcPr>
          <w:p>
            <w:pPr>
              <w:spacing w:after="0"/>
              <w:rPr>
                <w:sz w:val="16"/>
                <w:szCs w:val="16"/>
                <w:color w:val="auto"/>
              </w:rPr>
            </w:pPr>
          </w:p>
        </w:tc>
      </w:tr>
      <w:tr>
        <w:trPr>
          <w:trHeight w:val="338"/>
        </w:trPr>
        <w:tc>
          <w:tcPr>
            <w:tcW w:w="318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9"/>
                <w:szCs w:val="19"/>
                <w:color w:val="auto"/>
              </w:rPr>
              <w:t>S-10</w:t>
            </w:r>
          </w:p>
        </w:tc>
      </w:tr>
      <w:tr>
        <w:trPr>
          <w:trHeight w:val="222"/>
        </w:trPr>
        <w:tc>
          <w:tcPr>
            <w:tcW w:w="318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101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101715"/>
                    </a:xfrm>
                    <a:prstGeom prst="rect">
                      <a:avLst/>
                    </a:prstGeom>
                    <a:noFill/>
                  </pic:spPr>
                </pic:pic>
              </a:graphicData>
            </a:graphic>
          </wp:anchor>
        </w:drawing>
        <w:t>Summary Consolidated Financial and Other Data</w:t>
      </w:r>
    </w:p>
    <w:p>
      <w:pPr>
        <w:spacing w:after="0" w:line="125"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The following table presents summary consolidated financial and other data of GasLog for each of the years in the five-year period ended December 31, 2016. The summary consolidated financial data of GasLog as of December 31, 2015 and 2016, and for each of the years in the three year period ended December 31, 2016, is derived from our audited consolidated financial statements and notes thereto included in “Item 18. Financial Statements” of our Annual Report on Form 20-F for the year ended December 31, 2016, which is incorporated by reference. The summary consolidated financial data as of December 31, 2012, 2013 and 2014, and for the years ended December 31, 2012 and 2013, is derived from our audited consolidated financial statements, which are not included in our Annual Report on Form 20-F. Our consolidated financial statements are prepared and presented in accordance with International Financial Reporting Standards, or “IFRS”, as issued by the International Accounting Standards Board, or the “IASB”.</w:t>
      </w:r>
    </w:p>
    <w:p>
      <w:pPr>
        <w:spacing w:after="0" w:line="68"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This information should be read together with, and is qualified in its entirety by, our consolidated financial statements and the notes thereto included in “Item 18. Financial Statements” of our Annual Report on Form 20-F for the year ended December 31, 2016, which is incorporated by reference. You should also read “Item 5. Operating and Financial Review and Prospects” of our Annual Report on Form 20-F for the year ended December 31, 2016, which is incorporated by reference.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69"/>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1"/>
              <w:spacing w:after="0" w:line="169" w:lineRule="exact"/>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2"/>
              <w:spacing w:after="0" w:line="169" w:lineRule="exact"/>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1"/>
              <w:spacing w:after="0" w:line="169" w:lineRule="exact"/>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80" w:type="dxa"/>
            <w:vAlign w:val="bottom"/>
            <w:gridSpan w:val="10"/>
          </w:tcPr>
          <w:p>
            <w:pPr>
              <w:ind w:left="20"/>
              <w:spacing w:after="0"/>
              <w:rPr>
                <w:sz w:val="20"/>
                <w:szCs w:val="20"/>
                <w:color w:val="auto"/>
              </w:rPr>
            </w:pPr>
            <w:r>
              <w:rPr>
                <w:rFonts w:ascii="Arial" w:cs="Arial" w:eastAsia="Arial" w:hAnsi="Arial"/>
                <w:sz w:val="16"/>
                <w:szCs w:val="16"/>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9"/>
        </w:trPr>
        <w:tc>
          <w:tcPr>
            <w:tcW w:w="4580" w:type="dxa"/>
            <w:vAlign w:val="bottom"/>
            <w:shd w:val="clear" w:color="auto" w:fill="E5FFFF"/>
          </w:tcPr>
          <w:p>
            <w:pPr>
              <w:spacing w:after="0" w:line="199" w:lineRule="exact"/>
              <w:rPr>
                <w:sz w:val="20"/>
                <w:szCs w:val="20"/>
                <w:color w:val="auto"/>
              </w:rPr>
            </w:pPr>
            <w:r>
              <w:rPr>
                <w:rFonts w:ascii="Arial" w:cs="Arial" w:eastAsia="Arial" w:hAnsi="Arial"/>
                <w:sz w:val="18"/>
                <w:szCs w:val="18"/>
                <w:b w:val="1"/>
                <w:bCs w:val="1"/>
                <w:color w:val="auto"/>
              </w:rPr>
              <w:t>CONSOLIDATED STATEMENT OF PROFIT OR</w:t>
            </w:r>
          </w:p>
        </w:tc>
        <w:tc>
          <w:tcPr>
            <w:tcW w:w="1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r>
      <w:tr>
        <w:trPr>
          <w:trHeight w:val="233"/>
        </w:trPr>
        <w:tc>
          <w:tcPr>
            <w:tcW w:w="45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LOSS</w:t>
            </w:r>
          </w:p>
        </w:tc>
        <w:tc>
          <w:tcPr>
            <w:tcW w:w="14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920" w:type="dxa"/>
            <w:vAlign w:val="bottom"/>
            <w:shd w:val="clear" w:color="auto" w:fill="E5FFFF"/>
          </w:tcPr>
          <w:p>
            <w:pPr>
              <w:spacing w:after="0"/>
              <w:rPr>
                <w:sz w:val="20"/>
                <w:szCs w:val="20"/>
                <w:color w:val="auto"/>
              </w:rPr>
            </w:pP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68,542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157,240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328,679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415,078</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466,059</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r>
              <w:rPr>
                <w:rFonts w:ascii="Arial" w:cs="Arial" w:eastAsia="Arial" w:hAnsi="Arial"/>
                <w:sz w:val="9"/>
                <w:szCs w:val="9"/>
                <w:color w:val="auto"/>
              </w:rPr>
              <w:t>(1)</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(14,354)</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(32,058)</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(70,732)</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(98,552)</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(112,632)</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Voyage expenses and commissions</w:t>
            </w:r>
            <w:r>
              <w:rPr>
                <w:rFonts w:ascii="Arial" w:cs="Arial" w:eastAsia="Arial" w:hAnsi="Arial"/>
                <w:sz w:val="9"/>
                <w:szCs w:val="9"/>
                <w:color w:val="auto"/>
              </w:rPr>
              <w:t>(2)</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(14,290)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(15,184)</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(13,065)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(29,322)</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(70,695)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(106,641)</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(122,957)</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(41,282)</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(38,642)</w:t>
            </w:r>
          </w:p>
        </w:tc>
      </w:tr>
      <w:tr>
        <w:trPr>
          <w:trHeight w:val="242"/>
        </w:trPr>
        <w:tc>
          <w:tcPr>
            <w:tcW w:w="45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20,451</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b w:val="1"/>
                <w:bCs w:val="1"/>
                <w:color w:val="auto"/>
              </w:rPr>
              <w:t>71,401</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145,360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154,313</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176,644</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Financial costs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(11,670)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(27,851)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(71,579)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(91,956)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(137,316)</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1,174</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720</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(Loss)/gain on swaps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11,498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(24,787)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(10,332)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(13,419)</w:t>
            </w:r>
          </w:p>
        </w:tc>
      </w:tr>
      <w:tr>
        <w:trPr>
          <w:trHeight w:val="243"/>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1,078</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1,470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1,497</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1,216</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1,422</w:t>
            </w:r>
          </w:p>
        </w:tc>
      </w:tr>
      <w:tr>
        <w:trPr>
          <w:trHeight w:val="258"/>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(16,201)</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(14,472)</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(94,595)</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(100,645)</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(148,593)</w:t>
            </w:r>
          </w:p>
        </w:tc>
      </w:tr>
      <w:tr>
        <w:trPr>
          <w:trHeight w:val="243"/>
        </w:trPr>
        <w:tc>
          <w:tcPr>
            <w:tcW w:w="45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Profit for the year</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4,250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b w:val="1"/>
                <w:bCs w:val="1"/>
                <w:color w:val="auto"/>
              </w:rPr>
              <w:t>56,929</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50,765</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53,668</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28,051</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6"/>
        </w:trPr>
        <w:tc>
          <w:tcPr>
            <w:tcW w:w="4580" w:type="dxa"/>
            <w:vAlign w:val="bottom"/>
          </w:tcPr>
          <w:p>
            <w:pPr>
              <w:spacing w:after="0"/>
              <w:rPr>
                <w:sz w:val="20"/>
                <w:szCs w:val="20"/>
                <w:color w:val="auto"/>
              </w:rPr>
            </w:pPr>
            <w:r>
              <w:rPr>
                <w:rFonts w:ascii="Arial" w:cs="Arial" w:eastAsia="Arial" w:hAnsi="Arial"/>
                <w:sz w:val="18"/>
                <w:szCs w:val="18"/>
                <w:color w:val="auto"/>
              </w:rPr>
              <w:t>Profit/(loss) attributable to owners of the Group</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56,929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42,161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10,829</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(21,486)</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Profit attributable to non-controlling interest</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8,604</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42,839</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49,537</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Earnings/(loss) per share, basic and diluted</w:t>
            </w:r>
            <w:r>
              <w:rPr>
                <w:rFonts w:ascii="Arial" w:cs="Arial" w:eastAsia="Arial" w:hAnsi="Arial"/>
                <w:sz w:val="9"/>
                <w:szCs w:val="9"/>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Weighted average number of shares, basic</w:t>
            </w:r>
            <w:r>
              <w:rPr>
                <w:rFonts w:ascii="Arial" w:cs="Arial" w:eastAsia="Arial" w:hAnsi="Arial"/>
                <w:sz w:val="9"/>
                <w:szCs w:val="9"/>
                <w:color w:val="auto"/>
              </w:rPr>
              <w:t>(3)</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90"/>
              </w:rPr>
              <w:t>56,093,775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w w:val="90"/>
              </w:rPr>
              <w:t>62,863,665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90"/>
              </w:rPr>
              <w:t>78,633,820</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0"/>
              </w:rPr>
              <w:t>80,496,314</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88"/>
              </w:rPr>
              <w:t>80,534,702</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Weighted average number of shares, diluted</w:t>
            </w:r>
            <w:r>
              <w:rPr>
                <w:rFonts w:ascii="Arial" w:cs="Arial" w:eastAsia="Arial" w:hAnsi="Arial"/>
                <w:sz w:val="9"/>
                <w:szCs w:val="9"/>
                <w:color w:val="auto"/>
              </w:rPr>
              <w:t>(3)</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56,695,519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62,863,665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78,800,192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80,610,420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80,534,702</w:t>
            </w:r>
          </w:p>
        </w:tc>
      </w:tr>
      <w:tr>
        <w:trPr>
          <w:trHeight w:val="243"/>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Dividends declared per common share</w:t>
            </w:r>
            <w:r>
              <w:rPr>
                <w:rFonts w:ascii="Arial" w:cs="Arial" w:eastAsia="Arial" w:hAnsi="Arial"/>
                <w:sz w:val="9"/>
                <w:szCs w:val="9"/>
                <w:color w:val="auto"/>
              </w:rPr>
              <w:t>(3)</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0.56</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Dividends declared per preference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9"/>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12"/>
          </w:tcPr>
          <w:p>
            <w:pPr>
              <w:jc w:val="center"/>
              <w:ind w:left="1"/>
              <w:spacing w:after="0"/>
              <w:rPr>
                <w:sz w:val="20"/>
                <w:szCs w:val="20"/>
                <w:color w:val="auto"/>
              </w:rPr>
            </w:pPr>
            <w:r>
              <w:rPr>
                <w:rFonts w:ascii="Arial" w:cs="Arial" w:eastAsia="Arial" w:hAnsi="Arial"/>
                <w:sz w:val="16"/>
                <w:szCs w:val="16"/>
                <w:b w:val="1"/>
                <w:bCs w:val="1"/>
                <w:color w:val="auto"/>
                <w:w w:val="88"/>
              </w:rPr>
              <w:t>As of December 31,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92"/>
              <w:spacing w:after="0" w:line="169" w:lineRule="exact"/>
              <w:rPr>
                <w:sz w:val="20"/>
                <w:szCs w:val="20"/>
                <w:color w:val="auto"/>
              </w:rPr>
            </w:pPr>
            <w:r>
              <w:rPr>
                <w:rFonts w:ascii="Arial" w:cs="Arial" w:eastAsia="Arial" w:hAnsi="Arial"/>
                <w:sz w:val="16"/>
                <w:szCs w:val="16"/>
                <w:b w:val="1"/>
                <w:bCs w:val="1"/>
                <w:color w:val="auto"/>
              </w:rPr>
              <w:t>2012</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line="169" w:lineRule="exact"/>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71"/>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2"/>
          </w:tcPr>
          <w:p>
            <w:pPr>
              <w:jc w:val="center"/>
              <w:ind w:right="40"/>
              <w:spacing w:after="0"/>
              <w:rPr>
                <w:sz w:val="20"/>
                <w:szCs w:val="20"/>
                <w:color w:val="auto"/>
              </w:rPr>
            </w:pPr>
            <w:r>
              <w:rPr>
                <w:rFonts w:ascii="Arial" w:cs="Arial" w:eastAsia="Arial" w:hAnsi="Arial"/>
                <w:sz w:val="16"/>
                <w:szCs w:val="16"/>
                <w:b w:val="1"/>
                <w:bCs w:val="1"/>
                <w:color w:val="auto"/>
                <w:w w:val="88"/>
              </w:rPr>
              <w:t>(in thousands of U.S.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99"/>
        </w:trPr>
        <w:tc>
          <w:tcPr>
            <w:tcW w:w="5220" w:type="dxa"/>
            <w:vAlign w:val="bottom"/>
            <w:shd w:val="clear" w:color="auto" w:fill="E5FFFF"/>
          </w:tcPr>
          <w:p>
            <w:pPr>
              <w:spacing w:after="0" w:line="199" w:lineRule="exact"/>
              <w:rPr>
                <w:sz w:val="20"/>
                <w:szCs w:val="20"/>
                <w:color w:val="auto"/>
              </w:rPr>
            </w:pPr>
            <w:r>
              <w:rPr>
                <w:rFonts w:ascii="Arial" w:cs="Arial" w:eastAsia="Arial" w:hAnsi="Arial"/>
                <w:sz w:val="18"/>
                <w:szCs w:val="18"/>
                <w:b w:val="1"/>
                <w:bCs w:val="1"/>
                <w:color w:val="auto"/>
              </w:rPr>
              <w:t>CONSOLIDATED STATEMENT OF FINANCIAL POSITION</w:t>
            </w: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r>
      <w:tr>
        <w:trPr>
          <w:trHeight w:val="233"/>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DATA</w:t>
            </w:r>
          </w:p>
        </w:tc>
        <w:tc>
          <w:tcPr>
            <w:tcW w:w="1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$ 110,978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103,798</w:t>
            </w:r>
          </w:p>
        </w:tc>
        <w:tc>
          <w:tcPr>
            <w:tcW w:w="42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211,974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302,988</w:t>
            </w:r>
          </w:p>
        </w:tc>
        <w:tc>
          <w:tcPr>
            <w:tcW w:w="40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227,024</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104,674</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4,500</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28,103</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18,000</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22,826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62,718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Investment in associate and joint venture</w:t>
            </w:r>
            <w:r>
              <w:rPr>
                <w:rFonts w:ascii="Arial" w:cs="Arial" w:eastAsia="Arial" w:hAnsi="Arial"/>
                <w:sz w:val="9"/>
                <w:szCs w:val="9"/>
                <w:color w:val="auto"/>
              </w:rPr>
              <w:t>(4)</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6,856</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6,326</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6,603</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6,274</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6,265</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Tangible fixed assets</w:t>
            </w:r>
            <w:r>
              <w:rPr>
                <w:rFonts w:ascii="Arial" w:cs="Arial" w:eastAsia="Arial" w:hAnsi="Arial"/>
                <w:sz w:val="9"/>
                <w:szCs w:val="9"/>
                <w:color w:val="auto"/>
              </w:rPr>
              <w:t>(5)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426,880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1,529,720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2,809,517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3,400,270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3,889,047</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217,322</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8"/>
              </w:rPr>
              <w:t>120,295</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142,776</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178,405</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96,356</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222,004</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908,768</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1,816,679</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7"/>
              </w:rPr>
              <w:t>3,269,971</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87"/>
              </w:rPr>
              <w:t>4,039,621</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89"/>
              </w:rPr>
              <w:t>4,515,164</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25,753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100,320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116,431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636,987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147,448</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228,515</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1,014,754</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7"/>
              </w:rPr>
              <w:t>1,778,845</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87"/>
              </w:rPr>
              <w:t>1,737,500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89"/>
              </w:rPr>
              <w:t>2,504,578</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5,946</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non-current portion</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gridSpan w:val="5"/>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214,455</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Share capital</w:t>
            </w:r>
            <w:r>
              <w:rPr>
                <w:rFonts w:ascii="Arial" w:cs="Arial" w:eastAsia="Arial" w:hAnsi="Arial"/>
                <w:sz w:val="9"/>
                <w:szCs w:val="9"/>
                <w:color w:val="auto"/>
              </w:rPr>
              <w:t>(3)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gridSpan w:val="5"/>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46</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Equity attributable to owners of the Group</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603,271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639,533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929,391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1,001,674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945,643</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323,646</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506,246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564,039</w:t>
            </w:r>
          </w:p>
        </w:tc>
      </w:tr>
      <w:tr>
        <w:trPr>
          <w:trHeight w:val="241"/>
        </w:trPr>
        <w:tc>
          <w:tcPr>
            <w:tcW w:w="5220" w:type="dxa"/>
            <w:vAlign w:val="bottom"/>
          </w:tcPr>
          <w:p>
            <w:pPr>
              <w:spacing w:after="0"/>
              <w:rPr>
                <w:sz w:val="20"/>
                <w:szCs w:val="20"/>
                <w:color w:val="auto"/>
              </w:rPr>
            </w:pPr>
            <w:r>
              <w:rPr>
                <w:rFonts w:ascii="Arial" w:cs="Arial" w:eastAsia="Arial" w:hAnsi="Arial"/>
                <w:sz w:val="18"/>
                <w:szCs w:val="18"/>
                <w:color w:val="auto"/>
              </w:rPr>
              <w:t>Total equity</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603,271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639,533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1,253,037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1,507,920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1,509,682</w:t>
            </w:r>
          </w:p>
        </w:tc>
      </w:tr>
      <w:tr>
        <w:trPr>
          <w:trHeight w:val="205"/>
        </w:trPr>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8"/>
          </w:tcPr>
          <w:p>
            <w:pPr>
              <w:jc w:val="center"/>
              <w:ind w:left="433"/>
              <w:spacing w:after="0"/>
              <w:rPr>
                <w:sz w:val="20"/>
                <w:szCs w:val="20"/>
                <w:color w:val="auto"/>
              </w:rPr>
            </w:pPr>
            <w:r>
              <w:rPr>
                <w:rFonts w:ascii="Arial" w:cs="Arial" w:eastAsia="Arial" w:hAnsi="Arial"/>
                <w:sz w:val="16"/>
                <w:szCs w:val="16"/>
                <w:b w:val="1"/>
                <w:bCs w:val="1"/>
                <w:color w:val="auto"/>
                <w:w w:val="89"/>
              </w:rPr>
              <w:t>Year Ended 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860" w:type="dxa"/>
            <w:vAlign w:val="bottom"/>
            <w:tcBorders>
              <w:bottom w:val="single" w:sz="8" w:color="auto"/>
            </w:tcBorders>
            <w:gridSpan w:val="3"/>
          </w:tcPr>
          <w:p>
            <w:pPr>
              <w:jc w:val="right"/>
              <w:ind w:right="192"/>
              <w:spacing w:after="0" w:line="169" w:lineRule="exact"/>
              <w:rPr>
                <w:sz w:val="20"/>
                <w:szCs w:val="20"/>
                <w:color w:val="auto"/>
              </w:rPr>
            </w:pPr>
            <w:r>
              <w:rPr>
                <w:rFonts w:ascii="Arial" w:cs="Arial" w:eastAsia="Arial" w:hAnsi="Arial"/>
                <w:sz w:val="16"/>
                <w:szCs w:val="16"/>
                <w:b w:val="1"/>
                <w:bCs w:val="1"/>
                <w:color w:val="auto"/>
              </w:rPr>
              <w:t>2012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line="169" w:lineRule="exact"/>
              <w:rPr>
                <w:sz w:val="20"/>
                <w:szCs w:val="20"/>
                <w:color w:val="auto"/>
              </w:rPr>
            </w:pPr>
            <w:r>
              <w:rPr>
                <w:rFonts w:ascii="Arial" w:cs="Arial" w:eastAsia="Arial" w:hAnsi="Arial"/>
                <w:sz w:val="16"/>
                <w:szCs w:val="16"/>
                <w:b w:val="1"/>
                <w:bCs w:val="1"/>
                <w:color w:val="auto"/>
                <w:w w:val="84"/>
              </w:rPr>
              <w:t>2013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32"/>
              <w:spacing w:after="0" w:line="169" w:lineRule="exact"/>
              <w:rPr>
                <w:sz w:val="20"/>
                <w:szCs w:val="20"/>
                <w:color w:val="auto"/>
              </w:rPr>
            </w:pPr>
            <w:r>
              <w:rPr>
                <w:rFonts w:ascii="Arial" w:cs="Arial" w:eastAsia="Arial" w:hAnsi="Arial"/>
                <w:sz w:val="16"/>
                <w:szCs w:val="16"/>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71"/>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2"/>
          </w:tcPr>
          <w:p>
            <w:pPr>
              <w:jc w:val="center"/>
              <w:ind w:right="160"/>
              <w:spacing w:after="0"/>
              <w:rPr>
                <w:sz w:val="20"/>
                <w:szCs w:val="20"/>
                <w:color w:val="auto"/>
              </w:rPr>
            </w:pPr>
            <w:r>
              <w:rPr>
                <w:rFonts w:ascii="Arial" w:cs="Arial" w:eastAsia="Arial" w:hAnsi="Arial"/>
                <w:sz w:val="16"/>
                <w:szCs w:val="16"/>
                <w:b w:val="1"/>
                <w:bCs w:val="1"/>
                <w:color w:val="auto"/>
                <w:w w:val="88"/>
              </w:rPr>
              <w:t>(in thousands of U.S.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CONSOLIDATED CASH FLOW DATA</w:t>
            </w: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4"/>
              </w:rPr>
              <w:t>$   24,918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86,745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148,288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161,579</w:t>
            </w:r>
          </w:p>
        </w:tc>
        <w:tc>
          <w:tcPr>
            <w:tcW w:w="80" w:type="dxa"/>
            <w:vAlign w:val="bottom"/>
          </w:tcPr>
          <w:p>
            <w:pPr>
              <w:spacing w:after="0"/>
              <w:rPr>
                <w:sz w:val="21"/>
                <w:szCs w:val="21"/>
                <w:color w:val="auto"/>
              </w:rPr>
            </w:pPr>
          </w:p>
        </w:tc>
        <w:tc>
          <w:tcPr>
            <w:tcW w:w="40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256,532</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(212,621)</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(935,516)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89"/>
              </w:rPr>
              <w:t>(1,386,656)</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93"/>
              </w:rPr>
              <w:t>(704,052)</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w w:val="95"/>
              </w:rPr>
              <w:t>(771,242)</w:t>
            </w:r>
          </w:p>
        </w:tc>
      </w:tr>
      <w:tr>
        <w:trPr>
          <w:trHeight w:val="241"/>
        </w:trPr>
        <w:tc>
          <w:tcPr>
            <w:tcW w:w="52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278,811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840,481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4"/>
              </w:rPr>
              <w:t>1,346,762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634,317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439,766</w:t>
            </w:r>
          </w:p>
        </w:tc>
      </w:tr>
      <w:tr>
        <w:trPr>
          <w:trHeight w:val="205"/>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19"/>
          </w:tcPr>
          <w:p>
            <w:pPr>
              <w:jc w:val="right"/>
              <w:ind w:right="180"/>
              <w:spacing w:after="0"/>
              <w:rPr>
                <w:sz w:val="20"/>
                <w:szCs w:val="20"/>
                <w:color w:val="auto"/>
              </w:rPr>
            </w:pPr>
            <w:r>
              <w:rPr>
                <w:rFonts w:ascii="Arial" w:cs="Arial" w:eastAsia="Arial" w:hAnsi="Arial"/>
                <w:sz w:val="16"/>
                <w:szCs w:val="16"/>
                <w:b w:val="1"/>
                <w:bCs w:val="1"/>
                <w:color w:val="auto"/>
                <w:w w:val="99"/>
              </w:rPr>
              <w:t>Year Ended December 31,</w:t>
            </w: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5"/>
          </w:tcPr>
          <w:p>
            <w:pPr>
              <w:ind w:left="20"/>
              <w:spacing w:after="0" w:line="169" w:lineRule="exact"/>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4"/>
                <w:szCs w:val="14"/>
                <w:color w:val="auto"/>
              </w:rPr>
            </w:pPr>
          </w:p>
        </w:tc>
        <w:tc>
          <w:tcPr>
            <w:tcW w:w="800" w:type="dxa"/>
            <w:vAlign w:val="bottom"/>
            <w:gridSpan w:val="3"/>
          </w:tcPr>
          <w:p>
            <w:pPr>
              <w:jc w:val="right"/>
              <w:ind w:right="32"/>
              <w:spacing w:after="0" w:line="169" w:lineRule="exact"/>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4"/>
          </w:tcPr>
          <w:p>
            <w:pPr>
              <w:jc w:val="right"/>
              <w:ind w:right="21"/>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4"/>
          </w:tcPr>
          <w:p>
            <w:pPr>
              <w:jc w:val="right"/>
              <w:ind w:right="20"/>
              <w:spacing w:after="0" w:line="169" w:lineRule="exact"/>
              <w:rPr>
                <w:sz w:val="20"/>
                <w:szCs w:val="20"/>
                <w:color w:val="auto"/>
              </w:rPr>
            </w:pPr>
            <w:r>
              <w:rPr>
                <w:rFonts w:ascii="Arial" w:cs="Arial" w:eastAsia="Arial" w:hAnsi="Arial"/>
                <w:sz w:val="16"/>
                <w:szCs w:val="16"/>
                <w:b w:val="1"/>
                <w:bCs w:val="1"/>
                <w:color w:val="auto"/>
                <w:w w:val="89"/>
              </w:rPr>
              <w:t>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6"/>
                <w:szCs w:val="16"/>
                <w:b w:val="1"/>
                <w:bCs w:val="1"/>
                <w:color w:val="auto"/>
              </w:rPr>
              <w:t>2016</w:t>
            </w:r>
          </w:p>
        </w:tc>
      </w:tr>
      <w:tr>
        <w:trPr>
          <w:trHeight w:val="210"/>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FLEET DATA</w:t>
            </w:r>
            <w:r>
              <w:rPr>
                <w:rFonts w:ascii="Arial" w:cs="Arial" w:eastAsia="Arial" w:hAnsi="Arial"/>
                <w:sz w:val="9"/>
                <w:szCs w:val="9"/>
                <w:color w:val="auto"/>
              </w:rPr>
              <w:t>(6)</w:t>
            </w: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tcBorders>
              <w:top w:val="single" w:sz="8" w:color="auto"/>
            </w:tcBorders>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Number of managed ships at end of period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managed ships during period</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w w:val="91"/>
              </w:rPr>
              <w:t>14.0</w:t>
            </w: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8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60" w:type="dxa"/>
            <w:vAlign w:val="bottom"/>
            <w:gridSpan w:val="5"/>
            <w:shd w:val="clear" w:color="auto" w:fill="E5FFFF"/>
          </w:tcPr>
          <w:p>
            <w:pPr>
              <w:jc w:val="right"/>
              <w:ind w:right="40"/>
              <w:spacing w:after="0"/>
              <w:rPr>
                <w:sz w:val="20"/>
                <w:szCs w:val="20"/>
                <w:color w:val="auto"/>
              </w:rPr>
            </w:pPr>
            <w:r>
              <w:rPr>
                <w:rFonts w:ascii="Arial" w:cs="Arial" w:eastAsia="Arial" w:hAnsi="Arial"/>
                <w:sz w:val="18"/>
                <w:szCs w:val="18"/>
                <w:color w:val="auto"/>
                <w:w w:val="85"/>
              </w:rPr>
              <w:t>21.7</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23.6</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Number of owned ships at end of period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owned ships during period</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8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60" w:type="dxa"/>
            <w:vAlign w:val="bottom"/>
            <w:gridSpan w:val="5"/>
            <w:shd w:val="clear" w:color="auto" w:fill="E5FFFF"/>
          </w:tcPr>
          <w:p>
            <w:pPr>
              <w:jc w:val="right"/>
              <w:ind w:right="40"/>
              <w:spacing w:after="0"/>
              <w:rPr>
                <w:sz w:val="20"/>
                <w:szCs w:val="20"/>
                <w:color w:val="auto"/>
              </w:rPr>
            </w:pPr>
            <w:r>
              <w:rPr>
                <w:rFonts w:ascii="Arial" w:cs="Arial" w:eastAsia="Arial" w:hAnsi="Arial"/>
                <w:sz w:val="18"/>
                <w:szCs w:val="18"/>
                <w:color w:val="auto"/>
                <w:w w:val="85"/>
              </w:rPr>
              <w:t>18.2</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19.8</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Average age of owned ships (years)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5"/>
              </w:rPr>
              <w:t>4.4</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for owned and bareboat fleet</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732</w:t>
            </w: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1,832</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8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w w:val="88"/>
              </w:rPr>
              <w:t>4,520</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gridSpan w:val="6"/>
            <w:shd w:val="clear" w:color="auto" w:fill="E5FFFF"/>
          </w:tcPr>
          <w:p>
            <w:pPr>
              <w:jc w:val="right"/>
              <w:ind w:right="40"/>
              <w:spacing w:after="0"/>
              <w:rPr>
                <w:sz w:val="20"/>
                <w:szCs w:val="20"/>
                <w:color w:val="auto"/>
              </w:rPr>
            </w:pPr>
            <w:r>
              <w:rPr>
                <w:rFonts w:ascii="Arial" w:cs="Arial" w:eastAsia="Arial" w:hAnsi="Arial"/>
                <w:sz w:val="18"/>
                <w:szCs w:val="18"/>
                <w:color w:val="auto"/>
                <w:w w:val="84"/>
              </w:rPr>
              <w:t>6,638</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7,568</w:t>
            </w:r>
          </w:p>
        </w:tc>
      </w:tr>
      <w:tr>
        <w:trPr>
          <w:trHeight w:val="241"/>
        </w:trPr>
        <w:tc>
          <w:tcPr>
            <w:tcW w:w="5220" w:type="dxa"/>
            <w:vAlign w:val="bottom"/>
          </w:tcPr>
          <w:p>
            <w:pPr>
              <w:spacing w:after="0"/>
              <w:rPr>
                <w:sz w:val="20"/>
                <w:szCs w:val="20"/>
                <w:color w:val="auto"/>
              </w:rPr>
            </w:pPr>
            <w:r>
              <w:rPr>
                <w:rFonts w:ascii="Arial" w:cs="Arial" w:eastAsia="Arial" w:hAnsi="Arial"/>
                <w:sz w:val="18"/>
                <w:szCs w:val="18"/>
                <w:color w:val="auto"/>
              </w:rPr>
              <w:t>Total operating days for owned and bareboat fleet</w:t>
            </w:r>
            <w:r>
              <w:rPr>
                <w:rFonts w:ascii="Arial" w:cs="Arial" w:eastAsia="Arial" w:hAnsi="Arial"/>
                <w:sz w:val="9"/>
                <w:szCs w:val="9"/>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8"/>
              </w:rPr>
              <w:t>4,392</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6"/>
          </w:tcPr>
          <w:p>
            <w:pPr>
              <w:jc w:val="right"/>
              <w:ind w:right="40"/>
              <w:spacing w:after="0"/>
              <w:rPr>
                <w:sz w:val="20"/>
                <w:szCs w:val="20"/>
                <w:color w:val="auto"/>
              </w:rPr>
            </w:pPr>
            <w:r>
              <w:rPr>
                <w:rFonts w:ascii="Arial" w:cs="Arial" w:eastAsia="Arial" w:hAnsi="Arial"/>
                <w:sz w:val="18"/>
                <w:szCs w:val="18"/>
                <w:color w:val="auto"/>
                <w:w w:val="84"/>
              </w:rPr>
              <w:t>6,097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7,439</w:t>
            </w:r>
          </w:p>
        </w:tc>
      </w:tr>
      <w:tr>
        <w:trPr>
          <w:trHeight w:val="205"/>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19"/>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32"/>
              <w:spacing w:after="0" w:line="169" w:lineRule="exact"/>
              <w:rPr>
                <w:sz w:val="20"/>
                <w:szCs w:val="20"/>
                <w:color w:val="auto"/>
              </w:rPr>
            </w:pPr>
            <w:r>
              <w:rPr>
                <w:rFonts w:ascii="Arial" w:cs="Arial" w:eastAsia="Arial" w:hAnsi="Arial"/>
                <w:sz w:val="16"/>
                <w:szCs w:val="16"/>
                <w:b w:val="1"/>
                <w:bCs w:val="1"/>
                <w:color w:val="auto"/>
              </w:rPr>
              <w:t>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2"/>
          </w:tcPr>
          <w:p>
            <w:pPr>
              <w:jc w:val="right"/>
              <w:ind w:right="500"/>
              <w:spacing w:after="0"/>
              <w:rPr>
                <w:sz w:val="20"/>
                <w:szCs w:val="20"/>
                <w:color w:val="auto"/>
              </w:rPr>
            </w:pPr>
            <w:r>
              <w:rPr>
                <w:rFonts w:ascii="Arial" w:cs="Arial" w:eastAsia="Arial" w:hAnsi="Arial"/>
                <w:sz w:val="16"/>
                <w:szCs w:val="16"/>
                <w:b w:val="1"/>
                <w:bCs w:val="1"/>
                <w:color w:val="auto"/>
              </w:rPr>
              <w:t>(in thousands of U.S.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(8)</w:t>
            </w: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  34,594</w:t>
            </w:r>
          </w:p>
        </w:tc>
        <w:tc>
          <w:tcPr>
            <w:tcW w:w="1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102,193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   217,552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92"/>
              </w:rPr>
              <w:t>$ 262,170</w:t>
            </w:r>
          </w:p>
        </w:tc>
        <w:tc>
          <w:tcPr>
            <w:tcW w:w="1200" w:type="dxa"/>
            <w:vAlign w:val="bottom"/>
            <w:gridSpan w:val="9"/>
          </w:tcPr>
          <w:p>
            <w:pPr>
              <w:jc w:val="right"/>
              <w:ind w:right="80"/>
              <w:spacing w:after="0"/>
              <w:rPr>
                <w:sz w:val="20"/>
                <w:szCs w:val="20"/>
                <w:color w:val="auto"/>
              </w:rPr>
            </w:pPr>
            <w:r>
              <w:rPr>
                <w:rFonts w:ascii="Arial" w:cs="Arial" w:eastAsia="Arial" w:hAnsi="Arial"/>
                <w:sz w:val="18"/>
                <w:szCs w:val="18"/>
                <w:color w:val="auto"/>
              </w:rPr>
              <w:t>$ 301,023</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9"/>
                <w:szCs w:val="9"/>
                <w:color w:val="auto"/>
              </w:rPr>
              <w:t>(8)</w:t>
            </w:r>
          </w:p>
        </w:tc>
        <w:tc>
          <w:tcPr>
            <w:tcW w:w="104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34,047</w:t>
            </w: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101,617</w:t>
            </w: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2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217,172</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262,969</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302,386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3"/>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Payments for fixed assets</w:t>
            </w:r>
          </w:p>
        </w:tc>
        <w:tc>
          <w:tcPr>
            <w:tcW w:w="104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110,765</w:t>
            </w: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97"/>
              </w:rPr>
              <w:t>1,038,153</w:t>
            </w: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2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1,364,283</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728,446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761,513</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Common share dividend declared</w:t>
            </w: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6,915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28,288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39,840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45,078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45,101</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 dividend declared</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480" w:type="dxa"/>
            <w:vAlign w:val="bottom"/>
            <w:gridSpan w:val="8"/>
            <w:shd w:val="clear" w:color="auto" w:fill="E5FFFF"/>
          </w:tcPr>
          <w:p>
            <w:pPr>
              <w:jc w:val="right"/>
              <w:ind w:right="2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gridSpan w:val="5"/>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7,379</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10,063</w:t>
            </w:r>
          </w:p>
        </w:tc>
      </w:tr>
    </w:tbl>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542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754253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15" w:right="459" w:bottom="1440" w:gutter="0" w:footer="0" w:header="0"/>
        </w:sectPr>
      </w:pPr>
    </w:p>
    <w:bookmarkStart w:id="15" w:name="page16"/>
    <w:bookmarkEnd w:id="15"/>
    <w:p>
      <w:pPr>
        <w:ind w:left="220" w:right="80" w:hanging="213"/>
        <w:spacing w:after="0" w:line="248"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693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693535"/>
                    </a:xfrm>
                    <a:prstGeom prst="rect">
                      <a:avLst/>
                    </a:prstGeom>
                    <a:noFill/>
                  </pic:spPr>
                </pic:pic>
              </a:graphicData>
            </a:graphic>
          </wp:anchor>
        </w:drawing>
        <w:t>For the years ended December 31, 2012 and 2013, vessel operating and supervision costs is determined by taking the vessel operating and supervision costs per the consolidated statement of profit or loss in the relevant year’s Annual Report on Form 20-F and deducting voyage expenses and commissions.</w:t>
      </w:r>
    </w:p>
    <w:p>
      <w:pPr>
        <w:spacing w:after="0" w:line="77" w:lineRule="exact"/>
        <w:rPr>
          <w:rFonts w:ascii="Arial" w:cs="Arial" w:eastAsia="Arial" w:hAnsi="Arial"/>
          <w:sz w:val="20"/>
          <w:szCs w:val="20"/>
          <w:color w:val="auto"/>
          <w:vertAlign w:val="superscript"/>
        </w:rPr>
      </w:pPr>
    </w:p>
    <w:p>
      <w:pPr>
        <w:ind w:left="220" w:right="100" w:hanging="213"/>
        <w:spacing w:after="0" w:line="247"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Voyage expenses and commissions for the years ended December 31, 2012 and 2013 consist of brokers’ commissions and bunkers’ consumption as disclosed in Note 13 of the Annual Report on Form 20-F for the year ended December 31, 2013.</w:t>
      </w:r>
    </w:p>
    <w:p>
      <w:pPr>
        <w:spacing w:after="0" w:line="74" w:lineRule="exact"/>
        <w:rPr>
          <w:rFonts w:ascii="Arial" w:cs="Arial" w:eastAsia="Arial" w:hAnsi="Arial"/>
          <w:sz w:val="20"/>
          <w:szCs w:val="20"/>
          <w:color w:val="auto"/>
          <w:vertAlign w:val="superscript"/>
        </w:rPr>
      </w:pPr>
    </w:p>
    <w:p>
      <w:pPr>
        <w:ind w:left="220" w:hanging="213"/>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Gives effect to the 238-for-1 share split effected on March 13, 2012.</w:t>
      </w:r>
    </w:p>
    <w:p>
      <w:pPr>
        <w:spacing w:after="0" w:line="83" w:lineRule="exact"/>
        <w:rPr>
          <w:rFonts w:ascii="Arial" w:cs="Arial" w:eastAsia="Arial" w:hAnsi="Arial"/>
          <w:sz w:val="20"/>
          <w:szCs w:val="20"/>
          <w:color w:val="auto"/>
          <w:vertAlign w:val="superscript"/>
        </w:rPr>
      </w:pPr>
    </w:p>
    <w:p>
      <w:pPr>
        <w:ind w:left="220" w:hanging="213"/>
        <w:spacing w:after="0" w:line="249"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Consists of our 25.0% ownership interest in Egypt LNG and our 33.33% ownership interest in the Cool Pool. On October 1, 2015, GasLog, Dynagas and Golar signed a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w:t>
      </w:r>
    </w:p>
    <w:p>
      <w:pPr>
        <w:spacing w:after="0" w:line="78" w:lineRule="exact"/>
        <w:rPr>
          <w:rFonts w:ascii="Arial" w:cs="Arial" w:eastAsia="Arial" w:hAnsi="Arial"/>
          <w:sz w:val="20"/>
          <w:szCs w:val="20"/>
          <w:color w:val="auto"/>
          <w:vertAlign w:val="superscript"/>
        </w:rPr>
      </w:pPr>
    </w:p>
    <w:p>
      <w:pPr>
        <w:ind w:left="220" w:right="380" w:hanging="213"/>
        <w:spacing w:after="0" w:line="247"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Includes delivered ships (including dry-docking component of vessel cost) as well as office property and other tangible assets, less accumulated depreciation.</w:t>
      </w:r>
    </w:p>
    <w:p>
      <w:pPr>
        <w:spacing w:after="0" w:line="76" w:lineRule="exact"/>
        <w:rPr>
          <w:rFonts w:ascii="Arial" w:cs="Arial" w:eastAsia="Arial" w:hAnsi="Arial"/>
          <w:sz w:val="20"/>
          <w:szCs w:val="20"/>
          <w:color w:val="auto"/>
          <w:vertAlign w:val="superscript"/>
        </w:rPr>
      </w:pPr>
    </w:p>
    <w:p>
      <w:pPr>
        <w:ind w:left="220" w:right="60" w:hanging="213"/>
        <w:spacing w:after="0" w:line="249"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Presentation of fleet data does not include newbuildings on order during the relevant periods. The data presented regarding our owned fleet includes only our owned ships delivered prior to December 31, 2016 including the ships owned by GasLog Partners. The data presented regarding our managed fleet includes our wholly owned vessels as well as ships owned by GasLog Partners, Shell, Egypt LNG and Lepta Shipping that are operating under our management.</w:t>
      </w:r>
    </w:p>
    <w:p>
      <w:pPr>
        <w:spacing w:after="0" w:line="76" w:lineRule="exact"/>
        <w:rPr>
          <w:rFonts w:ascii="Arial" w:cs="Arial" w:eastAsia="Arial" w:hAnsi="Arial"/>
          <w:sz w:val="20"/>
          <w:szCs w:val="20"/>
          <w:color w:val="auto"/>
          <w:vertAlign w:val="superscript"/>
        </w:rPr>
      </w:pPr>
    </w:p>
    <w:p>
      <w:pPr>
        <w:ind w:left="220" w:right="20" w:hanging="213"/>
        <w:spacing w:after="0" w:line="289" w:lineRule="auto"/>
        <w:tabs>
          <w:tab w:leader="none" w:pos="220" w:val="left"/>
        </w:tabs>
        <w:numPr>
          <w:ilvl w:val="0"/>
          <w:numId w:val="9"/>
        </w:numPr>
        <w:rPr>
          <w:rFonts w:ascii="Arial" w:cs="Arial" w:eastAsia="Arial" w:hAnsi="Arial"/>
          <w:sz w:val="17"/>
          <w:szCs w:val="17"/>
          <w:color w:val="auto"/>
          <w:vertAlign w:val="superscript"/>
        </w:rPr>
      </w:pPr>
      <w:r>
        <w:rPr>
          <w:rFonts w:ascii="Arial" w:cs="Arial" w:eastAsia="Arial" w:hAnsi="Arial"/>
          <w:sz w:val="16"/>
          <w:szCs w:val="16"/>
          <w:color w:val="auto"/>
        </w:rPr>
        <w:t xml:space="preserve">The operating days for our owned and bareboat fleet are the total number of days in a given period that the vessels (including the </w:t>
      </w:r>
      <w:r>
        <w:rPr>
          <w:rFonts w:ascii="Arial" w:cs="Arial" w:eastAsia="Arial" w:hAnsi="Arial"/>
          <w:sz w:val="16"/>
          <w:szCs w:val="16"/>
          <w:i w:val="1"/>
          <w:iCs w:val="1"/>
          <w:color w:val="auto"/>
        </w:rPr>
        <w:t>Methane Julia</w:t>
      </w:r>
      <w:r>
        <w:rPr>
          <w:rFonts w:ascii="Arial" w:cs="Arial" w:eastAsia="Arial" w:hAnsi="Arial"/>
          <w:sz w:val="16"/>
          <w:szCs w:val="16"/>
          <w:color w:val="auto"/>
        </w:rPr>
        <w:t xml:space="preserve"> </w:t>
      </w:r>
      <w:r>
        <w:rPr>
          <w:rFonts w:ascii="Arial" w:cs="Arial" w:eastAsia="Arial" w:hAnsi="Arial"/>
          <w:sz w:val="16"/>
          <w:szCs w:val="16"/>
          <w:i w:val="1"/>
          <w:iCs w:val="1"/>
          <w:color w:val="auto"/>
        </w:rPr>
        <w:t>Louise</w:t>
      </w:r>
      <w:r>
        <w:rPr>
          <w:rFonts w:ascii="Arial" w:cs="Arial" w:eastAsia="Arial" w:hAnsi="Arial"/>
          <w:sz w:val="16"/>
          <w:szCs w:val="16"/>
          <w:color w:val="auto"/>
        </w:rPr>
        <w:t>, our vessel on a bareboat charter) were in our possession less the total number of days off-hire not recoverable from the insurers.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days include 1,185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43" w:lineRule="exact"/>
        <w:rPr>
          <w:rFonts w:ascii="Arial" w:cs="Arial" w:eastAsia="Arial" w:hAnsi="Arial"/>
          <w:sz w:val="17"/>
          <w:szCs w:val="17"/>
          <w:color w:val="auto"/>
          <w:vertAlign w:val="superscript"/>
        </w:rPr>
      </w:pPr>
    </w:p>
    <w:p>
      <w:pPr>
        <w:ind w:left="220" w:hanging="213"/>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b w:val="1"/>
          <w:bCs w:val="1"/>
          <w:color w:val="auto"/>
        </w:rPr>
        <w:t>Non-GAAP Financial Measures:</w:t>
      </w:r>
    </w:p>
    <w:p>
      <w:pPr>
        <w:spacing w:after="0" w:line="84" w:lineRule="exact"/>
        <w:rPr>
          <w:rFonts w:ascii="Arial" w:cs="Arial" w:eastAsia="Arial" w:hAnsi="Arial"/>
          <w:sz w:val="20"/>
          <w:szCs w:val="20"/>
          <w:color w:val="auto"/>
          <w:vertAlign w:val="superscript"/>
        </w:rPr>
      </w:pPr>
    </w:p>
    <w:p>
      <w:pPr>
        <w:ind w:left="220" w:right="60"/>
        <w:spacing w:after="0" w:line="288" w:lineRule="auto"/>
        <w:rPr>
          <w:rFonts w:ascii="Arial" w:cs="Arial" w:eastAsia="Arial" w:hAnsi="Arial"/>
          <w:sz w:val="20"/>
          <w:szCs w:val="20"/>
          <w:color w:val="auto"/>
          <w:vertAlign w:val="superscript"/>
        </w:rPr>
      </w:pPr>
      <w:r>
        <w:rPr>
          <w:rFonts w:ascii="Arial" w:cs="Arial" w:eastAsia="Arial" w:hAnsi="Arial"/>
          <w:sz w:val="16"/>
          <w:szCs w:val="16"/>
          <w:color w:val="auto"/>
        </w:rPr>
        <w:t>EBITDA is defined as earnings before depreciation, amortization, interest income and expense, gain/loss on swaps and taxes. Adjusted EBITDA is defined as EBITDA before foreign exchange gains/losses. EBITDA and Adjusted EBITDA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and Adjusted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interest, gain/loss on swaps, taxes, depreciation and amortization, and, in the case of Adjusted EBITDA, foreign exchange gains/losses, which items are affected by various and possibly changing financing methods, capital structure and historical cost basis and which items may significantly affect results of operations between periods.</w:t>
      </w:r>
    </w:p>
    <w:p>
      <w:pPr>
        <w:spacing w:after="0" w:line="47" w:lineRule="exact"/>
        <w:rPr>
          <w:rFonts w:ascii="Arial" w:cs="Arial" w:eastAsia="Arial" w:hAnsi="Arial"/>
          <w:sz w:val="20"/>
          <w:szCs w:val="20"/>
          <w:color w:val="auto"/>
          <w:vertAlign w:val="superscript"/>
        </w:rPr>
      </w:pPr>
    </w:p>
    <w:p>
      <w:pPr>
        <w:jc w:val="both"/>
        <w:ind w:left="220"/>
        <w:spacing w:after="0" w:line="271" w:lineRule="auto"/>
        <w:rPr>
          <w:rFonts w:ascii="Arial" w:cs="Arial" w:eastAsia="Arial" w:hAnsi="Arial"/>
          <w:sz w:val="20"/>
          <w:szCs w:val="20"/>
          <w:color w:val="auto"/>
          <w:vertAlign w:val="superscript"/>
        </w:rPr>
      </w:pPr>
      <w:r>
        <w:rPr>
          <w:rFonts w:ascii="Arial" w:cs="Arial" w:eastAsia="Arial" w:hAnsi="Arial"/>
          <w:sz w:val="17"/>
          <w:szCs w:val="17"/>
          <w:color w:val="auto"/>
        </w:rPr>
        <w:t>EBITDA and Adjusted EBITDA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and Adjusted EBITDA are not adjusted for all non-cash</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81915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540" w:top="761" w:right="499" w:bottom="1440" w:gutter="0" w:footer="0" w:header="0"/>
        </w:sectPr>
      </w:pPr>
    </w:p>
    <w:bookmarkStart w:id="16" w:name="page17"/>
    <w:bookmarkEnd w:id="16"/>
    <w:p>
      <w:pPr>
        <w:ind w:left="280" w:right="640"/>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3357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357245"/>
                    </a:xfrm>
                    <a:prstGeom prst="rect">
                      <a:avLst/>
                    </a:prstGeom>
                    <a:noFill/>
                  </pic:spPr>
                </pic:pic>
              </a:graphicData>
            </a:graphic>
          </wp:anchor>
        </w:drawing>
        <w:t>income or expense items that are reflected in our statements of cash flows and other companies in our industry may calculate these measures differently than we do, limiting their usefulness as a comparative measure.</w:t>
      </w:r>
    </w:p>
    <w:p>
      <w:pPr>
        <w:spacing w:after="0" w:line="42" w:lineRule="exact"/>
        <w:rPr>
          <w:sz w:val="20"/>
          <w:szCs w:val="20"/>
          <w:color w:val="auto"/>
        </w:rPr>
      </w:pPr>
    </w:p>
    <w:p>
      <w:pPr>
        <w:jc w:val="both"/>
        <w:ind w:left="280" w:right="600"/>
        <w:spacing w:after="0" w:line="258"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ind w:left="160"/>
              <w:spacing w:after="0"/>
              <w:rPr>
                <w:sz w:val="20"/>
                <w:szCs w:val="20"/>
                <w:color w:val="auto"/>
              </w:rPr>
            </w:pPr>
            <w:r>
              <w:rPr>
                <w:rFonts w:ascii="Arial" w:cs="Arial" w:eastAsia="Arial" w:hAnsi="Arial"/>
                <w:sz w:val="16"/>
                <w:szCs w:val="16"/>
                <w:b w:val="1"/>
                <w:bCs w:val="1"/>
                <w:color w:val="auto"/>
              </w:rPr>
              <w:t>Reconciliation of EBITDA and Adjusted EBITDA to Profit: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7"/>
            <w:vMerge w:val="restart"/>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w w:val="95"/>
              </w:rPr>
              <w:t>2012</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7"/>
          </w:tcPr>
          <w:p>
            <w:pPr>
              <w:jc w:val="right"/>
              <w:ind w:right="26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year</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4,250</w:t>
            </w: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56,929</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50,765</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53,668</w:t>
            </w: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28,051</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w w:val="85"/>
              </w:rPr>
              <w:t>13,065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29,322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70,695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106,641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122,957</w:t>
            </w: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5"/>
              </w:rPr>
              <w:t>11,670</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27,851</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71,579</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91,956</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137,316</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(1,174)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Loss/(gain) on swaps</w:t>
            </w:r>
          </w:p>
        </w:tc>
        <w:tc>
          <w:tcPr>
            <w:tcW w:w="10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6,783</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3"/>
              </w:rPr>
              <w:t>(11,498)</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24,787</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10,332</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13,419</w:t>
            </w:r>
          </w:p>
        </w:tc>
        <w:tc>
          <w:tcPr>
            <w:tcW w:w="0" w:type="dxa"/>
            <w:vAlign w:val="bottom"/>
          </w:tcPr>
          <w:p>
            <w:pPr>
              <w:spacing w:after="0"/>
              <w:rPr>
                <w:sz w:val="1"/>
                <w:szCs w:val="1"/>
                <w:color w:val="auto"/>
              </w:rPr>
            </w:pPr>
          </w:p>
        </w:tc>
      </w:tr>
      <w:tr>
        <w:trPr>
          <w:trHeight w:val="257"/>
        </w:trPr>
        <w:tc>
          <w:tcPr>
            <w:tcW w:w="6320" w:type="dxa"/>
            <w:vAlign w:val="bottom"/>
          </w:tcPr>
          <w:p>
            <w:pPr>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5"/>
              </w:rPr>
              <w:t>34,594</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6"/>
              </w:rPr>
              <w:t>102,193</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217,552</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262,170</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301,023</w:t>
            </w: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(gains)/losses, net</w:t>
            </w:r>
          </w:p>
        </w:tc>
        <w:tc>
          <w:tcPr>
            <w:tcW w:w="10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(547)</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(576)</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(380)</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799</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50"/>
        </w:trPr>
        <w:tc>
          <w:tcPr>
            <w:tcW w:w="6320" w:type="dxa"/>
            <w:vAlign w:val="bottom"/>
          </w:tcPr>
          <w:p>
            <w:pPr>
              <w:spacing w:after="0"/>
              <w:rPr>
                <w:sz w:val="20"/>
                <w:szCs w:val="20"/>
                <w:color w:val="auto"/>
              </w:rPr>
            </w:pPr>
            <w:r>
              <w:rPr>
                <w:rFonts w:ascii="Arial" w:cs="Arial" w:eastAsia="Arial" w:hAnsi="Arial"/>
                <w:sz w:val="16"/>
                <w:szCs w:val="16"/>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w w:val="85"/>
              </w:rPr>
              <w:t>34,047</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w w:val="86"/>
              </w:rPr>
              <w:t>101,617</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217,172</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262,969</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302,386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815" w:right="4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jc w:val="both"/>
        <w:ind w:right="200" w:firstLine="357"/>
        <w:spacing w:after="0" w:line="262" w:lineRule="auto"/>
        <w:rPr>
          <w:sz w:val="20"/>
          <w:szCs w:val="20"/>
          <w:color w:val="auto"/>
        </w:rPr>
      </w:pPr>
      <w:r>
        <w:rPr>
          <w:rFonts w:ascii="Arial" w:cs="Arial" w:eastAsia="Arial" w:hAnsi="Arial"/>
          <w:sz w:val="19"/>
          <w:szCs w:val="19"/>
          <w:color w:val="auto"/>
        </w:rPr>
        <w:t>Any investment in the Notes involves a high degree of risk. You should carefully consider the important factors set forth under the heading “Risk Factors” starting on page 6 of our Annual Report on Form 20-F for the year ended December 31, 2016, which was filed with the SEC on March 1, 2017 and incorporated herein by reference, before investing in the Notes. For further details, see the sections entitled “Where You Can Find Additional Information” and “Incorporation by Reference”.</w:t>
      </w:r>
    </w:p>
    <w:p>
      <w:pPr>
        <w:spacing w:after="0" w:line="72"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The risks referred to above are not the only ones that may exist. Additional risks not currently known by us or that we deem immaterial may also impair our business operations. You may lose all or a part of your investment. In addition, potential investors should consider the following risks and uncertainties with respect to your investment in the Notes.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Your investment in the Notes is subject to our credit risk.</w:t>
      </w:r>
    </w:p>
    <w:p>
      <w:pPr>
        <w:spacing w:after="0" w:line="11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Notes are unsubordinated unsecured general obligations of ours and are not, either directly or indirectly, an obligation of any third party. The Notes will rank equally with all of our other unsecured and unsubordinated debt obligations. Any payment to be made on the Notes, including the return of the principal amount at maturity or any redemption date, as applicable, depends on our ability to satisfy our obligations as they come due. As a result, our actual and perceived creditworthiness may affect the market value of the Notes and, in the event we were to default on our obligations, you may not receive the amounts owed to you under the terms of the Notes.</w:t>
      </w:r>
    </w:p>
    <w:p>
      <w:pPr>
        <w:spacing w:after="0" w:line="48" w:lineRule="exact"/>
        <w:rPr>
          <w:sz w:val="20"/>
          <w:szCs w:val="20"/>
          <w:color w:val="auto"/>
        </w:rPr>
      </w:pPr>
    </w:p>
    <w:p>
      <w:pPr>
        <w:ind w:right="800" w:firstLine="357"/>
        <w:spacing w:after="0" w:line="283" w:lineRule="auto"/>
        <w:rPr>
          <w:sz w:val="20"/>
          <w:szCs w:val="20"/>
          <w:color w:val="auto"/>
        </w:rPr>
      </w:pPr>
      <w:r>
        <w:rPr>
          <w:rFonts w:ascii="Arial" w:cs="Arial" w:eastAsia="Arial" w:hAnsi="Arial"/>
          <w:sz w:val="19"/>
          <w:szCs w:val="19"/>
          <w:b w:val="1"/>
          <w:bCs w:val="1"/>
          <w:i w:val="1"/>
          <w:iCs w:val="1"/>
          <w:color w:val="auto"/>
        </w:rPr>
        <w:t>The amount of our debt could limit our liquidity and flexibility in obtaining additional financing and in pursuing other business opportunities.</w:t>
      </w:r>
    </w:p>
    <w:p>
      <w:pPr>
        <w:spacing w:after="0" w:line="52"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As of December 31, 2016, we had total outstanding consolidated debt of $2.87 billion. We also have substantial undrawn available capacity under the credit agreement we entered into on July 19, 2016 (the “Legacy Facility Refinancing”) and the credit agreement we entered into on October 16, 2015 (the “Newbuilding Facility”). The Newbuilding Facility has an aggregate undrawn amount of $664.03 million available that will be used to finance a portion of the contract price of four of our five newbuildings on their delivery. We are obligated to make substantial capital expenditures to fund our commitments for the five newbuildings we have on order. As of December 31, 2016, the total remaining balance of the contract prices for the five vessels was $0.95 billion, which we intend to fund with the Newbuilding Facility, available cash and cash from operations. We expect that a large portion of our cash flow from operations will also be used to repay the principal and interest on our debt, a substantial portion of which matures prior to the Notes. In addition, we may enter into other new debt arrangements or issue additional debt securities in the future. So long as our total indebtedness does not equal or exceed 75% of our total capitalization, the indenture under which the Notes will be issued will permit us to incur additional indebtedness, subject to certain limitations in our other debt agreements, as described in more detail under “Description of Other Indebtedness.”</w:t>
      </w:r>
    </w:p>
    <w:p>
      <w:pPr>
        <w:spacing w:after="0" w:line="72"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Our current indebtedness and future indebtedness that we may incur could affect our future operations, as a large portion of our cash flow from operations will be dedicated to the payment of interest and principal on such debt and will not be available for other purposes. Covenants contained in our debt agreements may affect our flexibility in planning for, and reacting to, changes in our business or economic conditions, limit our ability to dispose of assets or place restrictions on the use of proceeds from such dispositions, withstand current or future economic or industry downturns and compete with others in our industry for strategic opportunities, and limit our ability to obtain additional financing for working capital, capital expenditures, acquisitions, general corporate and other purposes and our ability to pay dividends to our shareholders and principal and interest on the Notes to noteholders.</w:t>
      </w:r>
    </w:p>
    <w:p>
      <w:pPr>
        <w:spacing w:after="0" w:line="77"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8" w:name="page19"/>
    <w:bookmarkEnd w:id="18"/>
    <w:p>
      <w:pPr>
        <w:ind w:right="380"/>
        <w:spacing w:after="0" w:line="262" w:lineRule="auto"/>
        <w:rPr>
          <w:sz w:val="20"/>
          <w:szCs w:val="20"/>
          <w:color w:val="auto"/>
        </w:rPr>
      </w:pPr>
      <w:r>
        <w:rPr>
          <w:rFonts w:ascii="Arial" w:cs="Arial" w:eastAsia="Arial" w:hAnsi="Arial"/>
          <w:sz w:val="19"/>
          <w:szCs w:val="19"/>
          <w:color w:val="auto"/>
        </w:rPr>
        <w:t>results are not sufficient to service our current or future indebtedness, we will be forced to take actions such as reducing or eliminating distributions to our shareholders,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72" w:lineRule="exact"/>
        <w:rPr>
          <w:sz w:val="20"/>
          <w:szCs w:val="20"/>
          <w:color w:val="auto"/>
        </w:rPr>
      </w:pPr>
    </w:p>
    <w:p>
      <w:pPr>
        <w:ind w:firstLine="357"/>
        <w:spacing w:after="0" w:line="312" w:lineRule="auto"/>
        <w:rPr>
          <w:sz w:val="20"/>
          <w:szCs w:val="20"/>
          <w:color w:val="auto"/>
        </w:rPr>
      </w:pPr>
      <w:r>
        <w:rPr>
          <w:rFonts w:ascii="Arial" w:cs="Arial" w:eastAsia="Arial" w:hAnsi="Arial"/>
          <w:sz w:val="18"/>
          <w:szCs w:val="18"/>
          <w:b w:val="1"/>
          <w:bCs w:val="1"/>
          <w:i w:val="1"/>
          <w:iCs w:val="1"/>
          <w:color w:val="auto"/>
        </w:rPr>
        <w:t>Our subsidiaries conduct substantially all of our operations and own all of our operating assets, and your right to receive payments on the Notes is structurally subordinated to the rights of the lenders of our subsidiaries, including GasLog Partners.</w:t>
      </w:r>
    </w:p>
    <w:p>
      <w:pPr>
        <w:spacing w:after="0" w:line="2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are a holding company. Our subsidiaries conduct substantially all of our operations and own our operating assets, including our ships. As a result, our ability to make required payments on the Notes depends entirely on the operations of our subsidiaries and our subsidiaries’ ability to distribute funds to us. To the extent our subsidiaries are unable to distribute, or are restricted from distributing, funds to us, we may be unable to fulfill our obligations under the Notes. Our subsidiaries are separate and distinct legal entities and have no obligation, contingent or otherwise, to pay amounts due on the Notes or to make funds available for that purpose. The Notes will not be guaranteed by any of our subsidiaries or any other person.</w:t>
      </w:r>
    </w:p>
    <w:p>
      <w:pPr>
        <w:spacing w:after="0" w:line="76" w:lineRule="exact"/>
        <w:rPr>
          <w:sz w:val="20"/>
          <w:szCs w:val="20"/>
          <w:color w:val="auto"/>
        </w:rPr>
      </w:pPr>
    </w:p>
    <w:p>
      <w:pPr>
        <w:ind w:right="160" w:firstLine="357"/>
        <w:spacing w:after="0" w:line="273" w:lineRule="auto"/>
        <w:rPr>
          <w:sz w:val="20"/>
          <w:szCs w:val="20"/>
          <w:color w:val="auto"/>
        </w:rPr>
      </w:pPr>
      <w:r>
        <w:rPr>
          <w:rFonts w:ascii="Arial" w:cs="Arial" w:eastAsia="Arial" w:hAnsi="Arial"/>
          <w:sz w:val="18"/>
          <w:szCs w:val="18"/>
          <w:color w:val="auto"/>
        </w:rPr>
        <w:t>The rights of holders of the Notes will be structurally subordinated to the rights of our subsidiaries’ lenders. A default by a subsidiary under its debt obligations would result in a block on distributions from the affected subsidiary to us. The Notes will be effectively junior to all existing and future liabilities of our subsidiaries. In the event of a bankruptcy, liquidation or reorganization of any of our subsidiaries, creditors of our subsidiaries will generally be entitled to payment of their claims from the assets of those subsidiaries before any assets are made available for distribution to us. As of December 31, 2016, our subsidiaries had $2.74 billion of outstanding debt (all of which was secured). In addition, the indenture under which the Notes will be issued will permit our subsidiaries to incur additional debt, subject to the limitations set forth therein. Please read “Description of Notes—Certain covenants—Limitations on Total Indebtedness.”</w:t>
      </w:r>
    </w:p>
    <w:p>
      <w:pPr>
        <w:spacing w:after="0" w:line="67"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b w:val="1"/>
          <w:bCs w:val="1"/>
          <w:i w:val="1"/>
          <w:iCs w:val="1"/>
          <w:color w:val="auto"/>
        </w:rPr>
        <w:t>We may be unable to comply with covenants in our existing or future financing arrangements that impose operating and financial restrictions on us.</w:t>
      </w:r>
    </w:p>
    <w:p>
      <w:pPr>
        <w:spacing w:after="0" w:line="52" w:lineRule="exact"/>
        <w:rPr>
          <w:sz w:val="20"/>
          <w:szCs w:val="20"/>
          <w:color w:val="auto"/>
        </w:rPr>
      </w:pPr>
    </w:p>
    <w:p>
      <w:pPr>
        <w:ind w:right="680" w:firstLine="357"/>
        <w:spacing w:after="0" w:line="312"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2" w:lineRule="exact"/>
        <w:rPr>
          <w:sz w:val="20"/>
          <w:szCs w:val="20"/>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incur additional indebtedness, create liens or provide guarantees;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sell or otherwise dispose of assets, including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engage in merger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enter into, terminate or amend any charter;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amend our shipbuilding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 the manager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undergo a change in ownership;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acquire assets, make investments or enter into any joint venture arrangements outside of the ordinary course of business.</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Therefore, we may need to seek permission from our lenders in order to engage in some actions. Our lenders’ interests may be different from ours and we may not be able to obtain our lenders’ permission when needed. This may limit our ability to pay interest on the Notes, finance our future operations or capital requirements, make acquisitions or pursue business opportunities.</w:t>
      </w:r>
    </w:p>
    <w:p>
      <w:pPr>
        <w:spacing w:after="0" w:line="68"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Our credit facilities also impose specific financial covenants that apply to us and our subsidiaries on a consolidated basis or to GasLog Partners and its subsidiaries on a consolidated basis, as the case may be. Further, GasLog has two NOK denominated bonds which also impose specified financial covenants that apply to us and our subsidiaries on a consolidated basis.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9" w:name="page20"/>
    <w:bookmarkEnd w:id="19"/>
    <w:p>
      <w:pPr>
        <w:ind w:right="40" w:firstLine="357"/>
        <w:spacing w:after="0" w:line="292" w:lineRule="auto"/>
        <w:rPr>
          <w:sz w:val="20"/>
          <w:szCs w:val="20"/>
          <w:color w:val="auto"/>
        </w:rPr>
      </w:pPr>
      <w:r>
        <w:rPr>
          <w:rFonts w:ascii="Arial" w:cs="Arial" w:eastAsia="Arial" w:hAnsi="Arial"/>
          <w:sz w:val="17"/>
          <w:szCs w:val="17"/>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debt obligations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 addition, a default under one of our debt obligations could result in the cross-acceleration of our other indebtedness.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Please see “Description of Other Indebtedness” for more information on our existing financing arrangements.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Notes will be unsecured obligations and will be effectively subordinated to our secured debt.</w:t>
      </w:r>
    </w:p>
    <w:p>
      <w:pPr>
        <w:spacing w:after="0" w:line="119" w:lineRule="exact"/>
        <w:rPr>
          <w:sz w:val="20"/>
          <w:szCs w:val="20"/>
          <w:color w:val="auto"/>
        </w:rPr>
      </w:pPr>
    </w:p>
    <w:p>
      <w:pPr>
        <w:ind w:right="140" w:firstLine="357"/>
        <w:spacing w:after="0" w:line="277" w:lineRule="auto"/>
        <w:rPr>
          <w:sz w:val="20"/>
          <w:szCs w:val="20"/>
          <w:color w:val="auto"/>
        </w:rPr>
      </w:pPr>
      <w:r>
        <w:rPr>
          <w:rFonts w:ascii="Arial" w:cs="Arial" w:eastAsia="Arial" w:hAnsi="Arial"/>
          <w:sz w:val="18"/>
          <w:szCs w:val="18"/>
          <w:color w:val="auto"/>
        </w:rPr>
        <w:t>The Notes are unsecured and therefore will be effectively subordinated to any existing or future secured debt to the extent of the value of the assets securing the debt. In the event of a bankruptcy or similar proceeding involving us, the assets that serve as collateral will be available to satisfy the obligations under any secured debt before any payments are made on the Notes. As of December 31, 2016, we had total outstanding secured debt of $2.74 billion. We will continue to have the ability to incur additional secured debt, subject to limitations in our financing arrangements and the indenture relating to the Notes. Please read “Description of Other Indebtedness.”</w:t>
      </w:r>
    </w:p>
    <w:p>
      <w:pPr>
        <w:spacing w:after="0" w:line="62"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b w:val="1"/>
          <w:bCs w:val="1"/>
          <w:i w:val="1"/>
          <w:iCs w:val="1"/>
          <w:color w:val="auto"/>
        </w:rPr>
        <w:t>We may not have the ability to raise the funds necessary to purchase the Notes as required upon a change of control, and our existing and future debt may contain limitations on our ability to purchase the Notes.</w:t>
      </w:r>
    </w:p>
    <w:p>
      <w:pPr>
        <w:spacing w:after="0" w:line="52" w:lineRule="exact"/>
        <w:rPr>
          <w:sz w:val="20"/>
          <w:szCs w:val="20"/>
          <w:color w:val="auto"/>
        </w:rPr>
      </w:pPr>
    </w:p>
    <w:p>
      <w:pPr>
        <w:ind w:right="20" w:firstLine="357"/>
        <w:spacing w:after="0" w:line="289" w:lineRule="auto"/>
        <w:rPr>
          <w:sz w:val="20"/>
          <w:szCs w:val="20"/>
          <w:color w:val="auto"/>
        </w:rPr>
      </w:pPr>
      <w:r>
        <w:rPr>
          <w:rFonts w:ascii="Arial" w:cs="Arial" w:eastAsia="Arial" w:hAnsi="Arial"/>
          <w:sz w:val="17"/>
          <w:szCs w:val="17"/>
          <w:color w:val="auto"/>
        </w:rPr>
        <w:t>Following a change of control as described under “Description of Notes—Change of Control Permits Holders to Require Issuer to Purchase Notes,” holders of Notes will have the right to require us to purchase their Notes for cash at 101% of their principal amount plus accrued and unpaid interest. A change of control may also constitute an event of default or prepayment under, and result in the acceleration of the maturity of, our then existing indebtedness. We cannot assure you that we will have sufficient financial resources, or will be able to arrange financing, to pay the change of control purchase price in cash with respect to any Notes surrendered by holders for purchase upon a change of control. In addition, restrictions in our then existing credit facilities or other indebtedness, if any, may not allow us to purchase the Notes upon a change of control. Our failure to purchase the Notes upon a change of control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purchase the Notes.</w:t>
      </w:r>
    </w:p>
    <w:p>
      <w:pPr>
        <w:spacing w:after="0" w:line="42"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b w:val="1"/>
          <w:bCs w:val="1"/>
          <w:i w:val="1"/>
          <w:iCs w:val="1"/>
          <w:color w:val="auto"/>
        </w:rPr>
        <w:t>Some significant restructuring transactions may not constitute a change of control, in which case we would not be obligated to offer to purchase the Notes.</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Upon the occurrence of a change of control, you have the right to require us to purchase your Notes. However, the change of control provisions will not afford protection to holders of Notes in the event of certain transactions that could adversely affect the Notes. For example, transactions such as leveraged recapitalizations, refinancings or certain restructurings would not constitute a change of control requiring us to repurchase the Notes. In the event of any such transaction, holders of the Notes would not have the right to require us to purchase their Notes, even though each of these transactions could increase the amount of our indebtedness, or otherwise adversely affect our capital structure or any credit ratings, thereby adversely affecting holders of the Notes.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0" w:name="page21"/>
    <w:bookmarkEnd w:id="20"/>
    <w:p>
      <w:pPr>
        <w:ind w:right="280" w:firstLine="357"/>
        <w:spacing w:after="0" w:line="283" w:lineRule="auto"/>
        <w:rPr>
          <w:sz w:val="20"/>
          <w:szCs w:val="20"/>
          <w:color w:val="auto"/>
        </w:rPr>
      </w:pPr>
      <w:r>
        <w:rPr>
          <w:rFonts w:ascii="Arial" w:cs="Arial" w:eastAsia="Arial" w:hAnsi="Arial"/>
          <w:sz w:val="19"/>
          <w:szCs w:val="19"/>
          <w:b w:val="1"/>
          <w:bCs w:val="1"/>
          <w:i w:val="1"/>
          <w:iCs w:val="1"/>
          <w:color w:val="auto"/>
        </w:rPr>
        <w:t>The Notes do not have an established trading market, which may negatively affect their market value and your ability to transfer or sell your Notes.</w:t>
      </w:r>
    </w:p>
    <w:p>
      <w:pPr>
        <w:spacing w:after="0" w:line="52" w:lineRule="exact"/>
        <w:rPr>
          <w:sz w:val="20"/>
          <w:szCs w:val="20"/>
          <w:color w:val="auto"/>
        </w:rPr>
      </w:pPr>
    </w:p>
    <w:p>
      <w:pPr>
        <w:ind w:right="160" w:firstLine="357"/>
        <w:spacing w:after="0" w:line="257" w:lineRule="auto"/>
        <w:rPr>
          <w:sz w:val="20"/>
          <w:szCs w:val="20"/>
          <w:color w:val="auto"/>
        </w:rPr>
      </w:pPr>
      <w:r>
        <w:rPr>
          <w:rFonts w:ascii="Arial" w:cs="Arial" w:eastAsia="Arial" w:hAnsi="Arial"/>
          <w:sz w:val="19"/>
          <w:szCs w:val="19"/>
          <w:color w:val="auto"/>
        </w:rPr>
        <w:t>The Notes are a new issue of securities for which there is no established public market. We do not intend to list the Notes on any securities exchange. The lack of an active trading market could adversely affect your ability to sell the Notes and the price at which you may be able to sell the Notes. The liquidity of the trading market, if any, and future trading prices of the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It is possible that the market for the Notes will be subject to disruptions that may have a negative effect on the holders of the Notes, regardless of our operating results, financial performance or prospects.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Notes have not been rated, and ratings of any of our other securities may affect the trading price of the Notes.</w:t>
      </w:r>
    </w:p>
    <w:p>
      <w:pPr>
        <w:spacing w:after="0" w:line="119"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We have not sought to obtain a rating for the Notes, and the Notes may never be rated. It is possible, however, that one or more credit rating agencies might independently determine to assign a rating to the Notes or that we may elect to obtain a rating of the Notes in the future. In addition, we may elect to issue other securities for which we may seek to obtain a rating. If any ratings are assigned to the Notes in the future or if we issue other securities with a rating, such ratings, if they are lower than market expectations or are subsequently lowered or withdrawn, or if ratings for such other securities would imply a lower relative value for the Notes, could adversely affect the market for, or the market value of, the Notes.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Notes. Ratings do not reflect market prices or suitability of a security for a particular investor and any future rating of the Notes may not reflect all risks related to us and our business, or the structure or market value of the Notes.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w:t>
      </w:r>
    </w:p>
    <w:p>
      <w:pPr>
        <w:spacing w:after="0" w:line="125"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In addition to the following risk factors, you should read “Material Tax Considerations” for a more complete discussion of the material Bermuda and U.S. Federal income tax considerations relating to us and the Notes.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We will have to pay tax on U.S.-source income, which would reduce our earnings.</w:t>
      </w:r>
    </w:p>
    <w:p>
      <w:pPr>
        <w:spacing w:after="0" w:line="119"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Under the United States Internal Revenue Code of 1986, as amended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U.S.-source gross transportation income consists of 50% of the gross shipping income that is attributable to transportation that begins or ends, but that does not both begin and end, in the United States.</w:t>
      </w:r>
    </w:p>
    <w:p>
      <w:pPr>
        <w:spacing w:after="0" w:line="77"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We do not currently qualify for a tax treaty exemption or a statutory tax exemption, and therefore we are subject to the 4% U.S. Federal income tax on our U.S.-source gross transportation income. We do not expect any resulting U.S. tax liability to be material or materially reduce the earnings available for distribution to our shareholders for the fiscal year ended December 31, 2017. For 2016, the U.S. source gross transportation tax was $0.30 million. Changes to our business could change this expectation and in such circumstances we may attempt to qualify for the exemption from tax under Section 883. For a more detailed discussion, see “Material Tax Considerations—U.S. Taxation of Shipping Income.”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All statements in this prospectus supplement that are not statements of historical fact are “forward-looking statements” within the meaning of the United States Private Securities Litigation Reform Act of 1995. The disclosure and analysis set forth in this prospectus supplement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 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and other forward-looking statements included in this prospectus supplement represent our estimates and assumptions only as of the date of this prospectus supplement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92" w:lineRule="exact"/>
        <w:rPr>
          <w:rFonts w:ascii="Arial" w:cs="Arial" w:eastAsia="Arial" w:hAnsi="Arial"/>
          <w:sz w:val="19"/>
          <w:szCs w:val="19"/>
          <w:color w:val="auto"/>
        </w:rPr>
      </w:pPr>
    </w:p>
    <w:p>
      <w:pPr>
        <w:ind w:left="540" w:right="260" w:hanging="168"/>
        <w:spacing w:after="0" w:line="312"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 of LNG carriers;</w:t>
      </w:r>
    </w:p>
    <w:p>
      <w:pPr>
        <w:spacing w:after="0" w:line="15" w:lineRule="exact"/>
        <w:rPr>
          <w:rFonts w:ascii="Arial" w:cs="Arial" w:eastAsia="Arial" w:hAnsi="Arial"/>
          <w:sz w:val="18"/>
          <w:szCs w:val="18"/>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increased exposure to spot market and fluctuations in spot charter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38" w:lineRule="exact"/>
        <w:rPr>
          <w:rFonts w:ascii="Arial" w:cs="Arial" w:eastAsia="Arial" w:hAnsi="Arial"/>
          <w:sz w:val="19"/>
          <w:szCs w:val="19"/>
          <w:color w:val="auto"/>
        </w:rPr>
      </w:pPr>
    </w:p>
    <w:p>
      <w:pPr>
        <w:ind w:left="540" w:right="42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22" w:name="page23"/>
    <w:bookmarkEnd w:id="22"/>
    <w:p>
      <w:pPr>
        <w:ind w:left="540" w:right="700" w:hanging="168"/>
        <w:spacing w:after="0" w:line="339"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ability to retain key employees and the availability of skilled labor, ship crews and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w:t>
      </w:r>
    </w:p>
    <w:p>
      <w:pPr>
        <w:spacing w:after="0" w:line="105" w:lineRule="exact"/>
        <w:rPr>
          <w:rFonts w:ascii="Arial" w:cs="Arial" w:eastAsia="Arial" w:hAnsi="Arial"/>
          <w:sz w:val="19"/>
          <w:szCs w:val="19"/>
          <w:color w:val="auto"/>
        </w:rPr>
      </w:pPr>
    </w:p>
    <w:p>
      <w:pPr>
        <w:ind w:left="540" w:right="500" w:hanging="168"/>
        <w:spacing w:after="0" w:line="28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jc w:val="both"/>
        <w:ind w:left="540" w:right="480" w:hanging="168"/>
        <w:spacing w:after="0" w:line="267"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other factors discussed in the section entitled “Risk Factors” of this prospectus supplement (and in the “Risk Factors” described in our Annual Report on Form 20-F for the year ended December 31, 2016, filed with the Securities and Exchange Commission on March 1, 2017, which is incorporated herein by reference).</w:t>
      </w:r>
    </w:p>
    <w:p>
      <w:pPr>
        <w:spacing w:after="0" w:line="68"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supplement,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the Notes.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23" w:name="page24"/>
    <w:bookmarkEnd w:id="23"/>
    <w:p>
      <w:pPr>
        <w:jc w:val="center"/>
        <w:ind w:right="-33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We estimate that the net proceeds from this offering, after deducting underwriting discounts and estimated expenses payable by us, will be approximately $245,280,750. We plan to use the proceeds of this offering for the repayment of certain debt and general corporate purposes, including working capital.</w:t>
      </w:r>
    </w:p>
    <w:p>
      <w:pPr>
        <w:spacing w:after="0" w:line="68"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579" w:right="559" w:bottom="1440" w:gutter="0" w:footer="0" w:header="0"/>
        </w:sectPr>
      </w:pPr>
    </w:p>
    <w:bookmarkStart w:id="24" w:name="page25"/>
    <w:bookmarkEnd w:id="24"/>
    <w:p>
      <w:pPr>
        <w:jc w:val="center"/>
        <w:spacing w:after="0"/>
        <w:rPr>
          <w:sz w:val="20"/>
          <w:szCs w:val="20"/>
          <w:color w:val="auto"/>
        </w:rPr>
      </w:pPr>
      <w:r>
        <w:rPr>
          <w:rFonts w:ascii="Arial" w:cs="Arial" w:eastAsia="Arial" w:hAnsi="Arial"/>
          <w:sz w:val="19"/>
          <w:szCs w:val="19"/>
          <w:b w:val="1"/>
          <w:bCs w:val="1"/>
          <w:color w:val="auto"/>
        </w:rPr>
        <w:t>RATIO OF EARNINGS TO FIXED CHARGES AND PREFERENCE SHARE DIVIDENDS</w:t>
      </w:r>
    </w:p>
    <w:p>
      <w:pPr>
        <w:spacing w:after="0" w:line="125"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The following table sets forth our ratio of earnings to fixed charges and preference share dividends for the periods indicated, computed using amounts derived from our financial statements prepared in accordance with International Financial Reporting Standards as issued by the International Accounting Standards Board.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5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w w:val="89"/>
              </w:rPr>
              <w:t>Year Ended December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68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91"/>
              <w:spacing w:after="0" w:line="169" w:lineRule="exact"/>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7"/>
              </w:rPr>
              <w:t>(in thousands of U.S. dollars, except ratios)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line="216" w:lineRule="exact"/>
              <w:rPr>
                <w:sz w:val="20"/>
                <w:szCs w:val="20"/>
                <w:color w:val="auto"/>
              </w:rPr>
            </w:pPr>
            <w:r>
              <w:rPr>
                <w:rFonts w:ascii="Arial" w:cs="Arial" w:eastAsia="Arial" w:hAnsi="Arial"/>
                <w:sz w:val="19"/>
                <w:szCs w:val="19"/>
                <w:color w:val="auto"/>
                <w:w w:val="97"/>
              </w:rPr>
              <w:t>Pre-tax income before adjustment for non-controlling interest and before income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9"/>
                <w:szCs w:val="19"/>
                <w:color w:val="auto"/>
              </w:rPr>
              <w:t>from equity investee</w:t>
            </w:r>
          </w:p>
        </w:tc>
        <w:tc>
          <w:tcPr>
            <w:tcW w:w="680" w:type="dxa"/>
            <w:vAlign w:val="bottom"/>
          </w:tcPr>
          <w:p>
            <w:pPr>
              <w:jc w:val="right"/>
              <w:spacing w:after="0"/>
              <w:rPr>
                <w:sz w:val="20"/>
                <w:szCs w:val="20"/>
                <w:color w:val="auto"/>
              </w:rPr>
            </w:pPr>
            <w:r>
              <w:rPr>
                <w:rFonts w:ascii="Arial" w:cs="Arial" w:eastAsia="Arial" w:hAnsi="Arial"/>
                <w:sz w:val="19"/>
                <w:szCs w:val="19"/>
                <w:color w:val="auto"/>
              </w:rPr>
              <w:t>3,142</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55,459</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49,268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52,452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26,631</w:t>
            </w:r>
          </w:p>
        </w:tc>
        <w:tc>
          <w:tcPr>
            <w:tcW w:w="0" w:type="dxa"/>
            <w:vAlign w:val="bottom"/>
          </w:tcPr>
          <w:p>
            <w:pPr>
              <w:spacing w:after="0"/>
              <w:rPr>
                <w:sz w:val="1"/>
                <w:szCs w:val="1"/>
                <w:color w:val="auto"/>
              </w:rPr>
            </w:pPr>
          </w:p>
        </w:tc>
      </w:tr>
      <w:tr>
        <w:trPr>
          <w:trHeight w:val="230"/>
        </w:trPr>
        <w:tc>
          <w:tcPr>
            <w:tcW w:w="65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9"/>
                <w:szCs w:val="19"/>
                <w:color w:val="auto"/>
              </w:rPr>
              <w:t>Fixed charges</w:t>
            </w:r>
          </w:p>
        </w:tc>
        <w:tc>
          <w:tcPr>
            <w:tcW w:w="680" w:type="dxa"/>
            <w:vAlign w:val="bottom"/>
          </w:tcPr>
          <w:p>
            <w:pPr>
              <w:jc w:val="right"/>
              <w:spacing w:after="0"/>
              <w:rPr>
                <w:sz w:val="20"/>
                <w:szCs w:val="20"/>
                <w:color w:val="auto"/>
              </w:rPr>
            </w:pPr>
            <w:r>
              <w:rPr>
                <w:rFonts w:ascii="Arial" w:cs="Arial" w:eastAsia="Arial" w:hAnsi="Arial"/>
                <w:sz w:val="19"/>
                <w:szCs w:val="19"/>
                <w:color w:val="auto"/>
              </w:rPr>
              <w:t>11,730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27,447</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68,998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91,437</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133,235</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Amortization of capitalized interest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345</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344</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347</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358</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9"/>
                <w:szCs w:val="19"/>
                <w:color w:val="auto"/>
              </w:rPr>
              <w:t>Distributed income of equity investee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750</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1,640</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1,220</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1,600</w:t>
            </w:r>
          </w:p>
        </w:tc>
        <w:tc>
          <w:tcPr>
            <w:tcW w:w="2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1,375</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Total Earnings available for fixed charges and preference share dividends</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15,967</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84,890</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119,833</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145,845</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161,599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9"/>
                <w:szCs w:val="19"/>
                <w:b w:val="1"/>
                <w:bCs w:val="1"/>
                <w:color w:val="auto"/>
              </w:rPr>
              <w:t>Fixed Charges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Interest expensed and capitalized</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10,781</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23,619</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53,276</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79,584</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97,585</w:t>
            </w: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9"/>
                <w:szCs w:val="19"/>
                <w:color w:val="auto"/>
              </w:rPr>
              <w:t>Amortization of capitalized expenses relating to indebtedness.</w:t>
            </w:r>
          </w:p>
        </w:tc>
        <w:tc>
          <w:tcPr>
            <w:tcW w:w="680" w:type="dxa"/>
            <w:vAlign w:val="bottom"/>
          </w:tcPr>
          <w:p>
            <w:pPr>
              <w:jc w:val="right"/>
              <w:spacing w:after="0"/>
              <w:rPr>
                <w:sz w:val="20"/>
                <w:szCs w:val="20"/>
                <w:color w:val="auto"/>
              </w:rPr>
            </w:pPr>
            <w:r>
              <w:rPr>
                <w:rFonts w:ascii="Arial" w:cs="Arial" w:eastAsia="Arial" w:hAnsi="Arial"/>
                <w:sz w:val="19"/>
                <w:szCs w:val="19"/>
                <w:color w:val="auto"/>
              </w:rPr>
              <w:t>726</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3,620</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15,362</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11,355</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35,141</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Interest portion of rental expense</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223</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208</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360</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498</w:t>
            </w:r>
          </w:p>
        </w:tc>
        <w:tc>
          <w:tcPr>
            <w:tcW w:w="28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509</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9"/>
                <w:szCs w:val="19"/>
                <w:color w:val="auto"/>
              </w:rPr>
              <w:t>Total Fixed Charges before preference share dividends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11,730</w:t>
            </w:r>
          </w:p>
        </w:tc>
        <w:tc>
          <w:tcPr>
            <w:tcW w:w="2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27,447</w:t>
            </w:r>
          </w:p>
        </w:tc>
        <w:tc>
          <w:tcPr>
            <w:tcW w:w="2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68,998</w:t>
            </w:r>
          </w:p>
        </w:tc>
        <w:tc>
          <w:tcPr>
            <w:tcW w:w="2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91,437</w:t>
            </w:r>
          </w:p>
        </w:tc>
        <w:tc>
          <w:tcPr>
            <w:tcW w:w="2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133,235</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Preference share dividends</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7,377</w:t>
            </w:r>
          </w:p>
        </w:tc>
        <w:tc>
          <w:tcPr>
            <w:tcW w:w="28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10,063</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9"/>
                <w:szCs w:val="19"/>
                <w:color w:val="auto"/>
              </w:rPr>
              <w:t>Total Combined fixed charges and preference share dividends</w:t>
            </w:r>
          </w:p>
        </w:tc>
        <w:tc>
          <w:tcPr>
            <w:tcW w:w="680" w:type="dxa"/>
            <w:vAlign w:val="bottom"/>
          </w:tcPr>
          <w:p>
            <w:pPr>
              <w:jc w:val="right"/>
              <w:spacing w:after="0"/>
              <w:rPr>
                <w:sz w:val="20"/>
                <w:szCs w:val="20"/>
                <w:color w:val="auto"/>
              </w:rPr>
            </w:pPr>
            <w:r>
              <w:rPr>
                <w:rFonts w:ascii="Arial" w:cs="Arial" w:eastAsia="Arial" w:hAnsi="Arial"/>
                <w:sz w:val="19"/>
                <w:szCs w:val="19"/>
                <w:color w:val="auto"/>
              </w:rPr>
              <w:t>11,730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27,447</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68,998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98,814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143,298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color w:val="auto"/>
              </w:rPr>
              <w:t>(1)</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1.36</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3.09</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1.74</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1.60</w:t>
            </w:r>
          </w:p>
        </w:tc>
        <w:tc>
          <w:tcPr>
            <w:tcW w:w="280" w:type="dxa"/>
            <w:vAlign w:val="bottom"/>
            <w:shd w:val="clear" w:color="auto" w:fill="E5FFFF"/>
          </w:tcPr>
          <w:p>
            <w:pPr>
              <w:spacing w:after="0"/>
              <w:rPr>
                <w:sz w:val="20"/>
                <w:szCs w:val="20"/>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1.21</w:t>
            </w:r>
          </w:p>
        </w:tc>
        <w:tc>
          <w:tcPr>
            <w:tcW w:w="0" w:type="dxa"/>
            <w:vAlign w:val="bottom"/>
          </w:tcPr>
          <w:p>
            <w:pPr>
              <w:spacing w:after="0"/>
              <w:rPr>
                <w:sz w:val="1"/>
                <w:szCs w:val="1"/>
                <w:color w:val="auto"/>
              </w:rPr>
            </w:pPr>
          </w:p>
        </w:tc>
      </w:tr>
      <w:tr>
        <w:trPr>
          <w:trHeight w:val="253"/>
        </w:trPr>
        <w:tc>
          <w:tcPr>
            <w:tcW w:w="6580" w:type="dxa"/>
            <w:vAlign w:val="bottom"/>
          </w:tcPr>
          <w:p>
            <w:pPr>
              <w:spacing w:after="0"/>
              <w:rPr>
                <w:sz w:val="20"/>
                <w:szCs w:val="20"/>
                <w:color w:val="auto"/>
              </w:rPr>
            </w:pPr>
            <w:r>
              <w:rPr>
                <w:rFonts w:ascii="Arial" w:cs="Arial" w:eastAsia="Arial" w:hAnsi="Arial"/>
                <w:sz w:val="19"/>
                <w:szCs w:val="19"/>
                <w:b w:val="1"/>
                <w:bCs w:val="1"/>
                <w:color w:val="auto"/>
              </w:rPr>
              <w:t>Ratio of Earnings to Fixed Charges and Preference Share Dividends</w:t>
            </w:r>
            <w:r>
              <w:rPr>
                <w:rFonts w:ascii="Arial" w:cs="Arial" w:eastAsia="Arial" w:hAnsi="Arial"/>
                <w:sz w:val="10"/>
                <w:szCs w:val="10"/>
                <w:color w:val="auto"/>
              </w:rPr>
              <w:t>(1)</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1.36</w:t>
            </w:r>
          </w:p>
        </w:tc>
        <w:tc>
          <w:tcPr>
            <w:tcW w:w="960" w:type="dxa"/>
            <w:vAlign w:val="bottom"/>
            <w:gridSpan w:val="2"/>
          </w:tcPr>
          <w:p>
            <w:pPr>
              <w:jc w:val="right"/>
              <w:spacing w:after="0"/>
              <w:rPr>
                <w:sz w:val="20"/>
                <w:szCs w:val="20"/>
                <w:color w:val="auto"/>
              </w:rPr>
            </w:pPr>
            <w:r>
              <w:rPr>
                <w:rFonts w:ascii="Arial" w:cs="Arial" w:eastAsia="Arial" w:hAnsi="Arial"/>
                <w:sz w:val="19"/>
                <w:szCs w:val="19"/>
                <w:b w:val="1"/>
                <w:bCs w:val="1"/>
                <w:color w:val="auto"/>
              </w:rPr>
              <w:t>3.09</w:t>
            </w: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1.74</w:t>
            </w: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1.48</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975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1" w:lineRule="exact"/>
        <w:rPr>
          <w:sz w:val="20"/>
          <w:szCs w:val="20"/>
          <w:color w:val="auto"/>
        </w:rPr>
      </w:pPr>
    </w:p>
    <w:p>
      <w:pPr>
        <w:ind w:left="300" w:hanging="213"/>
        <w:spacing w:after="0"/>
        <w:tabs>
          <w:tab w:leader="none" w:pos="300" w:val="left"/>
        </w:tabs>
        <w:numPr>
          <w:ilvl w:val="0"/>
          <w:numId w:val="13"/>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3" w:lineRule="exact"/>
        <w:rPr>
          <w:sz w:val="20"/>
          <w:szCs w:val="20"/>
          <w:color w:val="auto"/>
        </w:rPr>
      </w:pPr>
    </w:p>
    <w:p>
      <w:pPr>
        <w:ind w:left="300" w:right="20" w:hanging="157"/>
        <w:spacing w:after="0" w:line="313"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“earnings” is the result of adding (a) pre-tax income from continuing operations before adjustment for non-controlling interests in consolidated subsidiaries or income of equity investees (which includes non-cash unrealized gains and losses on derivative financial instruments), (b) fixed charges, (c) amortization of capitalized interest, and (d) distributed income of equity investees, and subtracting interest capitalized;</w:t>
      </w:r>
    </w:p>
    <w:p>
      <w:pPr>
        <w:spacing w:after="0" w:line="18" w:lineRule="exact"/>
        <w:rPr>
          <w:rFonts w:ascii="Arial" w:cs="Arial" w:eastAsia="Arial" w:hAnsi="Arial"/>
          <w:sz w:val="17"/>
          <w:szCs w:val="17"/>
          <w:color w:val="auto"/>
        </w:rPr>
      </w:pPr>
    </w:p>
    <w:p>
      <w:pPr>
        <w:ind w:left="300" w:right="260" w:hanging="157"/>
        <w:spacing w:after="0" w:line="339"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“fixed charges” represent (i) interest incurred (whether expensed or capitalized) (ii) amortized premiums and capitalized expenses related to indebtedness, (iii) interest within rental expense, and (iv) preference security dividend requirements of consolidated subsidiaries; and</w:t>
      </w:r>
    </w:p>
    <w:p>
      <w:pPr>
        <w:spacing w:after="0" w:line="1" w:lineRule="exact"/>
        <w:rPr>
          <w:rFonts w:ascii="Arial" w:cs="Arial" w:eastAsia="Arial" w:hAnsi="Arial"/>
          <w:sz w:val="17"/>
          <w:szCs w:val="17"/>
          <w:color w:val="auto"/>
        </w:rPr>
      </w:pPr>
    </w:p>
    <w:p>
      <w:pPr>
        <w:ind w:left="300" w:right="40" w:hanging="157"/>
        <w:spacing w:after="0" w:line="302"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“preference share dividends” refers to the amount of pre-tax earnings that is required to pay the cash dividends on outstanding preference shares. There is no effective income tax rate applicable to continuing operations. We did not have any preference shares outstanding during the periods from 2012 to 2014 and the ratio of earnings to fixed charges and preference dividends is equivalent to the ratio of earnings to fixed charges for these periods. Beginning on April 7, 2015, we had 4,600,000 shares of Series A Preference Shares outstanding.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5" w:name="page26"/>
    <w:bookmarkEnd w:id="25"/>
    <w:p>
      <w:pPr>
        <w:ind w:left="4880"/>
        <w:spacing w:after="0"/>
        <w:rPr>
          <w:sz w:val="20"/>
          <w:szCs w:val="20"/>
          <w:color w:val="auto"/>
        </w:rPr>
      </w:pPr>
      <w:r>
        <w:rPr>
          <w:rFonts w:ascii="Arial" w:cs="Arial" w:eastAsia="Arial" w:hAnsi="Arial"/>
          <w:sz w:val="19"/>
          <w:szCs w:val="19"/>
          <w:b w:val="1"/>
          <w:bCs w:val="1"/>
          <w:color w:val="auto"/>
        </w:rPr>
        <w:t>CAPITALIZATION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our consolidated capitalization as of December 31, 2016 on an:</w:t>
      </w:r>
    </w:p>
    <w:p>
      <w:pPr>
        <w:spacing w:after="0" w:line="106" w:lineRule="exact"/>
        <w:rPr>
          <w:sz w:val="20"/>
          <w:szCs w:val="20"/>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actual basis;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adjusted basis, giving effect to the following transactions, which occurred during the period from December 31, 2016 to March 17, 2017:</w:t>
      </w:r>
    </w:p>
    <w:p>
      <w:pPr>
        <w:spacing w:after="0" w:line="128" w:lineRule="exact"/>
        <w:rPr>
          <w:rFonts w:ascii="Arial" w:cs="Arial" w:eastAsia="Arial" w:hAnsi="Arial"/>
          <w:sz w:val="17"/>
          <w:szCs w:val="17"/>
          <w:color w:val="auto"/>
        </w:rPr>
      </w:pPr>
    </w:p>
    <w:p>
      <w:pPr>
        <w:ind w:left="960" w:hanging="284"/>
        <w:spacing w:after="0"/>
        <w:tabs>
          <w:tab w:leader="none" w:pos="960" w:val="left"/>
        </w:tabs>
        <w:numPr>
          <w:ilvl w:val="2"/>
          <w:numId w:val="15"/>
        </w:numPr>
        <w:rPr>
          <w:rFonts w:ascii="Arial" w:cs="Arial" w:eastAsia="Arial" w:hAnsi="Arial"/>
          <w:sz w:val="19"/>
          <w:szCs w:val="19"/>
          <w:color w:val="auto"/>
        </w:rPr>
      </w:pPr>
      <w:r>
        <w:rPr>
          <w:rFonts w:ascii="Arial" w:cs="Arial" w:eastAsia="Arial" w:hAnsi="Arial"/>
          <w:sz w:val="19"/>
          <w:szCs w:val="19"/>
          <w:color w:val="auto"/>
        </w:rPr>
        <w:t>scheduled debt payments totaling $40.95 million;</w:t>
      </w:r>
    </w:p>
    <w:p>
      <w:pPr>
        <w:spacing w:after="0" w:line="105" w:lineRule="exact"/>
        <w:rPr>
          <w:rFonts w:ascii="Arial" w:cs="Arial" w:eastAsia="Arial" w:hAnsi="Arial"/>
          <w:sz w:val="19"/>
          <w:szCs w:val="19"/>
          <w:color w:val="auto"/>
        </w:rPr>
      </w:pPr>
    </w:p>
    <w:p>
      <w:pPr>
        <w:ind w:left="960" w:right="500" w:hanging="338"/>
        <w:spacing w:after="0" w:line="283" w:lineRule="auto"/>
        <w:tabs>
          <w:tab w:leader="none" w:pos="960" w:val="left"/>
        </w:tabs>
        <w:numPr>
          <w:ilvl w:val="2"/>
          <w:numId w:val="15"/>
        </w:numPr>
        <w:rPr>
          <w:rFonts w:ascii="Arial" w:cs="Arial" w:eastAsia="Arial" w:hAnsi="Arial"/>
          <w:sz w:val="19"/>
          <w:szCs w:val="19"/>
          <w:color w:val="auto"/>
        </w:rPr>
      </w:pPr>
      <w:r>
        <w:rPr>
          <w:rFonts w:ascii="Arial" w:cs="Arial" w:eastAsia="Arial" w:hAnsi="Arial"/>
          <w:sz w:val="19"/>
          <w:szCs w:val="19"/>
          <w:color w:val="auto"/>
        </w:rPr>
        <w:t>dividends of $13.80 million paid to GasLog Partners’ non-controlling unitholders on February 10, 2017 and dividends of $11.28 million paid to GasLog’s shareholders on March 16, 2017; and</w:t>
      </w:r>
    </w:p>
    <w:p>
      <w:pPr>
        <w:spacing w:after="0" w:line="38" w:lineRule="exact"/>
        <w:rPr>
          <w:rFonts w:ascii="Arial" w:cs="Arial" w:eastAsia="Arial" w:hAnsi="Arial"/>
          <w:sz w:val="19"/>
          <w:szCs w:val="19"/>
          <w:color w:val="auto"/>
        </w:rPr>
      </w:pPr>
    </w:p>
    <w:p>
      <w:pPr>
        <w:ind w:left="960" w:right="320" w:hanging="392"/>
        <w:spacing w:after="0" w:line="283" w:lineRule="auto"/>
        <w:tabs>
          <w:tab w:leader="none" w:pos="960" w:val="left"/>
        </w:tabs>
        <w:numPr>
          <w:ilvl w:val="2"/>
          <w:numId w:val="15"/>
        </w:numPr>
        <w:rPr>
          <w:rFonts w:ascii="Arial" w:cs="Arial" w:eastAsia="Arial" w:hAnsi="Arial"/>
          <w:sz w:val="19"/>
          <w:szCs w:val="19"/>
          <w:color w:val="auto"/>
        </w:rPr>
      </w:pPr>
      <w:r>
        <w:rPr>
          <w:rFonts w:ascii="Arial" w:cs="Arial" w:eastAsia="Arial" w:hAnsi="Arial"/>
          <w:sz w:val="19"/>
          <w:szCs w:val="19"/>
          <w:color w:val="auto"/>
        </w:rPr>
        <w:t>net proceeds of $77.92 million from the GasLog Partners’ follow-on equity offering completed on January 27, 2017 and the partial exercise of the over-allotment option on February 24, 2017.</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as further adjusted basis, giving effect to:</w:t>
      </w:r>
    </w:p>
    <w:p>
      <w:pPr>
        <w:spacing w:after="0" w:line="105" w:lineRule="exact"/>
        <w:rPr>
          <w:rFonts w:ascii="Arial" w:cs="Arial" w:eastAsia="Arial" w:hAnsi="Arial"/>
          <w:sz w:val="19"/>
          <w:szCs w:val="19"/>
          <w:color w:val="auto"/>
        </w:rPr>
      </w:pPr>
    </w:p>
    <w:p>
      <w:pPr>
        <w:ind w:left="820" w:hanging="279"/>
        <w:spacing w:after="0"/>
        <w:tabs>
          <w:tab w:leader="none" w:pos="820"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issuance and sale of the Notes offered hereby, net of underwriting discounts and commissions and estimated expenses.</w:t>
      </w:r>
    </w:p>
    <w:p>
      <w:pPr>
        <w:spacing w:after="0" w:line="133"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Other than these adjustments, there has been no material change in our capitalization from debt or equity issuances, re-capitalizations or special dividends between December 31, 2016, and the date of this prospectus supplement.</w:t>
      </w:r>
    </w:p>
    <w:p>
      <w:pPr>
        <w:spacing w:after="0" w:line="5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This table is derived from and should be read together with our consolidated financial statements, the related notes and other financial information contained in our Annual Report on Form 20-F for the fiscal year ended December 31, 2016, which is incorporated by reference in this prospectus supplement.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As of December 31, 2016</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5"/>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05"/>
              <w:spacing w:after="0" w:line="145" w:lineRule="exact"/>
              <w:rPr>
                <w:sz w:val="20"/>
                <w:szCs w:val="20"/>
                <w:color w:val="auto"/>
              </w:rPr>
            </w:pPr>
            <w:r>
              <w:rPr>
                <w:rFonts w:ascii="Arial" w:cs="Arial" w:eastAsia="Arial" w:hAnsi="Arial"/>
                <w:sz w:val="16"/>
                <w:szCs w:val="16"/>
                <w:b w:val="1"/>
                <w:bCs w:val="1"/>
                <w:color w:val="auto"/>
                <w:w w:val="93"/>
              </w:rPr>
              <w:t>As Further</w:t>
            </w:r>
          </w:p>
        </w:tc>
      </w:tr>
      <w:tr>
        <w:trPr>
          <w:trHeight w:val="199"/>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6"/>
                <w:szCs w:val="16"/>
                <w:b w:val="1"/>
                <w:bCs w:val="1"/>
                <w:color w:val="auto"/>
                <w:w w:val="87"/>
              </w:rPr>
              <w:t>As Adjusted</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Adjusted</w:t>
            </w: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6"/>
          </w:tcPr>
          <w:p>
            <w:pPr>
              <w:jc w:val="center"/>
              <w:ind w:left="705"/>
              <w:spacing w:after="0"/>
              <w:rPr>
                <w:sz w:val="20"/>
                <w:szCs w:val="20"/>
                <w:color w:val="auto"/>
              </w:rPr>
            </w:pPr>
            <w:r>
              <w:rPr>
                <w:rFonts w:ascii="Arial" w:cs="Arial" w:eastAsia="Arial" w:hAnsi="Arial"/>
                <w:sz w:val="16"/>
                <w:szCs w:val="16"/>
                <w:b w:val="1"/>
                <w:bCs w:val="1"/>
                <w:color w:val="auto"/>
                <w:w w:val="88"/>
              </w:rPr>
              <w:t>(in thousands of U.S. dollars)</w:t>
            </w:r>
          </w:p>
        </w:tc>
        <w:tc>
          <w:tcPr>
            <w:tcW w:w="9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Debt:</w:t>
            </w:r>
            <w:r>
              <w:rPr>
                <w:rFonts w:ascii="Arial" w:cs="Arial" w:eastAsia="Arial" w:hAnsi="Arial"/>
                <w:sz w:val="10"/>
                <w:szCs w:val="10"/>
                <w:b w:val="1"/>
                <w:bCs w:val="1"/>
                <w:color w:val="auto"/>
              </w:rPr>
              <w:t>(1)</w:t>
            </w: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9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980" w:type="dxa"/>
            <w:vAlign w:val="bottom"/>
            <w:shd w:val="clear" w:color="auto" w:fill="E5FFFF"/>
          </w:tcPr>
          <w:p>
            <w:pPr>
              <w:spacing w:after="0"/>
              <w:rPr>
                <w:sz w:val="19"/>
                <w:szCs w:val="19"/>
                <w:color w:val="auto"/>
              </w:rPr>
            </w:pP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Borrowings, current portion</w:t>
            </w:r>
            <w:r>
              <w:rPr>
                <w:rFonts w:ascii="Arial" w:cs="Arial" w:eastAsia="Arial" w:hAnsi="Arial"/>
                <w:sz w:val="10"/>
                <w:szCs w:val="10"/>
                <w:color w:val="auto"/>
              </w:rPr>
              <w:t>(2)</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147,448</w:t>
            </w:r>
          </w:p>
        </w:tc>
        <w:tc>
          <w:tcPr>
            <w:tcW w:w="4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106,495</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80" w:type="dxa"/>
            <w:vAlign w:val="bottom"/>
          </w:tcPr>
          <w:p>
            <w:pPr>
              <w:jc w:val="right"/>
              <w:ind w:right="5"/>
              <w:spacing w:after="0"/>
              <w:rPr>
                <w:sz w:val="20"/>
                <w:szCs w:val="20"/>
                <w:color w:val="auto"/>
              </w:rPr>
            </w:pPr>
            <w:r>
              <w:rPr>
                <w:rFonts w:ascii="Arial" w:cs="Arial" w:eastAsia="Arial" w:hAnsi="Arial"/>
                <w:sz w:val="19"/>
                <w:szCs w:val="19"/>
                <w:color w:val="auto"/>
              </w:rPr>
              <w:t>106.495</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Borrowings, non-current portion</w:t>
            </w:r>
            <w:r>
              <w:rPr>
                <w:rFonts w:ascii="Arial" w:cs="Arial" w:eastAsia="Arial" w:hAnsi="Arial"/>
                <w:sz w:val="10"/>
                <w:szCs w:val="10"/>
                <w:color w:val="auto"/>
              </w:rPr>
              <w:t>(2)</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6"/>
              </w:rPr>
              <w:t>2,504,578</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2,504,578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2,504,578</w:t>
            </w: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Finance lease liability, current portion</w:t>
            </w:r>
            <w:r>
              <w:rPr>
                <w:rFonts w:ascii="Arial" w:cs="Arial" w:eastAsia="Arial" w:hAnsi="Arial"/>
                <w:sz w:val="10"/>
                <w:szCs w:val="10"/>
                <w:color w:val="auto"/>
              </w:rPr>
              <w:t>(2)</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5,946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5,946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
              <w:spacing w:after="0"/>
              <w:rPr>
                <w:sz w:val="20"/>
                <w:szCs w:val="20"/>
                <w:color w:val="auto"/>
              </w:rPr>
            </w:pPr>
            <w:r>
              <w:rPr>
                <w:rFonts w:ascii="Arial" w:cs="Arial" w:eastAsia="Arial" w:hAnsi="Arial"/>
                <w:sz w:val="19"/>
                <w:szCs w:val="19"/>
                <w:color w:val="auto"/>
              </w:rPr>
              <w:t>5,946</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Finance lease liability, non-current portion</w:t>
            </w:r>
            <w:r>
              <w:rPr>
                <w:rFonts w:ascii="Arial" w:cs="Arial" w:eastAsia="Arial" w:hAnsi="Arial"/>
                <w:sz w:val="10"/>
                <w:szCs w:val="10"/>
                <w:color w:val="auto"/>
              </w:rPr>
              <w:t>(2)</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214,455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214,455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214,455</w:t>
            </w:r>
          </w:p>
        </w:tc>
      </w:tr>
      <w:tr>
        <w:trPr>
          <w:trHeight w:val="250"/>
        </w:trPr>
        <w:tc>
          <w:tcPr>
            <w:tcW w:w="7460" w:type="dxa"/>
            <w:vAlign w:val="bottom"/>
            <w:gridSpan w:val="2"/>
          </w:tcPr>
          <w:p>
            <w:pPr>
              <w:spacing w:after="0"/>
              <w:rPr>
                <w:sz w:val="20"/>
                <w:szCs w:val="20"/>
                <w:color w:val="auto"/>
              </w:rPr>
            </w:pPr>
            <w:r>
              <w:rPr>
                <w:rFonts w:ascii="Arial" w:cs="Arial" w:eastAsia="Arial" w:hAnsi="Arial"/>
                <w:sz w:val="19"/>
                <w:szCs w:val="19"/>
                <w:color w:val="auto"/>
              </w:rPr>
              <w:t>8.875% Senior Notes offered hereby</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980" w:type="dxa"/>
            <w:vAlign w:val="bottom"/>
          </w:tcPr>
          <w:p>
            <w:pPr>
              <w:jc w:val="right"/>
              <w:ind w:right="5"/>
              <w:spacing w:after="0"/>
              <w:rPr>
                <w:sz w:val="20"/>
                <w:szCs w:val="20"/>
                <w:color w:val="auto"/>
              </w:rPr>
            </w:pPr>
            <w:r>
              <w:rPr>
                <w:rFonts w:ascii="Arial" w:cs="Arial" w:eastAsia="Arial" w:hAnsi="Arial"/>
                <w:sz w:val="19"/>
                <w:szCs w:val="19"/>
                <w:color w:val="auto"/>
              </w:rPr>
              <w:t>245,281</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debt</w:t>
            </w:r>
          </w:p>
        </w:tc>
        <w:tc>
          <w:tcPr>
            <w:tcW w:w="180" w:type="dxa"/>
            <w:vAlign w:val="bottom"/>
            <w:tcBorders>
              <w:top w:val="single" w:sz="8" w:color="auto"/>
              <w:bottom w:val="single" w:sz="8" w:color="auto"/>
            </w:tcBorders>
            <w:shd w:val="clear" w:color="auto" w:fill="E5FFFF"/>
          </w:tcPr>
          <w:p>
            <w:pPr>
              <w:spacing w:after="0"/>
              <w:rPr>
                <w:sz w:val="21"/>
                <w:szCs w:val="21"/>
                <w:color w:val="auto"/>
              </w:rPr>
            </w:pPr>
          </w:p>
        </w:tc>
        <w:tc>
          <w:tcPr>
            <w:tcW w:w="940" w:type="dxa"/>
            <w:vAlign w:val="bottom"/>
            <w:tcBorders>
              <w:top w:val="single" w:sz="8" w:color="auto"/>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b w:val="1"/>
                <w:bCs w:val="1"/>
                <w:color w:val="auto"/>
                <w:w w:val="96"/>
              </w:rPr>
              <w:t>2,872,427</w:t>
            </w:r>
          </w:p>
        </w:tc>
        <w:tc>
          <w:tcPr>
            <w:tcW w:w="280" w:type="dxa"/>
            <w:vAlign w:val="bottom"/>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rPr>
                <w:sz w:val="21"/>
                <w:szCs w:val="21"/>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2,831,474</w:t>
            </w:r>
          </w:p>
        </w:tc>
        <w:tc>
          <w:tcPr>
            <w:tcW w:w="300" w:type="dxa"/>
            <w:vAlign w:val="bottom"/>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spacing w:after="0"/>
              <w:rPr>
                <w:sz w:val="21"/>
                <w:szCs w:val="21"/>
                <w:color w:val="auto"/>
              </w:rPr>
            </w:pPr>
          </w:p>
        </w:tc>
        <w:tc>
          <w:tcPr>
            <w:tcW w:w="980" w:type="dxa"/>
            <w:vAlign w:val="bottom"/>
            <w:tcBorders>
              <w:top w:val="single" w:sz="8" w:color="auto"/>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3,076,755</w:t>
            </w:r>
          </w:p>
        </w:tc>
      </w:tr>
      <w:tr>
        <w:trPr>
          <w:trHeight w:val="237"/>
        </w:trPr>
        <w:tc>
          <w:tcPr>
            <w:tcW w:w="7460" w:type="dxa"/>
            <w:vAlign w:val="bottom"/>
            <w:gridSpan w:val="2"/>
          </w:tcPr>
          <w:p>
            <w:pPr>
              <w:spacing w:after="0"/>
              <w:rPr>
                <w:sz w:val="20"/>
                <w:szCs w:val="20"/>
                <w:color w:val="auto"/>
              </w:rPr>
            </w:pPr>
            <w:r>
              <w:rPr>
                <w:rFonts w:ascii="Arial" w:cs="Arial" w:eastAsia="Arial" w:hAnsi="Arial"/>
                <w:sz w:val="19"/>
                <w:szCs w:val="19"/>
                <w:b w:val="1"/>
                <w:bCs w:val="1"/>
                <w:color w:val="auto"/>
              </w:rPr>
              <w:t>Equity: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Preference shares</w:t>
            </w:r>
            <w:r>
              <w:rPr>
                <w:rFonts w:ascii="Arial" w:cs="Arial" w:eastAsia="Arial" w:hAnsi="Arial"/>
                <w:sz w:val="10"/>
                <w:szCs w:val="10"/>
                <w:color w:val="auto"/>
              </w:rPr>
              <w:t>(3)</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46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46</w:t>
            </w: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Share capital</w:t>
            </w:r>
            <w:r>
              <w:rPr>
                <w:rFonts w:ascii="Arial" w:cs="Arial" w:eastAsia="Arial" w:hAnsi="Arial"/>
                <w:sz w:val="10"/>
                <w:szCs w:val="10"/>
                <w:color w:val="auto"/>
              </w:rPr>
              <w:t>(3)</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810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810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
              <w:spacing w:after="0"/>
              <w:rPr>
                <w:sz w:val="20"/>
                <w:szCs w:val="20"/>
                <w:color w:val="auto"/>
              </w:rPr>
            </w:pPr>
            <w:r>
              <w:rPr>
                <w:rFonts w:ascii="Arial" w:cs="Arial" w:eastAsia="Arial" w:hAnsi="Arial"/>
                <w:sz w:val="19"/>
                <w:szCs w:val="19"/>
                <w:color w:val="auto"/>
              </w:rPr>
              <w:t>810</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Contributed surplus</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966,974</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955,695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955,695</w:t>
            </w: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Reserves</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10,160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10,160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
              <w:spacing w:after="0"/>
              <w:rPr>
                <w:sz w:val="20"/>
                <w:szCs w:val="20"/>
                <w:color w:val="auto"/>
              </w:rPr>
            </w:pPr>
            <w:r>
              <w:rPr>
                <w:rFonts w:ascii="Arial" w:cs="Arial" w:eastAsia="Arial" w:hAnsi="Arial"/>
                <w:sz w:val="19"/>
                <w:szCs w:val="19"/>
                <w:color w:val="auto"/>
              </w:rPr>
              <w:t>10,160</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Treasury shares</w:t>
            </w:r>
            <w:r>
              <w:rPr>
                <w:rFonts w:ascii="Arial" w:cs="Arial" w:eastAsia="Arial" w:hAnsi="Arial"/>
                <w:sz w:val="10"/>
                <w:szCs w:val="10"/>
                <w:color w:val="auto"/>
              </w:rPr>
              <w:t>(3)</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(10,861)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(10,861)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(10,861)</w:t>
            </w: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Accumulated deficit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(21,486)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(21,486)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(21,486)</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Non-controlling interest</w:t>
            </w:r>
          </w:p>
        </w:tc>
        <w:tc>
          <w:tcPr>
            <w:tcW w:w="18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564,039</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628,163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98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628,163</w:t>
            </w:r>
          </w:p>
        </w:tc>
      </w:tr>
      <w:tr>
        <w:trPr>
          <w:trHeight w:val="257"/>
        </w:trPr>
        <w:tc>
          <w:tcPr>
            <w:tcW w:w="7460" w:type="dxa"/>
            <w:vAlign w:val="bottom"/>
            <w:gridSpan w:val="2"/>
          </w:tcPr>
          <w:p>
            <w:pPr>
              <w:spacing w:after="0"/>
              <w:rPr>
                <w:sz w:val="20"/>
                <w:szCs w:val="20"/>
                <w:color w:val="auto"/>
              </w:rPr>
            </w:pPr>
            <w:r>
              <w:rPr>
                <w:rFonts w:ascii="Arial" w:cs="Arial" w:eastAsia="Arial" w:hAnsi="Arial"/>
                <w:sz w:val="19"/>
                <w:szCs w:val="19"/>
                <w:b w:val="1"/>
                <w:bCs w:val="1"/>
                <w:color w:val="auto"/>
              </w:rPr>
              <w:t>Total equity</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b w:val="1"/>
                <w:bCs w:val="1"/>
                <w:color w:val="auto"/>
                <w:w w:val="96"/>
              </w:rPr>
              <w:t>1,509,682</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1,562,527</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1,562,527</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capitalization</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b w:val="1"/>
                <w:bCs w:val="1"/>
                <w:color w:val="auto"/>
                <w:w w:val="96"/>
              </w:rPr>
              <w:t>4,382,109</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4,394,001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980" w:type="dxa"/>
            <w:vAlign w:val="bottom"/>
            <w:shd w:val="clear" w:color="auto" w:fill="E5FFFF"/>
          </w:tcPr>
          <w:p>
            <w:pPr>
              <w:jc w:val="right"/>
              <w:ind w:right="5"/>
              <w:spacing w:after="0"/>
              <w:rPr>
                <w:sz w:val="20"/>
                <w:szCs w:val="20"/>
                <w:color w:val="auto"/>
              </w:rPr>
            </w:pPr>
            <w:r>
              <w:rPr>
                <w:rFonts w:ascii="Arial" w:cs="Arial" w:eastAsia="Arial" w:hAnsi="Arial"/>
                <w:sz w:val="19"/>
                <w:szCs w:val="19"/>
                <w:b w:val="1"/>
                <w:bCs w:val="1"/>
                <w:color w:val="auto"/>
              </w:rPr>
              <w:t>4,639,282</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00" w:right="160" w:hanging="208"/>
        <w:spacing w:after="0" w:line="260" w:lineRule="auto"/>
        <w:tabs>
          <w:tab w:leader="none" w:pos="300" w:val="left"/>
        </w:tabs>
        <w:numPr>
          <w:ilvl w:val="0"/>
          <w:numId w:val="17"/>
        </w:numPr>
        <w:rPr>
          <w:rFonts w:ascii="Arial" w:cs="Arial" w:eastAsia="Arial" w:hAnsi="Arial"/>
          <w:sz w:val="10"/>
          <w:szCs w:val="10"/>
          <w:color w:val="auto"/>
        </w:rPr>
      </w:pPr>
      <w:r>
        <w:rPr>
          <w:rFonts w:ascii="Arial" w:cs="Arial" w:eastAsia="Arial" w:hAnsi="Arial"/>
          <w:sz w:val="18"/>
          <w:szCs w:val="18"/>
          <w:color w:val="auto"/>
        </w:rPr>
        <w:t>Our indebtedness, other than our NOK Bonds (as defined in the section “Description of Other Indebtedness”), is secured by mortgages on our owned ships and is guaranteed by the Company or a combination of the Company and GasLog Partners, in the case of the Partnership’s indebtedness. The NOK Bonds (the carrying amount of which, net of unamortized financing costs and unamortized premium as of December 31, 2016, is $133.53 million) are unsecured.</w:t>
      </w:r>
    </w:p>
    <w:p>
      <w:pPr>
        <w:spacing w:after="0" w:line="61" w:lineRule="exact"/>
        <w:rPr>
          <w:rFonts w:ascii="Arial" w:cs="Arial" w:eastAsia="Arial" w:hAnsi="Arial"/>
          <w:sz w:val="10"/>
          <w:szCs w:val="10"/>
          <w:color w:val="auto"/>
        </w:rPr>
      </w:pPr>
    </w:p>
    <w:p>
      <w:pPr>
        <w:ind w:left="300" w:right="260" w:hanging="208"/>
        <w:spacing w:after="0" w:line="281" w:lineRule="auto"/>
        <w:tabs>
          <w:tab w:leader="none" w:pos="300" w:val="left"/>
        </w:tabs>
        <w:numPr>
          <w:ilvl w:val="0"/>
          <w:numId w:val="17"/>
        </w:numPr>
        <w:rPr>
          <w:rFonts w:ascii="Arial" w:cs="Arial" w:eastAsia="Arial" w:hAnsi="Arial"/>
          <w:sz w:val="10"/>
          <w:szCs w:val="10"/>
          <w:color w:val="auto"/>
        </w:rPr>
      </w:pPr>
      <w:r>
        <w:rPr>
          <w:rFonts w:ascii="Arial" w:cs="Arial" w:eastAsia="Arial" w:hAnsi="Arial"/>
          <w:sz w:val="18"/>
          <w:szCs w:val="18"/>
          <w:color w:val="auto"/>
        </w:rPr>
        <w:t>Borrowings presented at December 31, 2016, are shown net of $47.98 million of loan issuance costs and premium that are being amortized over the term of the respective borrowings.</w:t>
      </w:r>
    </w:p>
    <w:p>
      <w:pPr>
        <w:spacing w:after="0" w:line="42" w:lineRule="exact"/>
        <w:rPr>
          <w:rFonts w:ascii="Arial" w:cs="Arial" w:eastAsia="Arial" w:hAnsi="Arial"/>
          <w:sz w:val="10"/>
          <w:szCs w:val="10"/>
          <w:color w:val="auto"/>
        </w:rPr>
      </w:pPr>
    </w:p>
    <w:p>
      <w:pPr>
        <w:ind w:left="300" w:right="160" w:hanging="208"/>
        <w:spacing w:after="0" w:line="266" w:lineRule="auto"/>
        <w:tabs>
          <w:tab w:leader="none" w:pos="300" w:val="left"/>
        </w:tabs>
        <w:numPr>
          <w:ilvl w:val="0"/>
          <w:numId w:val="17"/>
        </w:numPr>
        <w:rPr>
          <w:rFonts w:ascii="Arial" w:cs="Arial" w:eastAsia="Arial" w:hAnsi="Arial"/>
          <w:sz w:val="10"/>
          <w:szCs w:val="10"/>
          <w:color w:val="auto"/>
        </w:rPr>
      </w:pPr>
      <w:r>
        <w:rPr>
          <w:rFonts w:ascii="Arial" w:cs="Arial" w:eastAsia="Arial" w:hAnsi="Arial"/>
          <w:sz w:val="18"/>
          <w:szCs w:val="18"/>
          <w:color w:val="auto"/>
        </w:rPr>
        <w:t>Does not include any shares that may be issued under the Company’s 2013 Omnibus Incentive Compensation Plan. At December 31, 2016, our share capital consisted of 80,561,353 issued and outstanding common shares, 431,773 treasury shares issued and 4,600,000 Preference Shares issued and outstanding.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9"/>
          <w:szCs w:val="19"/>
          <w:b w:val="1"/>
          <w:bCs w:val="1"/>
          <w:color w:val="auto"/>
        </w:rPr>
        <w:t>DESCRIPTION OF OTHER INDEBTEDNESS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GasLog Partners Credit Facility</w:t>
      </w:r>
    </w:p>
    <w:p>
      <w:pPr>
        <w:spacing w:after="0" w:line="125" w:lineRule="exact"/>
        <w:rPr>
          <w:sz w:val="20"/>
          <w:szCs w:val="20"/>
          <w:color w:val="auto"/>
        </w:rPr>
      </w:pPr>
    </w:p>
    <w:p>
      <w:pPr>
        <w:ind w:right="220" w:firstLine="357"/>
        <w:spacing w:after="0" w:line="281" w:lineRule="auto"/>
        <w:rPr>
          <w:sz w:val="20"/>
          <w:szCs w:val="20"/>
          <w:color w:val="auto"/>
        </w:rPr>
      </w:pPr>
      <w:r>
        <w:rPr>
          <w:rFonts w:ascii="Arial" w:cs="Arial" w:eastAsia="Arial" w:hAnsi="Arial"/>
          <w:sz w:val="18"/>
          <w:szCs w:val="18"/>
          <w:color w:val="auto"/>
        </w:rPr>
        <w:t>On November 12, 2014, GAS-three Ltd., GAS-four Ltd., GAS-five Ltd., GAS-sixteen Ltd., GAS-seventeen Ltd, GasLog Partners and GasLog Partners Holdings LLC entered in a loan agreement for a credit facility for up to $450.0 million for the purpose of refinancing existing debt facilities. The agreement provides for a single tranche that was drawn on November 18, 2014. The aggregate balance outstanding under the loan facility as of December 31, 2016 was $405.0 million. The credit facility bears interest at LIBOR plus a margin.</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Newbuilding Facility</w:t>
      </w:r>
    </w:p>
    <w:p>
      <w:pPr>
        <w:spacing w:after="0" w:line="125"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On October 16, 2015, GAS -eleven Ltd., GAS-twelve Ltd., GAS-thirteen Ltd., GAS-fourteen Ltd., GAS-twenty two Ltd., GAS-twenty three Ltd., GAS-twenty four Ltd. and GAS-twenty five Ltd. entered into a debt financing agreement with 14 international banks for $1,311.36 million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77" w:lineRule="exact"/>
        <w:rPr>
          <w:sz w:val="20"/>
          <w:szCs w:val="20"/>
          <w:color w:val="auto"/>
        </w:rPr>
      </w:pPr>
    </w:p>
    <w:p>
      <w:pPr>
        <w:ind w:right="120" w:firstLine="357"/>
        <w:spacing w:after="0" w:line="289" w:lineRule="auto"/>
        <w:rPr>
          <w:sz w:val="20"/>
          <w:szCs w:val="20"/>
          <w:color w:val="auto"/>
        </w:rPr>
      </w:pPr>
      <w:r>
        <w:rPr>
          <w:rFonts w:ascii="Arial" w:cs="Arial" w:eastAsia="Arial" w:hAnsi="Arial"/>
          <w:sz w:val="17"/>
          <w:szCs w:val="17"/>
          <w:color w:val="auto"/>
        </w:rPr>
        <w:t xml:space="preserve">The loan agreement provides for four tranches of $412.46 million, $201.09 million, $206.12 million and $491.69 million.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$162.97 million was drawn down on each date with respect to the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while on September 26, 2016 and October 25, 2016, $160.70 million was drawn down on each date with respect to the deliveries of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The aggregate balance outstanding under the loan facility as of December 31, 2016 was $635.78 million. Amounts drawn bear interest at LIBOR plus a margin.</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Five Vessel Refinancing</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 xml:space="preserve">On February 18, 2016, GAS-eighteen Ltd., GAS-nineteen Ltd., GAS-twenty Ltd., GAS-twenty one Ltd. and GAS-twenty seven Ltd. entered into the Five Vessel Refinancing to refinance the debt maturities that were scheduled to become due in 2016 and 2017. The Five Vessel Refinancing is comprised of a five-year senior tranche facility of up to $396.50 million and a two-year bullet junior tranche facility of up to $180.0 million. The vessels covered by the Five Vessel Refinancing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GasLog-owned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Becki Anne.</w:t>
      </w:r>
    </w:p>
    <w:p>
      <w:pPr>
        <w:spacing w:after="0" w:line="62" w:lineRule="exact"/>
        <w:rPr>
          <w:sz w:val="20"/>
          <w:szCs w:val="20"/>
          <w:color w:val="auto"/>
        </w:rPr>
      </w:pPr>
    </w:p>
    <w:p>
      <w:pPr>
        <w:ind w:right="80" w:firstLine="357"/>
        <w:spacing w:after="0" w:line="272" w:lineRule="auto"/>
        <w:rPr>
          <w:sz w:val="20"/>
          <w:szCs w:val="20"/>
          <w:color w:val="auto"/>
        </w:rPr>
      </w:pPr>
      <w:r>
        <w:rPr>
          <w:rFonts w:ascii="Arial" w:cs="Arial" w:eastAsia="Arial" w:hAnsi="Arial"/>
          <w:sz w:val="18"/>
          <w:szCs w:val="18"/>
          <w:color w:val="auto"/>
        </w:rPr>
        <w:t>On April 5, 2016, $395.45 million and $179.75 million under the senior and junior tranche, respectively, of the Five Vessel Refinancing were drawn to partially refinance $644.0 million of the outstanding debt of GAS-eighteen Ltd., GAS-nineteen Ltd., GAS-twenty Ltd., GAS-twenty one Ltd. and GAS-twenty seven Ltd. The balance of $68.80 million was paid from available cash. Following the decrease in the aggregate available amount by $1.30 million, the senior tranche facility provides for four advances of $72.29 million each and a fifth advance of $106.30 million.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$29.96 million each and a fifth advance of $59.92 million. Each advance under the junior tranche shall be repaid in full 24</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7" w:name="page28"/>
    <w:bookmarkEnd w:id="27"/>
    <w:p>
      <w:pPr>
        <w:ind w:right="60"/>
        <w:spacing w:after="0" w:line="267" w:lineRule="auto"/>
        <w:rPr>
          <w:sz w:val="20"/>
          <w:szCs w:val="20"/>
          <w:color w:val="auto"/>
        </w:rPr>
      </w:pPr>
      <w:r>
        <w:rPr>
          <w:rFonts w:ascii="Arial" w:cs="Arial" w:eastAsia="Arial" w:hAnsi="Arial"/>
          <w:sz w:val="19"/>
          <w:szCs w:val="19"/>
          <w:color w:val="auto"/>
        </w:rPr>
        <w:t>months after the relevant drawdown dates. The aggregate balance outstanding under the senior tranche as of December 31, 2016 is $383.13 million, while under the junior tranche the outstanding balance is $179.75 million. Amounts drawn bear interest at LIBOR plus a margin (variable margin for the junior tranche).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Legacy Facility Refinancing</w:t>
      </w:r>
    </w:p>
    <w:p>
      <w:pPr>
        <w:spacing w:after="0" w:line="125" w:lineRule="exact"/>
        <w:rPr>
          <w:sz w:val="20"/>
          <w:szCs w:val="20"/>
          <w:color w:val="auto"/>
        </w:rPr>
      </w:pPr>
    </w:p>
    <w:p>
      <w:pPr>
        <w:ind w:right="260" w:firstLine="357"/>
        <w:spacing w:after="0" w:line="275" w:lineRule="auto"/>
        <w:rPr>
          <w:sz w:val="20"/>
          <w:szCs w:val="20"/>
          <w:color w:val="auto"/>
        </w:rPr>
      </w:pPr>
      <w:r>
        <w:rPr>
          <w:rFonts w:ascii="Arial" w:cs="Arial" w:eastAsia="Arial" w:hAnsi="Arial"/>
          <w:sz w:val="18"/>
          <w:szCs w:val="18"/>
          <w:color w:val="auto"/>
        </w:rPr>
        <w:t>On July 19, 2016, GAS-one Ltd., GAS-two Ltd., GAS-six Ltd., GAS-seven Ltd., GAS-eight Ltd., GAS-nine Ltd., GAS -ten Ltd. and GAS-fifteen Ltd. entered into a credit agreement to refinance the existing indebtedness on eight of GasLog’s on-the-water vessels of up to</w:t>
      </w:r>
    </w:p>
    <w:p>
      <w:pPr>
        <w:spacing w:after="0" w:line="1" w:lineRule="exact"/>
        <w:rPr>
          <w:sz w:val="20"/>
          <w:szCs w:val="20"/>
          <w:color w:val="auto"/>
        </w:rPr>
      </w:pPr>
    </w:p>
    <w:p>
      <w:pPr>
        <w:jc w:val="both"/>
        <w:ind w:right="140"/>
        <w:spacing w:after="0" w:line="258" w:lineRule="auto"/>
        <w:rPr>
          <w:sz w:val="20"/>
          <w:szCs w:val="20"/>
          <w:color w:val="auto"/>
        </w:rPr>
      </w:pPr>
      <w:r>
        <w:rPr>
          <w:rFonts w:ascii="Arial" w:cs="Arial" w:eastAsia="Arial" w:hAnsi="Arial"/>
          <w:sz w:val="19"/>
          <w:szCs w:val="19"/>
          <w:color w:val="auto"/>
        </w:rPr>
        <w:t xml:space="preserve">$1,050.0 million, extending the maturities of six existing credit facilities to 2021. The vessels covered by the Legacy Facility Refinancing are the </w:t>
      </w:r>
      <w:r>
        <w:rPr>
          <w:rFonts w:ascii="Arial" w:cs="Arial" w:eastAsia="Arial" w:hAnsi="Arial"/>
          <w:sz w:val="19"/>
          <w:szCs w:val="19"/>
          <w:i w:val="1"/>
          <w:iCs w:val="1"/>
          <w:color w:val="auto"/>
        </w:rPr>
        <w:t>GasLog Savannah</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Singapore</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Skagen</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Seattle</w:t>
      </w:r>
      <w:r>
        <w:rPr>
          <w:rFonts w:ascii="Arial" w:cs="Arial" w:eastAsia="Arial" w:hAnsi="Arial"/>
          <w:sz w:val="19"/>
          <w:szCs w:val="19"/>
          <w:color w:val="auto"/>
        </w:rPr>
        <w:t>, the</w:t>
      </w:r>
      <w:r>
        <w:rPr>
          <w:rFonts w:ascii="Arial" w:cs="Arial" w:eastAsia="Arial" w:hAnsi="Arial"/>
          <w:sz w:val="19"/>
          <w:szCs w:val="19"/>
          <w:i w:val="1"/>
          <w:iCs w:val="1"/>
          <w:color w:val="auto"/>
        </w:rPr>
        <w:t xml:space="preserve"> Solaris</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Saratoga</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Salem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GasLog Chelsea.</w:t>
      </w:r>
    </w:p>
    <w:p>
      <w:pPr>
        <w:spacing w:after="0" w:line="76" w:lineRule="exact"/>
        <w:rPr>
          <w:sz w:val="20"/>
          <w:szCs w:val="20"/>
          <w:color w:val="auto"/>
        </w:rPr>
      </w:pPr>
    </w:p>
    <w:p>
      <w:pPr>
        <w:ind w:right="120" w:firstLine="357"/>
        <w:spacing w:after="0" w:line="292" w:lineRule="auto"/>
        <w:rPr>
          <w:sz w:val="20"/>
          <w:szCs w:val="20"/>
          <w:color w:val="auto"/>
        </w:rPr>
      </w:pPr>
      <w:r>
        <w:rPr>
          <w:rFonts w:ascii="Arial" w:cs="Arial" w:eastAsia="Arial" w:hAnsi="Arial"/>
          <w:sz w:val="17"/>
          <w:szCs w:val="17"/>
          <w:color w:val="auto"/>
        </w:rPr>
        <w:t>The Legacy Facility Refinancing is comprised of a five-year term loan facility of up to $950.0 million and a revolving credit facility of up to $100.0 million. On July 25, 2016, the available amount of $950.0 million under the term loan facility and $11.64 million under the revolving credit facility were drawn to refinance the aggregate existing indebtedness of $959.90 million of GAS-one Ltd., GAS-two Ltd., GAS-six Ltd., GAS-seven Ltd., GAS-eight Ltd., GAS-nine Ltd., GAS-ten Ltd. and GAS -fifteen Ltd. Amounts drawn bear interest at LIBOR plus a margin. The balance outstanding as of December 31, 2016 of $950.0 million under the term loan facility shall be repaid in nine semi-annual installments of $29.17 million each and a balloon repayment of $687.50 million five years after drawdown. The outstanding balance under the revolving credit facility as of December 31, 2016 was $11.64 million, while the available amount of $88.36 million can be drawn at any time until January, 2021.</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Covenants and Guarantees</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The obligations under the aforementioned facilities, with the exception of the junior tranche loan facility under the Five Vessel Refinancing, are secured by a first priority mortgage over the vessels, a pledge of the share capital of the respective vessel owning companies and a first priority assignment of earnings related to the vessels (excluding the vessels participating in the Cool Pool), including charter revenue, management revenue and any insurance and requisition compensation. In relation to the junior tranche loan facility drawn under the Five Vessel Refinancing, this is secured by second priority mortgage and assignments. Obligations under the GasLog Partners Credit Facility are facilities guaranteed by the Partnership and GasLog Partners Holdings LLC, obligations under the Five Vessel Refinancing are guaranteed by GasLog, by the Partnership and GasLog Partners Holdings LLC for up to the value of the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Methane Heather Sally </w:t>
      </w:r>
      <w:r>
        <w:rPr>
          <w:rFonts w:ascii="Arial" w:cs="Arial" w:eastAsia="Arial" w:hAnsi="Arial"/>
          <w:sz w:val="18"/>
          <w:szCs w:val="18"/>
          <w:color w:val="auto"/>
        </w:rPr>
        <w:t>and by GasLog Carriers Ltd. for up to the value of the commitments on the remaining vessels,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Legacy Facility Refinancing are guaranteed by GasLog, by the Partnership and GasLog Partners Holdings LLC for up to the value of the commitments relating to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by GasLog Carriers Ltd. for up to the value of the commitments on the remaining vessels, while obligations under the fourth facility are guaranteed by GasLog and GasLog Carriers Ltd.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balance(with respect to the Newbuilding Facility below 115% of the aggregate outstanding principal balance for the first two years after each drawdown and below 120% at any time thereafter and with respect to the Five Vessel Refinancing below 115% of the aggregate outstanding principal balance until the maturity of the junior tranche and below 120% at any time thereafter).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t>Senior Unsecured Notes</w:t>
      </w:r>
    </w:p>
    <w:p>
      <w:pPr>
        <w:spacing w:after="0" w:line="125" w:lineRule="exact"/>
        <w:rPr>
          <w:sz w:val="20"/>
          <w:szCs w:val="20"/>
          <w:color w:val="auto"/>
        </w:rPr>
      </w:pPr>
    </w:p>
    <w:p>
      <w:pPr>
        <w:ind w:right="200" w:firstLine="357"/>
        <w:spacing w:after="0" w:line="258" w:lineRule="auto"/>
        <w:rPr>
          <w:sz w:val="20"/>
          <w:szCs w:val="20"/>
          <w:color w:val="auto"/>
        </w:rPr>
      </w:pPr>
      <w:r>
        <w:rPr>
          <w:rFonts w:ascii="Arial" w:cs="Arial" w:eastAsia="Arial" w:hAnsi="Arial"/>
          <w:sz w:val="19"/>
          <w:szCs w:val="19"/>
          <w:color w:val="auto"/>
        </w:rPr>
        <w:t>On June 27, 2013, GasLog issued a senior unsecured bond of NOK 500.0 million (or $83.21 million based on the exchange rate on June 27, 2013) that will mature on June 27, 2018. On May 2, 2014, GasLog closed a follow-on issue of the Norwegian bond of NOK 500.0 million (or $83.61 million based on the exchange rate on closing date) at a premium of $4.18 million (based on the exchange rate on closing date). On June 27, 2016, GasLog repurchased and cancelled NOK 588.0 million ($70.68 million) of the outstanding bonds at a price of 103% of par value. The total outstanding balance of the Norwegian bond, after the follow-on issue and the partial re-purchase (the “2018 Bond Agreement”) amounts to NOK 412.0 million.</w:t>
      </w:r>
    </w:p>
    <w:p>
      <w:pPr>
        <w:spacing w:after="0" w:line="76"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bond under the 2018 Bond Agreement bears interest at NIBOR plus margin. Interest payments shall be made in arrears on a quarterly basis. GasLog may redeem the Bond in whole or in part as follows: (a) with settlement date at any time from June 27, 2016 to but not including June 27, 2017 at 105.0% of par plus accrued interest on redeemed amount, (b) with settlement date at any time from June 27, 2017 to but not including December 27, 2017 at 103.0% of par plus accrued interest on redeemed amount, and (c) with settlement date at any time from December 27, 2017 to but not including the maturity date at 101.75% of par plus accrued interests on redeemed amount.</w:t>
      </w:r>
    </w:p>
    <w:p>
      <w:pPr>
        <w:spacing w:after="0" w:line="62"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Compliance with our Bonds’ covenants is required at all times and we were in compliance with the respective financial covenants as of March 13, 2017.</w:t>
      </w:r>
    </w:p>
    <w:p>
      <w:pPr>
        <w:spacing w:after="0" w:line="52"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aggregate carrying amount under the 2018 Bond Agreement and the 2021 Bond Agreement (the “Bonds”), net of unamortized financing costs and unamortized premium, as of December 31, 2016 was $133.53 million while their aggregate fair value was $138.74 million based on a USD/NOK exchange rate of 0.1159 as of December 31, 2016.</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9"/>
          <w:szCs w:val="19"/>
          <w:b w:val="1"/>
          <w:bCs w:val="1"/>
          <w:color w:val="auto"/>
        </w:rPr>
        <w:t>DESCRIPTION OF NOTES</w:t>
      </w:r>
    </w:p>
    <w:p>
      <w:pPr>
        <w:spacing w:after="0" w:line="125"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 xml:space="preserve">The following description is only a summary of certain provisions of the Notes and the Indenture. You should read those documents in their entirety because they, and not this description, define your rights as holders of the Notes. The following summary does not purport to be complete and is subject to, and is qualified in its entirety by reference to, the Trust Indenture Act of 1939, as amended (or the </w:t>
      </w:r>
      <w:r>
        <w:rPr>
          <w:rFonts w:ascii="Arial" w:cs="Arial" w:eastAsia="Arial" w:hAnsi="Arial"/>
          <w:sz w:val="18"/>
          <w:szCs w:val="18"/>
          <w:i w:val="1"/>
          <w:iCs w:val="1"/>
          <w:color w:val="auto"/>
        </w:rPr>
        <w:t>TIA</w:t>
      </w:r>
      <w:r>
        <w:rPr>
          <w:rFonts w:ascii="Arial" w:cs="Arial" w:eastAsia="Arial" w:hAnsi="Arial"/>
          <w:sz w:val="18"/>
          <w:szCs w:val="18"/>
          <w:color w:val="auto"/>
        </w:rPr>
        <w:t>), and to all of the provisions of the Indenture and those terms made a part of the Indenture by reference to the TIA. Unless the context requires otherwise, all references to “we,” “us,” and “our” in this section refer solely to GasLog Ltd., the issuer of the Notes, and not to any of its subsidiaries.</w:t>
      </w:r>
    </w:p>
    <w:p>
      <w:pPr>
        <w:spacing w:after="0" w:line="62"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following description of the particular terms of the Notes offered hereby supplements the “Description of Debt Securities” set forth in the accompanying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1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 xml:space="preserve">The Notes will be issued under an indenture to be dated as of March 22, 2017 (or the </w:t>
      </w:r>
      <w:r>
        <w:rPr>
          <w:rFonts w:ascii="Arial" w:cs="Arial" w:eastAsia="Arial" w:hAnsi="Arial"/>
          <w:sz w:val="18"/>
          <w:szCs w:val="18"/>
          <w:i w:val="1"/>
          <w:iCs w:val="1"/>
          <w:color w:val="auto"/>
        </w:rPr>
        <w:t>Base Indenture</w:t>
      </w:r>
      <w:r>
        <w:rPr>
          <w:rFonts w:ascii="Arial" w:cs="Arial" w:eastAsia="Arial" w:hAnsi="Arial"/>
          <w:sz w:val="18"/>
          <w:szCs w:val="18"/>
          <w:color w:val="auto"/>
        </w:rPr>
        <w:t xml:space="preserve">), between the Issuer and American Stock Transfer &amp; Trust Company, LLC, as trustee (or the </w:t>
      </w:r>
      <w:r>
        <w:rPr>
          <w:rFonts w:ascii="Arial" w:cs="Arial" w:eastAsia="Arial" w:hAnsi="Arial"/>
          <w:sz w:val="18"/>
          <w:szCs w:val="18"/>
          <w:i w:val="1"/>
          <w:iCs w:val="1"/>
          <w:color w:val="auto"/>
        </w:rPr>
        <w:t>Trustee</w:t>
      </w:r>
      <w:r>
        <w:rPr>
          <w:rFonts w:ascii="Arial" w:cs="Arial" w:eastAsia="Arial" w:hAnsi="Arial"/>
          <w:sz w:val="18"/>
          <w:szCs w:val="18"/>
          <w:color w:val="auto"/>
        </w:rPr>
        <w:t xml:space="preserve">), as supplemented by a first supplemental indenture to be dated as of March 22, 2017, between the Issuer and the Trustee (or the </w:t>
      </w:r>
      <w:r>
        <w:rPr>
          <w:rFonts w:ascii="Arial" w:cs="Arial" w:eastAsia="Arial" w:hAnsi="Arial"/>
          <w:sz w:val="18"/>
          <w:szCs w:val="18"/>
          <w:i w:val="1"/>
          <w:iCs w:val="1"/>
          <w:color w:val="auto"/>
        </w:rPr>
        <w:t>Supplemental Indenture</w:t>
      </w:r>
      <w:r>
        <w:rPr>
          <w:rFonts w:ascii="Arial" w:cs="Arial" w:eastAsia="Arial" w:hAnsi="Arial"/>
          <w:sz w:val="18"/>
          <w:szCs w:val="18"/>
          <w:color w:val="auto"/>
        </w:rPr>
        <w:t xml:space="preserve"> and, together with the Base Indenture, the </w:t>
      </w: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49" w:lineRule="exact"/>
        <w:rPr>
          <w:sz w:val="20"/>
          <w:szCs w:val="20"/>
          <w:color w:val="auto"/>
        </w:rPr>
      </w:pPr>
    </w:p>
    <w:p>
      <w:pPr>
        <w:ind w:right="80" w:firstLine="357"/>
        <w:spacing w:after="0" w:line="255" w:lineRule="auto"/>
        <w:rPr>
          <w:sz w:val="20"/>
          <w:szCs w:val="20"/>
          <w:color w:val="auto"/>
        </w:rPr>
      </w:pPr>
      <w:r>
        <w:rPr>
          <w:rFonts w:ascii="Arial" w:cs="Arial" w:eastAsia="Arial" w:hAnsi="Arial"/>
          <w:sz w:val="19"/>
          <w:szCs w:val="19"/>
          <w:color w:val="auto"/>
        </w:rPr>
        <w:t>The Notes will initially be limited to $250.0 million in aggregate principal amount. The Indenture will not limit the amount of debt securities that the Issuer may issue under the Indenture and will provide that debt securities may be issued from time to time in one or more series. The Issuer may from time to time, without giving notice to or seeking the consent of the holders of the Notes, issue debt securities having the same interest rate, maturity and other terms (except for the issue date, the public offering price and the first interest payment date) as, and ranking equally and ratably with, the Notes. Any additional debt securities having such similar terms, together with the Notes, will constitute a single series of debt securities under the Indenture, including for purposes of voting and redemptions, and any additional debt securities issued as part of the same series as the Notes will be fungible with the Notes for United States federal income tax purposes or will be issued under a separate CUSIP number. No such additional debt securities may be issued if an Event of Default has occurred and is continuing with respect to the Notes. For the avoidance of doubt, so long as no default or Event of Default hereunder would result therefrom, nothing contained in the Indenture will prohibit the Issuer from entering into commercial loans or bank debt, whether secured or unsecured, including without limitation, such debt that may be syndicated.</w:t>
      </w:r>
    </w:p>
    <w:p>
      <w:pPr>
        <w:spacing w:after="0" w:line="80" w:lineRule="exact"/>
        <w:rPr>
          <w:sz w:val="20"/>
          <w:szCs w:val="20"/>
          <w:color w:val="auto"/>
        </w:rPr>
      </w:pPr>
    </w:p>
    <w:p>
      <w:pPr>
        <w:jc w:val="both"/>
        <w:ind w:right="40" w:firstLine="357"/>
        <w:spacing w:after="0" w:line="289" w:lineRule="auto"/>
        <w:rPr>
          <w:sz w:val="20"/>
          <w:szCs w:val="20"/>
          <w:color w:val="auto"/>
        </w:rPr>
      </w:pPr>
      <w:r>
        <w:rPr>
          <w:rFonts w:ascii="Arial" w:cs="Arial" w:eastAsia="Arial" w:hAnsi="Arial"/>
          <w:sz w:val="18"/>
          <w:szCs w:val="18"/>
          <w:color w:val="auto"/>
        </w:rPr>
        <w:t>Other than as described under “—Certain Covenants,” the Indenture and the terms of the Notes will not contain any covenants restricting the operation of our business, our ability to pay dividends, our ability to incur debt or grant liens on our assets or that are designed to afford holders of the Notes protection in a highly leveraged or other transaction involving us that may adversely affect holders of the Notes.</w:t>
      </w:r>
    </w:p>
    <w:p>
      <w:pPr>
        <w:spacing w:after="0" w:line="49"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Notes will mature on March 22, 2022 and will bear interest at a rate of 8.875% per annum. Interest on the Notes will accrue from March 22, 2017. The Issuer will make interest payments on the Notes quarterly in arrears on March 30, June 30, September 30, and December 30 of each year, beginning on June 30, 2017, to holders of record at the close of business on March 15, June 15, September 15, or December 15 (whether or not that date is a business day), as the case may be, immediately preceding such interest payment date, and on the maturity date. Interest on the Notes will be computed on the basis of a 360-day year composed of twelve 30-day months.</w:t>
      </w:r>
    </w:p>
    <w:p>
      <w:pPr>
        <w:spacing w:after="0" w:line="62" w:lineRule="exact"/>
        <w:rPr>
          <w:sz w:val="20"/>
          <w:szCs w:val="20"/>
          <w:color w:val="auto"/>
        </w:rPr>
      </w:pPr>
    </w:p>
    <w:p>
      <w:pPr>
        <w:jc w:val="both"/>
        <w:ind w:right="20" w:firstLine="357"/>
        <w:spacing w:after="0" w:line="262" w:lineRule="auto"/>
        <w:rPr>
          <w:sz w:val="20"/>
          <w:szCs w:val="20"/>
          <w:color w:val="auto"/>
        </w:rPr>
      </w:pPr>
      <w:r>
        <w:rPr>
          <w:rFonts w:ascii="Arial" w:cs="Arial" w:eastAsia="Arial" w:hAnsi="Arial"/>
          <w:sz w:val="19"/>
          <w:szCs w:val="19"/>
          <w:color w:val="auto"/>
        </w:rPr>
        <w:t>If any interest payment date would otherwise be a day that is not a business day, that interest payment date will be postponed to the next date that is a business day. If the maturity date of the Notes falls on a day that is not a business day, the related payment of principal and interest will be made on the next business day as if it were made on the date such payment was due, and no interest will accrue on the amounts so payable for the period from and after such date to the next business day.</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Notes will not be entitled to the benefit of any sinking fund.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30" w:name="page31"/>
    <w:bookmarkEnd w:id="30"/>
    <w:p>
      <w:pPr>
        <w:jc w:val="both"/>
        <w:ind w:right="240" w:firstLine="357"/>
        <w:spacing w:after="0" w:line="289" w:lineRule="auto"/>
        <w:rPr>
          <w:sz w:val="20"/>
          <w:szCs w:val="20"/>
          <w:color w:val="auto"/>
        </w:rPr>
      </w:pPr>
      <w:r>
        <w:rPr>
          <w:rFonts w:ascii="Arial" w:cs="Arial" w:eastAsia="Arial" w:hAnsi="Arial"/>
          <w:sz w:val="18"/>
          <w:szCs w:val="18"/>
          <w:color w:val="auto"/>
        </w:rPr>
        <w:t>The Notes will be issued only in fully registered form without coupons and in minimum denominations of $1,000 and integral multiples of $1,000 in excess thereof. The Notes will be represented by one or more global securities registered in the name of a nominee of DTC. Except as described under “—Book-entry System; Delivery and Form,” the Notes will not be issuable in certificated form.</w:t>
      </w:r>
    </w:p>
    <w:p>
      <w:pPr>
        <w:spacing w:after="0" w:line="49"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The Notes are not listed, and we do not currently intend to list the Notes, on any securities exchange or to seek approval for their quotation through any automated quotation system. We cannot assure you that an active public market for the Notes will develop. The absence of an active public trading market could have an adverse effect on the liquidity and value of the Notes.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Trading Characteristics</w:t>
      </w:r>
    </w:p>
    <w:p>
      <w:pPr>
        <w:spacing w:after="0" w:line="125"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The Notes are expected to trade at a price that takes into account the value, if any, of accrued but unpaid interest; thus, purchasers will not pay and sellers will not receive accrued and unpaid interest with respect to the Notes that is not included in the trading price thereof. Any portion of the trading price of a Note received that is attributable to accrued interest will be treated as ordinary interest income for federal income tax purposes and will not be treated as part of the amount realized for purposes of determining gain or loss on the disposition of the Note.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Ranking</w:t>
      </w:r>
    </w:p>
    <w:p>
      <w:pPr>
        <w:spacing w:after="0" w:line="125"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The Notes will be our unsubordinated unsecured obligations and will rank equally in right of payment with all our existing and future unsubordinated unsecured indebtedness.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Notes will rank senior in right of payment to all of our existing and future subordinated indebtedness.</w:t>
      </w:r>
    </w:p>
    <w:p>
      <w:pPr>
        <w:spacing w:after="0" w:line="1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The Notes will effectively rank junior to our current and any future secured indebtedness incurred by us, to the extent of the value of the assets securing such indebtedness. Assuming we had completed this offering on December 31, 2016, after giving effect to the issuance of our Notes and assuming we held all of the net proceeds of the offering as cash, we and our subsidiaries would have had an aggregate of approximately $3.12 billion of debt outstanding. Of such amount, $2.74 billion would have been secured debt of our subsidiaries. Please read “Risk Factors Risks of Investing in our Notes—Our Notes will be unsecured obligations and will be effectively subordinated to our secured debt and debt of our subsidiaries.”</w:t>
      </w:r>
    </w:p>
    <w:p>
      <w:pPr>
        <w:spacing w:after="0" w:line="76"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The Notes will be obligations of the Issuer and will not be guaranteed by any of our subsidiaries. Accordingly, the Notes will effectively rank junior to all liabilities of our subsidiaries (excluding any amounts owed by such subsidiaries to us). We derive substantially all of our operating income and cash flow from our investments in our subsidiaries. Claims of creditors of our subsidiaries generally will have priority with respect to the assets and earnings of such subsidiaries over the claims of our creditors, including holders of the Notes. As a result, the Notes will be effectively subordinated to creditors, including trade creditors and preferred shareholders or unitholders, if any, other than us, of our subsidiaries. Please read “Risk Factors—Risks of Investing in our Notes.”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Amounts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 xml:space="preserve">All payments made by or on behalf of the Issuer under or with respect to the Notes will be made free and clear of and without withholding or deduction for, or on account of, any present or future tax, duty, levy, impost, assessment or other governmental charge (including penalties, interest and other liabilities related thereto) (or </w:t>
      </w:r>
      <w:r>
        <w:rPr>
          <w:rFonts w:ascii="Arial" w:cs="Arial" w:eastAsia="Arial" w:hAnsi="Arial"/>
          <w:sz w:val="18"/>
          <w:szCs w:val="18"/>
          <w:i w:val="1"/>
          <w:iCs w:val="1"/>
          <w:color w:val="auto"/>
        </w:rPr>
        <w:t>Taxes</w:t>
      </w:r>
      <w:r>
        <w:rPr>
          <w:rFonts w:ascii="Arial" w:cs="Arial" w:eastAsia="Arial" w:hAnsi="Arial"/>
          <w:sz w:val="18"/>
          <w:szCs w:val="18"/>
          <w:color w:val="auto"/>
        </w:rPr>
        <w:t xml:space="preserve">) unless the withholding or deduction of such Taxes is then required by law. If any deduction or withholding for, or on account of, any Taxes imposed or levied by or on behalf of the government of Bermuda or any political subdivision or any authority or agency therein or thereof having power to tax, or any other jurisdiction in which the Issuer (including any successor entity) is organized or is otherwise resident for tax purposes, or any jurisdiction from or through which payment is made (including, without limitation, the jurisdiction of each paying agent) (each a </w:t>
      </w:r>
      <w:r>
        <w:rPr>
          <w:rFonts w:ascii="Arial" w:cs="Arial" w:eastAsia="Arial" w:hAnsi="Arial"/>
          <w:sz w:val="18"/>
          <w:szCs w:val="18"/>
          <w:i w:val="1"/>
          <w:iCs w:val="1"/>
          <w:color w:val="auto"/>
        </w:rPr>
        <w:t>Specified Tax Jurisdiction</w:t>
      </w:r>
      <w:r>
        <w:rPr>
          <w:rFonts w:ascii="Arial" w:cs="Arial" w:eastAsia="Arial" w:hAnsi="Arial"/>
          <w:sz w:val="18"/>
          <w:szCs w:val="18"/>
          <w:color w:val="auto"/>
        </w:rPr>
        <w:t>), will at any time be required to be made from</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1" w:name="page32"/>
    <w:bookmarkEnd w:id="31"/>
    <w:p>
      <w:pPr>
        <w:ind w:right="140"/>
        <w:spacing w:after="0" w:line="262" w:lineRule="auto"/>
        <w:rPr>
          <w:sz w:val="20"/>
          <w:szCs w:val="20"/>
          <w:color w:val="auto"/>
        </w:rPr>
      </w:pPr>
      <w:r>
        <w:rPr>
          <w:rFonts w:ascii="Arial" w:cs="Arial" w:eastAsia="Arial" w:hAnsi="Arial"/>
          <w:sz w:val="19"/>
          <w:szCs w:val="19"/>
          <w:color w:val="auto"/>
        </w:rPr>
        <w:t xml:space="preserve">any payments made under or with respect to the Notes, the Issuer will pay such additional amounts (or the </w:t>
      </w:r>
      <w:r>
        <w:rPr>
          <w:rFonts w:ascii="Arial" w:cs="Arial" w:eastAsia="Arial" w:hAnsi="Arial"/>
          <w:sz w:val="19"/>
          <w:szCs w:val="19"/>
          <w:i w:val="1"/>
          <w:iCs w:val="1"/>
          <w:color w:val="auto"/>
        </w:rPr>
        <w:t>Additional Amounts</w:t>
      </w:r>
      <w:r>
        <w:rPr>
          <w:rFonts w:ascii="Arial" w:cs="Arial" w:eastAsia="Arial" w:hAnsi="Arial"/>
          <w:sz w:val="19"/>
          <w:szCs w:val="19"/>
          <w:color w:val="auto"/>
        </w:rPr>
        <w:t>) as may be necessary so that the net amount received in respect of such payments by a holder (including Additional Amounts) after such withholding or deduction will not be less than the amount such holder would have received if such Taxes had not been withheld or deducted; provided, however, that the foregoing obligation to pay Additional Amounts does not apply to:</w:t>
      </w:r>
    </w:p>
    <w:p>
      <w:pPr>
        <w:spacing w:after="0" w:line="59" w:lineRule="exact"/>
        <w:rPr>
          <w:sz w:val="20"/>
          <w:szCs w:val="20"/>
          <w:color w:val="auto"/>
        </w:rPr>
      </w:pPr>
    </w:p>
    <w:p>
      <w:pPr>
        <w:ind w:left="780" w:right="60" w:hanging="323"/>
        <w:spacing w:after="0" w:line="273"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that would not have been so imposed but for the holder or beneficial owner of the Notes having any present or former connection with the Specified Tax Jurisdiction, including any such connection arising as a result of such holder or beneficial owner (i) being organized under the laws of, or otherwise being or having been a citizen or resident of a Specified Tax Jurisdiction, (ii) or being or having been engaged in a trade or business in a Specified Tax Jurisdiction, (iii) having or having had its principal office located therein, (iv) maintaining a permanent establishment in a Specified Tax Jurisdiction, or (v) being or having been physically present in a Specified Tax Jurisdiction (other than, in each ease, any present or former connection arising as a result of the mere acquisition, ownership, holding, enforcement or receipt of payment in respect of the Notes);</w:t>
      </w:r>
    </w:p>
    <w:p>
      <w:pPr>
        <w:spacing w:after="0" w:line="53" w:lineRule="exact"/>
        <w:rPr>
          <w:rFonts w:ascii="Arial" w:cs="Arial" w:eastAsia="Arial" w:hAnsi="Arial"/>
          <w:sz w:val="18"/>
          <w:szCs w:val="18"/>
          <w:color w:val="auto"/>
        </w:rPr>
      </w:pPr>
    </w:p>
    <w:p>
      <w:pPr>
        <w:ind w:left="780" w:hanging="323"/>
        <w:spacing w:after="0"/>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estate, inheritance, gift, sales, excise, transfer, personal property tax or similar tax, assessment or governmental charge;</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payable other than by deduction or withholding from payments under, or with respect to, the Notes;</w:t>
      </w:r>
    </w:p>
    <w:p>
      <w:pPr>
        <w:spacing w:after="0" w:line="105" w:lineRule="exact"/>
        <w:rPr>
          <w:rFonts w:ascii="Arial" w:cs="Arial" w:eastAsia="Arial" w:hAnsi="Arial"/>
          <w:sz w:val="19"/>
          <w:szCs w:val="19"/>
          <w:color w:val="auto"/>
        </w:rPr>
      </w:pPr>
    </w:p>
    <w:p>
      <w:pPr>
        <w:ind w:left="780" w:right="140" w:hanging="323"/>
        <w:spacing w:after="0" w:line="277"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imposed as a result of the failure of the holder or beneficial owner of the Notes to complete, execute and deliver to the Issuer any form or document to the extent applicable to such holder or beneficial owner that may be required by law or by reason of administration of such law and which is reasonably requested in writing to be delivered to the Issuer in order to enable the Issuer to make payments on the Notes without deduction or withholding for Taxes, or with deduction or withholding of a lesser amount, which form or document will be delivered within 60 days of a written request therefor by the Issuer;</w:t>
      </w:r>
    </w:p>
    <w:p>
      <w:pPr>
        <w:spacing w:after="0" w:line="48" w:lineRule="exact"/>
        <w:rPr>
          <w:rFonts w:ascii="Arial" w:cs="Arial" w:eastAsia="Arial" w:hAnsi="Arial"/>
          <w:sz w:val="18"/>
          <w:szCs w:val="18"/>
          <w:color w:val="auto"/>
        </w:rPr>
      </w:pPr>
    </w:p>
    <w:p>
      <w:pPr>
        <w:ind w:left="780" w:hanging="323"/>
        <w:spacing w:after="0" w:line="262"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that would not have been so imposed but for the beneficiary of the payment having presented a note for payment (in cases in which presentation is required) more than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58" w:lineRule="exact"/>
        <w:rPr>
          <w:rFonts w:ascii="Arial" w:cs="Arial" w:eastAsia="Arial" w:hAnsi="Arial"/>
          <w:sz w:val="19"/>
          <w:szCs w:val="19"/>
          <w:color w:val="auto"/>
        </w:rPr>
      </w:pPr>
    </w:p>
    <w:p>
      <w:pPr>
        <w:ind w:left="780" w:right="140" w:hanging="323"/>
        <w:spacing w:after="0" w:line="262"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imposed on or with respect to any payment by the Issuer to the holder if such holder is a fiduciary or partnership or person other than the sole beneficial owner of such payment, to the extent that a beneficiary or settlor with respect to such fiduciary, a member of such partnership or the beneficial owner of such payment would not have been entitled to Additional Amounts had such beneficiary, settlor, member or beneficial owner been the actual holder of such note;</w:t>
      </w:r>
    </w:p>
    <w:p>
      <w:pPr>
        <w:spacing w:after="0" w:line="58" w:lineRule="exact"/>
        <w:rPr>
          <w:rFonts w:ascii="Arial" w:cs="Arial" w:eastAsia="Arial" w:hAnsi="Arial"/>
          <w:sz w:val="19"/>
          <w:szCs w:val="19"/>
          <w:color w:val="auto"/>
        </w:rPr>
      </w:pPr>
    </w:p>
    <w:p>
      <w:pPr>
        <w:ind w:left="780" w:right="340" w:hanging="323"/>
        <w:spacing w:after="0" w:line="283"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that are required to be deducted or withheld on a payment pursuant to European Council Directive 2003/48/EC or any law implementing, or introduced in order to conform to, such directive;</w:t>
      </w:r>
    </w:p>
    <w:p>
      <w:pPr>
        <w:spacing w:after="0" w:line="38" w:lineRule="exact"/>
        <w:rPr>
          <w:rFonts w:ascii="Arial" w:cs="Arial" w:eastAsia="Arial" w:hAnsi="Arial"/>
          <w:sz w:val="19"/>
          <w:szCs w:val="19"/>
          <w:color w:val="auto"/>
        </w:rPr>
      </w:pPr>
    </w:p>
    <w:p>
      <w:pPr>
        <w:ind w:left="780" w:right="60" w:hanging="323"/>
        <w:spacing w:after="0" w:line="259"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any Taxes that are imposed or withheld pursuant to Sections 1471 through 1474 of the United States Internal Revenue Code (or the </w:t>
      </w:r>
      <w:r>
        <w:rPr>
          <w:rFonts w:ascii="Arial" w:cs="Arial" w:eastAsia="Arial" w:hAnsi="Arial"/>
          <w:sz w:val="19"/>
          <w:szCs w:val="19"/>
          <w:i w:val="1"/>
          <w:iCs w:val="1"/>
          <w:color w:val="auto"/>
        </w:rPr>
        <w:t>Code</w:t>
      </w:r>
      <w:r>
        <w:rPr>
          <w:rFonts w:ascii="Arial" w:cs="Arial" w:eastAsia="Arial" w:hAnsi="Arial"/>
          <w:sz w:val="19"/>
          <w:szCs w:val="19"/>
          <w:color w:val="auto"/>
        </w:rPr>
        <w:t>), as of the Issue Date (or any amended or successor version of such sections), any regulations promulgated thereunder, any official</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63" w:lineRule="exact"/>
        <w:rPr>
          <w:rFonts w:ascii="Arial" w:cs="Arial" w:eastAsia="Arial" w:hAnsi="Arial"/>
          <w:sz w:val="19"/>
          <w:szCs w:val="19"/>
          <w:color w:val="auto"/>
        </w:rPr>
      </w:pPr>
    </w:p>
    <w:p>
      <w:pPr>
        <w:ind w:left="780" w:hanging="323"/>
        <w:spacing w:after="0"/>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combination of items (1) through (8) above.</w:t>
      </w:r>
    </w:p>
    <w:p>
      <w:pPr>
        <w:spacing w:after="0" w:line="119"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If the Issuer becomes aware that it will be obligated to pay Additional Amounts with respect to any payment under or with respect to the Notes, the Issuer will deliver to the Trustee and paying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2" w:name="page33"/>
    <w:bookmarkEnd w:id="32"/>
    <w:p>
      <w:pPr>
        <w:ind w:right="220"/>
        <w:spacing w:after="0" w:line="257" w:lineRule="auto"/>
        <w:rPr>
          <w:sz w:val="20"/>
          <w:szCs w:val="20"/>
          <w:color w:val="auto"/>
        </w:rPr>
      </w:pPr>
      <w:r>
        <w:rPr>
          <w:rFonts w:ascii="Arial" w:cs="Arial" w:eastAsia="Arial" w:hAnsi="Arial"/>
          <w:sz w:val="19"/>
          <w:szCs w:val="19"/>
          <w:color w:val="auto"/>
        </w:rPr>
        <w:t>agent at least 30 days prior to the date of that payment (unless the obligation to pay Additional Amounts arises after the 30th day prior to that payment date, in which case the Issuer will notify the Trustee and paying agent promptly thereafter but in no event later than two business days prior to the date of payment) an Officer’s Certificate stating the fact that Additional Amounts will be payable and the amount so payable. The Officer’s Certificate must also set forth any other information necessary to enable the paying agent to pay Additional Amounts to holders on the relevant payment date. The Trustee and paying agent will be entitled to rely solely on such Officer’s Certificate as conclusive proof that such payments are necessary. The Issuer will provide the Trustee and paying agent with documentation satisfactory to the Trustee and paying agent evidencing the payment of Additional Amounts.</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Issuer will make all withholdings and deductions required by law and will remit the full amount deducted or withheld to the relevant governmental authority on a timely basis in accordance with applicable law. As soon as practicable, the Issuer will provide the Trustee and paying agent with an official receipt or, if official receipts are not obtainable, other documentation satisfactory to the Trustee and paying agent evidencing the payment of the Taxes so withheld or deducted. Upon request, copies of those receipts or other documentation, as the case may be, will be made available by the Trustee and paying agent to the holders of the Notes.</w:t>
      </w:r>
    </w:p>
    <w:p>
      <w:pPr>
        <w:spacing w:after="0" w:line="77"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Whenever in the Indenture there is referenced, in any context, the payment of amounts based upon the principal amount of the Notes or of principal, interest or any other amount payable under, or with respect to, the Notes, such reference will be deemed to include payment of Additional Amounts as described under this heading to the extent that, in such context, Additional Amounts are, were or would be payable in respect thereof.</w:t>
      </w:r>
    </w:p>
    <w:p>
      <w:pPr>
        <w:spacing w:after="0" w:line="7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 xml:space="preserve">The Issuer will pay any present or future stamp, court, issue, registration, value added, court or documentary taxes or any other excise or property taxes, charges or similar levies that arise in any Specified Tax Jurisdiction from the execution, delivery, enforcement or registration of the Notes, the Indenture or any other document or instrument in relation thereof, or the receipt of any payments with respect to the Notes, other than, for the avoidance of doubt, any Transfer Taxes, as defined below in “—Transfer and Exchange” (each such tax, a </w:t>
      </w:r>
      <w:r>
        <w:rPr>
          <w:rFonts w:ascii="Arial" w:cs="Arial" w:eastAsia="Arial" w:hAnsi="Arial"/>
          <w:sz w:val="19"/>
          <w:szCs w:val="19"/>
          <w:i w:val="1"/>
          <w:iCs w:val="1"/>
          <w:color w:val="auto"/>
        </w:rPr>
        <w:t>Note Issuance Tax</w:t>
      </w:r>
      <w:r>
        <w:rPr>
          <w:rFonts w:ascii="Arial" w:cs="Arial" w:eastAsia="Arial" w:hAnsi="Arial"/>
          <w:sz w:val="19"/>
          <w:szCs w:val="19"/>
          <w:color w:val="auto"/>
        </w:rPr>
        <w:t>), and the Issuer will indemnify the holders for any such Note Issuance Taxes paid by such holders.</w:t>
      </w:r>
    </w:p>
    <w:p>
      <w:pPr>
        <w:spacing w:after="0" w:line="77"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obligations described under this heading will survive any termination, defeasance or discharge of the Indenture and will apply mutatis mutandis to any jurisdiction in which any successor person to the Issuer is organized or any political subdivision or authority or agency thereof or therein.</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Optional Redemption for Changes in Withholding Taxes</w:t>
      </w:r>
    </w:p>
    <w:p>
      <w:pPr>
        <w:spacing w:after="0" w:line="125"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The Issuer may redeem the Notes, at its option, at any time in whole but not in part, upon not less than 30 nor more than 60 days’ notice (which notice will be irrevocable) by the Issuer, at a redemption price equal to 100% of the outstanding principal amount of Notes, plus accrued and unpaid interest (if any) to, but excluding, the applicable redemption date and all Additional Amounts (if any) then due and which will become due on the applicable redemption date (subject to the right of holders of record on the relevant record date to receive interest due on the relevant interest payment date and Additional Amounts (if any) in respect thereof), in the event that the Issuer determines in good faith that the Issuer has become or would become obligated to pay, on the next date on which any amount would be payable with respect to the Notes, Additional Amounts and such obligation cannot be avoided by taking reasonable measures available to the Issuer (including making payment through a paying agent located in another jurisdiction), as a result of:</w:t>
      </w:r>
    </w:p>
    <w:p>
      <w:pPr>
        <w:spacing w:after="0" w:line="67" w:lineRule="exact"/>
        <w:rPr>
          <w:sz w:val="20"/>
          <w:szCs w:val="20"/>
          <w:color w:val="auto"/>
        </w:rPr>
      </w:pPr>
    </w:p>
    <w:p>
      <w:pPr>
        <w:ind w:left="780" w:hanging="323"/>
        <w:spacing w:after="0" w:line="339"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change in or an amendment to the laws (including any regulations or rulings promulgated thereunder) of any Specified Tax Jurisdiction affecting taxation, which change or amendment is announced and becomes effective on or after the date of the Indenture; or</w:t>
      </w:r>
    </w:p>
    <w:p>
      <w:pPr>
        <w:spacing w:after="0" w:line="1" w:lineRule="exact"/>
        <w:rPr>
          <w:rFonts w:ascii="Arial" w:cs="Arial" w:eastAsia="Arial" w:hAnsi="Arial"/>
          <w:sz w:val="17"/>
          <w:szCs w:val="17"/>
          <w:color w:val="auto"/>
        </w:rPr>
      </w:pPr>
    </w:p>
    <w:p>
      <w:pPr>
        <w:ind w:left="780" w:right="320" w:hanging="323"/>
        <w:spacing w:after="0" w:line="283" w:lineRule="auto"/>
        <w:tabs>
          <w:tab w:leader="none" w:pos="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change in or amendment to any official position of a taxing authority in any Specified Tax Jurisdiction regarding the application, administration or interpretation of such laws,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3" w:name="page34"/>
    <w:bookmarkEnd w:id="33"/>
    <w:p>
      <w:pPr>
        <w:ind w:left="780" w:right="440"/>
        <w:spacing w:after="0" w:line="283" w:lineRule="auto"/>
        <w:rPr>
          <w:sz w:val="20"/>
          <w:szCs w:val="20"/>
          <w:color w:val="auto"/>
        </w:rPr>
      </w:pPr>
      <w:r>
        <w:rPr>
          <w:rFonts w:ascii="Arial" w:cs="Arial" w:eastAsia="Arial" w:hAnsi="Arial"/>
          <w:sz w:val="19"/>
          <w:szCs w:val="19"/>
          <w:color w:val="auto"/>
        </w:rPr>
        <w:t>regulations or rulings (including a holding, judgment or order by a court of competent jurisdiction), which change or amendment is announced and becomes effective on or after the date of the Indenture.</w:t>
      </w:r>
    </w:p>
    <w:p>
      <w:pPr>
        <w:spacing w:after="0" w:line="52"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Notwithstanding the foregoing, no such notice of redemption may be given earlier than 60 days prior to the earliest date on which the Issuer would be obligated to pay Additional Amounts if a payment in respect of the Notes were then due. Before the Issuer publishes, mails or delivers notice of redemption of the Notes as described above, the Issuer will deliver to the Trustee and paying agent (a) an Officer’s Certificate stating that the Issuer is entitled to effect such redemption and setting forth a statement of facts showing that the conditions precedent to the right of the Issuer to so redeem have occurred and (b) an opinion of independent legal counsel of recognized standing satisfactory to the Trustee and paying agent that the Issuer has or will become obligated to pay Additional Amounts as a result of the circumstances referred to in clause (1) or (2) of the preceding paragraph.</w:t>
      </w:r>
    </w:p>
    <w:p>
      <w:pPr>
        <w:spacing w:after="0" w:line="77" w:lineRule="exact"/>
        <w:rPr>
          <w:sz w:val="20"/>
          <w:szCs w:val="20"/>
          <w:color w:val="auto"/>
        </w:rPr>
      </w:pPr>
    </w:p>
    <w:p>
      <w:pPr>
        <w:jc w:val="both"/>
        <w:ind w:right="540" w:firstLine="357"/>
        <w:spacing w:after="0" w:line="267" w:lineRule="auto"/>
        <w:rPr>
          <w:sz w:val="20"/>
          <w:szCs w:val="20"/>
          <w:color w:val="auto"/>
        </w:rPr>
      </w:pPr>
      <w:r>
        <w:rPr>
          <w:rFonts w:ascii="Arial" w:cs="Arial" w:eastAsia="Arial" w:hAnsi="Arial"/>
          <w:sz w:val="19"/>
          <w:szCs w:val="19"/>
          <w:color w:val="auto"/>
        </w:rPr>
        <w:t>The Trustee and paying agent will accept and will be entitled to conclusively rely upon the Officer’s Certificate and opinion of counsel sufficient evidence of the satisfaction of the conditions precedent described above, in which case they will be conclusive and binding on the holders.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Optional Redemption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 may redeem the Notes, in whole or in part, at any time and from time to time at a redemption price equal to the greater of:</w:t>
      </w:r>
    </w:p>
    <w:p>
      <w:pPr>
        <w:spacing w:after="0" w:line="117" w:lineRule="exact"/>
        <w:rPr>
          <w:sz w:val="20"/>
          <w:szCs w:val="20"/>
          <w:color w:val="auto"/>
        </w:rPr>
      </w:pPr>
    </w:p>
    <w:p>
      <w:pPr>
        <w:ind w:left="620" w:hanging="255"/>
        <w:spacing w:after="0"/>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100% of the principal amount of such Notes to be redeemed and</w:t>
      </w:r>
    </w:p>
    <w:p>
      <w:pPr>
        <w:spacing w:after="0" w:line="119" w:lineRule="exact"/>
        <w:rPr>
          <w:rFonts w:ascii="Arial" w:cs="Arial" w:eastAsia="Arial" w:hAnsi="Arial"/>
          <w:sz w:val="19"/>
          <w:szCs w:val="19"/>
          <w:color w:val="auto"/>
        </w:rPr>
      </w:pPr>
    </w:p>
    <w:p>
      <w:pPr>
        <w:ind w:right="220" w:firstLine="365"/>
        <w:spacing w:after="0" w:line="283" w:lineRule="auto"/>
        <w:tabs>
          <w:tab w:leader="none" w:pos="632"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sum of the present values of the remaining scheduled payments of principal and interest thereon (exclusive of interest accrued to but excluding the date of redemption), computed using a discount rate equal to the Treasury Rate plus 50 basis points</w:t>
      </w:r>
    </w:p>
    <w:p>
      <w:pPr>
        <w:spacing w:after="0" w:line="52"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i w:val="1"/>
          <w:iCs w:val="1"/>
          <w:color w:val="auto"/>
        </w:rPr>
        <w:t xml:space="preserve">plus </w:t>
      </w:r>
      <w:r>
        <w:rPr>
          <w:rFonts w:ascii="Arial" w:cs="Arial" w:eastAsia="Arial" w:hAnsi="Arial"/>
          <w:sz w:val="19"/>
          <w:szCs w:val="19"/>
          <w:color w:val="auto"/>
        </w:rPr>
        <w:t>accrued and unpaid interest, if any, to but excluding the redemption date (subject to the rights of holders of record on the relevant record</w:t>
      </w:r>
      <w:r>
        <w:rPr>
          <w:rFonts w:ascii="Arial" w:cs="Arial" w:eastAsia="Arial" w:hAnsi="Arial"/>
          <w:sz w:val="19"/>
          <w:szCs w:val="19"/>
          <w:i w:val="1"/>
          <w:iCs w:val="1"/>
          <w:color w:val="auto"/>
        </w:rPr>
        <w:t xml:space="preserve"> </w:t>
      </w:r>
      <w:r>
        <w:rPr>
          <w:rFonts w:ascii="Arial" w:cs="Arial" w:eastAsia="Arial" w:hAnsi="Arial"/>
          <w:sz w:val="19"/>
          <w:szCs w:val="19"/>
          <w:color w:val="auto"/>
        </w:rPr>
        <w:t>date to receive interest due on the relevant interest payment date).</w:t>
      </w:r>
    </w:p>
    <w:p>
      <w:pPr>
        <w:spacing w:after="0" w:line="52"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Any notice to holders of Notes of such a redemption needs to include the appropriate calculation (such calculation to be made by the Issuer) of the redemption price, but does not need to include the redemption price itself. The actual redemption price, calculated as described above, must be set forth in an Officers’ Certificate delivered to the Trustee no later than two business days prior to the redemption date.</w:t>
      </w:r>
    </w:p>
    <w:p>
      <w:pPr>
        <w:spacing w:after="0" w:line="49"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Unless the Issuer defaults in the payment of the redemption price, interest will cease to accrue on the Notes or portions thereof called for redemption on the applicable redemption date.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used above,</w:t>
      </w:r>
    </w:p>
    <w:p>
      <w:pPr>
        <w:spacing w:after="0" w:line="119" w:lineRule="exact"/>
        <w:rPr>
          <w:sz w:val="20"/>
          <w:szCs w:val="20"/>
          <w:color w:val="auto"/>
        </w:rPr>
      </w:pPr>
    </w:p>
    <w:p>
      <w:pPr>
        <w:jc w:val="both"/>
        <w:ind w:right="60" w:firstLine="357"/>
        <w:spacing w:after="0" w:line="267" w:lineRule="auto"/>
        <w:rPr>
          <w:sz w:val="20"/>
          <w:szCs w:val="20"/>
          <w:color w:val="auto"/>
        </w:rPr>
      </w:pPr>
      <w:r>
        <w:rPr>
          <w:rFonts w:ascii="Arial" w:cs="Arial" w:eastAsia="Arial" w:hAnsi="Arial"/>
          <w:sz w:val="19"/>
          <w:szCs w:val="19"/>
          <w:i w:val="1"/>
          <w:iCs w:val="1"/>
          <w:color w:val="auto"/>
        </w:rPr>
        <w:t xml:space="preserve">“Comparable Treasury Issue” </w:t>
      </w:r>
      <w:r>
        <w:rPr>
          <w:rFonts w:ascii="Arial" w:cs="Arial" w:eastAsia="Arial" w:hAnsi="Arial"/>
          <w:sz w:val="19"/>
          <w:szCs w:val="19"/>
          <w:color w:val="auto"/>
        </w:rPr>
        <w:t>means the United States Treasury security selected by an Independent Investment Banker as having a maturity</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to March 22, 2022 that would be utilized, at the time of selection and in accordance with customary financial practice, in pricing new issues of corporate debt securities of comparable maturity.</w:t>
      </w:r>
    </w:p>
    <w:p>
      <w:pPr>
        <w:spacing w:after="0" w:line="68" w:lineRule="exact"/>
        <w:rPr>
          <w:sz w:val="20"/>
          <w:szCs w:val="20"/>
          <w:color w:val="auto"/>
        </w:rPr>
      </w:pPr>
    </w:p>
    <w:p>
      <w:pPr>
        <w:ind w:right="180" w:firstLine="357"/>
        <w:spacing w:after="0" w:line="294" w:lineRule="auto"/>
        <w:rPr>
          <w:sz w:val="20"/>
          <w:szCs w:val="20"/>
          <w:color w:val="auto"/>
        </w:rPr>
      </w:pPr>
      <w:r>
        <w:rPr>
          <w:rFonts w:ascii="Arial" w:cs="Arial" w:eastAsia="Arial" w:hAnsi="Arial"/>
          <w:sz w:val="17"/>
          <w:szCs w:val="17"/>
          <w:i w:val="1"/>
          <w:iCs w:val="1"/>
          <w:color w:val="auto"/>
        </w:rPr>
        <w:t xml:space="preserve">“Comparable Treasury Price” </w:t>
      </w:r>
      <w:r>
        <w:rPr>
          <w:rFonts w:ascii="Arial" w:cs="Arial" w:eastAsia="Arial" w:hAnsi="Arial"/>
          <w:sz w:val="17"/>
          <w:szCs w:val="17"/>
          <w:color w:val="auto"/>
        </w:rPr>
        <w:t>means, with respect to any redemption date (a) the average of the bid and asked prices for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Issue (expressed in each case as a percentage of its principal amount) on the third business day preceding such redemption date, as set forth in the most recently published statistical release designated “H.15(519)” (or any successor release) published by the Board of Governors of the Federal Reserve System and which establishes yields on actively traded United States treasury securities adjusted to constant maturity under the caption “Treasury Constant Maturities,” or (b) if such release (or any successor release) is not published and does not contain such prices on such business day, the average of the Reference Treasury Dealer Quotations for such redemption date.</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“Independent Investment Banker” </w:t>
      </w:r>
      <w:r>
        <w:rPr>
          <w:rFonts w:ascii="Arial" w:cs="Arial" w:eastAsia="Arial" w:hAnsi="Arial"/>
          <w:sz w:val="19"/>
          <w:szCs w:val="19"/>
          <w:color w:val="auto"/>
        </w:rPr>
        <w:t>means one of the Reference Treasury Dealers appointed by the Issuer.</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34" w:name="page35"/>
    <w:bookmarkEnd w:id="34"/>
    <w:p>
      <w:pPr>
        <w:ind w:right="160" w:firstLine="357"/>
        <w:spacing w:after="0" w:line="283" w:lineRule="auto"/>
        <w:rPr>
          <w:sz w:val="20"/>
          <w:szCs w:val="20"/>
          <w:color w:val="auto"/>
        </w:rPr>
      </w:pPr>
      <w:r>
        <w:rPr>
          <w:rFonts w:ascii="Arial" w:cs="Arial" w:eastAsia="Arial" w:hAnsi="Arial"/>
          <w:sz w:val="19"/>
          <w:szCs w:val="19"/>
          <w:i w:val="1"/>
          <w:iCs w:val="1"/>
          <w:color w:val="auto"/>
        </w:rPr>
        <w:t xml:space="preserve">“Reference Treasury Dealer” </w:t>
      </w:r>
      <w:r>
        <w:rPr>
          <w:rFonts w:ascii="Arial" w:cs="Arial" w:eastAsia="Arial" w:hAnsi="Arial"/>
          <w:sz w:val="19"/>
          <w:szCs w:val="19"/>
          <w:color w:val="auto"/>
        </w:rPr>
        <w:t>means each of four nationally recognized investment banking firms selected by the Company that are primary</w:t>
      </w:r>
      <w:r>
        <w:rPr>
          <w:rFonts w:ascii="Arial" w:cs="Arial" w:eastAsia="Arial" w:hAnsi="Arial"/>
          <w:sz w:val="19"/>
          <w:szCs w:val="19"/>
          <w:i w:val="1"/>
          <w:iCs w:val="1"/>
          <w:color w:val="auto"/>
        </w:rPr>
        <w:t xml:space="preserve"> </w:t>
      </w:r>
      <w:r>
        <w:rPr>
          <w:rFonts w:ascii="Arial" w:cs="Arial" w:eastAsia="Arial" w:hAnsi="Arial"/>
          <w:sz w:val="19"/>
          <w:szCs w:val="19"/>
          <w:color w:val="auto"/>
        </w:rPr>
        <w:t>U.S. Government security dealers in New York City.</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i w:val="1"/>
          <w:iCs w:val="1"/>
          <w:color w:val="auto"/>
        </w:rPr>
        <w:t xml:space="preserve">“Reference Treasury Dealer Quotations” </w:t>
      </w:r>
      <w:r>
        <w:rPr>
          <w:rFonts w:ascii="Arial" w:cs="Arial" w:eastAsia="Arial" w:hAnsi="Arial"/>
          <w:sz w:val="19"/>
          <w:szCs w:val="19"/>
          <w:color w:val="auto"/>
        </w:rPr>
        <w:t>means, with respect to each Reference Treasury Dealer and any redemption date, the average, as</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by the Independent Investment Banker, of the bid and asked prices for the Comparable Treasury Issue (expressed in each case as a percentage of its principal amount) quoted in writing to the Independent Investment Banker by such Reference Treasury Dealer at 5:00 p.m. on the third business day preceding such redemption date.</w:t>
      </w:r>
    </w:p>
    <w:p>
      <w:pPr>
        <w:spacing w:after="0" w:line="72"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i w:val="1"/>
          <w:iCs w:val="1"/>
          <w:color w:val="auto"/>
        </w:rPr>
        <w:t xml:space="preserve">“Treasury Rate” </w:t>
      </w:r>
      <w:r>
        <w:rPr>
          <w:rFonts w:ascii="Arial" w:cs="Arial" w:eastAsia="Arial" w:hAnsi="Arial"/>
          <w:sz w:val="19"/>
          <w:szCs w:val="19"/>
          <w:color w:val="auto"/>
        </w:rPr>
        <w:t>means, with respect to any redemption date, the rate per annum equal to the yield to maturity of the Comparable Treasury</w:t>
      </w:r>
      <w:r>
        <w:rPr>
          <w:rFonts w:ascii="Arial" w:cs="Arial" w:eastAsia="Arial" w:hAnsi="Arial"/>
          <w:sz w:val="19"/>
          <w:szCs w:val="19"/>
          <w:i w:val="1"/>
          <w:iCs w:val="1"/>
          <w:color w:val="auto"/>
        </w:rPr>
        <w:t xml:space="preserve"> </w:t>
      </w:r>
      <w:r>
        <w:rPr>
          <w:rFonts w:ascii="Arial" w:cs="Arial" w:eastAsia="Arial" w:hAnsi="Arial"/>
          <w:sz w:val="19"/>
          <w:szCs w:val="19"/>
          <w:color w:val="auto"/>
        </w:rPr>
        <w:t>Issue, compounded quarterly, assuming a price for such Comparable Treasury Issue (expressed as a percentage of its principal amount) equal to the Comparable Treasury Price for such redemption date.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Covenants</w:t>
      </w:r>
    </w:p>
    <w:p>
      <w:pPr>
        <w:spacing w:after="0" w:line="112"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The Indenture includes the following restrictive covenants. Certain defined terms relevant to the covenants are set forth under “—Certain Definitions and Interpretations” below.</w:t>
      </w:r>
    </w:p>
    <w:p>
      <w:pPr>
        <w:spacing w:after="0" w:line="38" w:lineRule="exact"/>
        <w:rPr>
          <w:sz w:val="20"/>
          <w:szCs w:val="20"/>
          <w:color w:val="auto"/>
        </w:rPr>
      </w:pPr>
    </w:p>
    <w:p>
      <w:pPr>
        <w:ind w:left="780" w:right="140" w:hanging="323"/>
        <w:spacing w:after="0" w:line="262"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Pari passu ranking. </w:t>
      </w:r>
      <w:r>
        <w:rPr>
          <w:rFonts w:ascii="Arial" w:cs="Arial" w:eastAsia="Arial" w:hAnsi="Arial"/>
          <w:sz w:val="19"/>
          <w:szCs w:val="19"/>
          <w:color w:val="auto"/>
        </w:rPr>
        <w:t>The Issuer’s payment obligations under the Notes shall at all times rank at least pari passu with the claims of all its</w:t>
      </w:r>
      <w:r>
        <w:rPr>
          <w:rFonts w:ascii="Arial" w:cs="Arial" w:eastAsia="Arial" w:hAnsi="Arial"/>
          <w:sz w:val="19"/>
          <w:szCs w:val="19"/>
          <w:i w:val="1"/>
          <w:iCs w:val="1"/>
          <w:color w:val="auto"/>
        </w:rPr>
        <w:t xml:space="preserve"> </w:t>
      </w:r>
      <w:r>
        <w:rPr>
          <w:rFonts w:ascii="Arial" w:cs="Arial" w:eastAsia="Arial" w:hAnsi="Arial"/>
          <w:sz w:val="19"/>
          <w:szCs w:val="19"/>
          <w:color w:val="auto"/>
        </w:rPr>
        <w:t>other unsecured and unsubordinated creditors save for those whose claims that are preferred solely by any bankruptcy, insolvency, liquidation or other similar laws of general application and for other obligations that are mandatorily preferred by law applying to companies generally. The Notes shall rank ahead of any current or future subordinated debt.</w:t>
      </w:r>
    </w:p>
    <w:p>
      <w:pPr>
        <w:spacing w:after="0" w:line="58" w:lineRule="exact"/>
        <w:rPr>
          <w:rFonts w:ascii="Arial" w:cs="Arial" w:eastAsia="Arial" w:hAnsi="Arial"/>
          <w:sz w:val="19"/>
          <w:szCs w:val="19"/>
          <w:color w:val="auto"/>
        </w:rPr>
      </w:pPr>
    </w:p>
    <w:p>
      <w:pPr>
        <w:ind w:left="780" w:right="60" w:hanging="323"/>
        <w:spacing w:after="0" w:line="313"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Mergers. </w:t>
      </w:r>
      <w:r>
        <w:rPr>
          <w:rFonts w:ascii="Arial" w:cs="Arial" w:eastAsia="Arial" w:hAnsi="Arial"/>
          <w:sz w:val="17"/>
          <w:szCs w:val="17"/>
          <w:color w:val="auto"/>
        </w:rPr>
        <w:t>The Issuer shall not, and shall ensure that no Group Company shall, carry out any merger or other business combination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reorganization involving consolidating the assets and obligations of any of the Group Companies with any other companies or entities not being a member of the Group if such transaction would reasonably be expected to have a Material Adverse Effect.</w:t>
      </w:r>
    </w:p>
    <w:p>
      <w:pPr>
        <w:spacing w:after="0" w:line="18" w:lineRule="exact"/>
        <w:rPr>
          <w:rFonts w:ascii="Arial" w:cs="Arial" w:eastAsia="Arial" w:hAnsi="Arial"/>
          <w:sz w:val="17"/>
          <w:szCs w:val="17"/>
          <w:color w:val="auto"/>
        </w:rPr>
      </w:pPr>
    </w:p>
    <w:p>
      <w:pPr>
        <w:ind w:left="780" w:right="580" w:hanging="323"/>
        <w:spacing w:after="0" w:line="267"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De-mergers. </w:t>
      </w:r>
      <w:r>
        <w:rPr>
          <w:rFonts w:ascii="Arial" w:cs="Arial" w:eastAsia="Arial" w:hAnsi="Arial"/>
          <w:sz w:val="19"/>
          <w:szCs w:val="19"/>
          <w:color w:val="auto"/>
        </w:rPr>
        <w:t>The Issuer shall not, and shall ensure that no Group Company shall, carry out any de-merger or other corporate</w:t>
      </w:r>
      <w:r>
        <w:rPr>
          <w:rFonts w:ascii="Arial" w:cs="Arial" w:eastAsia="Arial" w:hAnsi="Arial"/>
          <w:sz w:val="19"/>
          <w:szCs w:val="19"/>
          <w:i w:val="1"/>
          <w:iCs w:val="1"/>
          <w:color w:val="auto"/>
        </w:rPr>
        <w:t xml:space="preserve"> </w:t>
      </w:r>
      <w:r>
        <w:rPr>
          <w:rFonts w:ascii="Arial" w:cs="Arial" w:eastAsia="Arial" w:hAnsi="Arial"/>
          <w:sz w:val="19"/>
          <w:szCs w:val="19"/>
          <w:color w:val="auto"/>
        </w:rPr>
        <w:t>reorganization involving splitting any Group Company into two or more separate companies or entities, if such transaction would reasonably be expected to have a Material Adverse Effect.</w:t>
      </w:r>
    </w:p>
    <w:p>
      <w:pPr>
        <w:spacing w:after="0" w:line="54" w:lineRule="exact"/>
        <w:rPr>
          <w:rFonts w:ascii="Arial" w:cs="Arial" w:eastAsia="Arial" w:hAnsi="Arial"/>
          <w:sz w:val="19"/>
          <w:szCs w:val="19"/>
          <w:color w:val="auto"/>
        </w:rPr>
      </w:pPr>
    </w:p>
    <w:p>
      <w:pPr>
        <w:ind w:left="780" w:right="80" w:hanging="323"/>
        <w:spacing w:after="0" w:line="262"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Continuation of business. </w:t>
      </w:r>
      <w:r>
        <w:rPr>
          <w:rFonts w:ascii="Arial" w:cs="Arial" w:eastAsia="Arial" w:hAnsi="Arial"/>
          <w:sz w:val="19"/>
          <w:szCs w:val="19"/>
          <w:color w:val="auto"/>
        </w:rPr>
        <w:t>The Issuer shall procure that no material change is made to the general nature or scope of the business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Group from that carried on at the date of the Indenture, as described in this prospectus, and any business reasonably related, ancillary or complimentary thereto, including without limitation any business in the marine energy transportation or LNG storage, liquefaction or regassification sectors.</w:t>
      </w:r>
    </w:p>
    <w:p>
      <w:pPr>
        <w:spacing w:after="0" w:line="58" w:lineRule="exact"/>
        <w:rPr>
          <w:rFonts w:ascii="Arial" w:cs="Arial" w:eastAsia="Arial" w:hAnsi="Arial"/>
          <w:sz w:val="19"/>
          <w:szCs w:val="19"/>
          <w:color w:val="auto"/>
        </w:rPr>
      </w:pPr>
    </w:p>
    <w:p>
      <w:pPr>
        <w:ind w:left="780" w:right="40" w:hanging="323"/>
        <w:spacing w:after="0" w:line="283"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Disposal of business. </w:t>
      </w:r>
      <w:r>
        <w:rPr>
          <w:rFonts w:ascii="Arial" w:cs="Arial" w:eastAsia="Arial" w:hAnsi="Arial"/>
          <w:sz w:val="19"/>
          <w:szCs w:val="19"/>
          <w:color w:val="auto"/>
        </w:rPr>
        <w:t>The Issuer shall not, and shall ensure that no Group Company shall, sell or otherwise dispose of all or a substantial</w:t>
      </w:r>
      <w:r>
        <w:rPr>
          <w:rFonts w:ascii="Arial" w:cs="Arial" w:eastAsia="Arial" w:hAnsi="Arial"/>
          <w:sz w:val="19"/>
          <w:szCs w:val="19"/>
          <w:i w:val="1"/>
          <w:iCs w:val="1"/>
          <w:color w:val="auto"/>
        </w:rPr>
        <w:t xml:space="preserve"> </w:t>
      </w:r>
      <w:r>
        <w:rPr>
          <w:rFonts w:ascii="Arial" w:cs="Arial" w:eastAsia="Arial" w:hAnsi="Arial"/>
          <w:sz w:val="19"/>
          <w:szCs w:val="19"/>
          <w:color w:val="auto"/>
        </w:rPr>
        <w:t>part of the Group’s aggregate assets or operations, unless:</w:t>
      </w:r>
    </w:p>
    <w:p>
      <w:pPr>
        <w:spacing w:after="0" w:line="38" w:lineRule="exact"/>
        <w:rPr>
          <w:rFonts w:ascii="Arial" w:cs="Arial" w:eastAsia="Arial" w:hAnsi="Arial"/>
          <w:sz w:val="19"/>
          <w:szCs w:val="19"/>
          <w:color w:val="auto"/>
        </w:rPr>
      </w:pPr>
    </w:p>
    <w:p>
      <w:pPr>
        <w:ind w:left="1160" w:hanging="314"/>
        <w:spacing w:after="0"/>
        <w:tabs>
          <w:tab w:leader="none" w:pos="1160" w:val="left"/>
        </w:tabs>
        <w:numPr>
          <w:ilvl w:val="2"/>
          <w:numId w:val="21"/>
        </w:numPr>
        <w:rPr>
          <w:rFonts w:ascii="Arial" w:cs="Arial" w:eastAsia="Arial" w:hAnsi="Arial"/>
          <w:sz w:val="19"/>
          <w:szCs w:val="19"/>
          <w:color w:val="auto"/>
        </w:rPr>
      </w:pPr>
      <w:r>
        <w:rPr>
          <w:rFonts w:ascii="Arial" w:cs="Arial" w:eastAsia="Arial" w:hAnsi="Arial"/>
          <w:sz w:val="19"/>
          <w:szCs w:val="19"/>
          <w:color w:val="auto"/>
        </w:rPr>
        <w:t>the transaction is carried out at fair market value, as determined in good faith by the board of directors of the Issuer; and</w:t>
      </w:r>
    </w:p>
    <w:p>
      <w:pPr>
        <w:spacing w:after="0" w:line="105" w:lineRule="exact"/>
        <w:rPr>
          <w:rFonts w:ascii="Arial" w:cs="Arial" w:eastAsia="Arial" w:hAnsi="Arial"/>
          <w:sz w:val="19"/>
          <w:szCs w:val="19"/>
          <w:color w:val="auto"/>
        </w:rPr>
      </w:pPr>
    </w:p>
    <w:p>
      <w:pPr>
        <w:ind w:left="1160" w:hanging="325"/>
        <w:spacing w:after="0"/>
        <w:tabs>
          <w:tab w:leader="none" w:pos="1160" w:val="left"/>
        </w:tabs>
        <w:numPr>
          <w:ilvl w:val="2"/>
          <w:numId w:val="21"/>
        </w:numPr>
        <w:rPr>
          <w:rFonts w:ascii="Arial" w:cs="Arial" w:eastAsia="Arial" w:hAnsi="Arial"/>
          <w:sz w:val="19"/>
          <w:szCs w:val="19"/>
          <w:color w:val="auto"/>
        </w:rPr>
      </w:pPr>
      <w:r>
        <w:rPr>
          <w:rFonts w:ascii="Arial" w:cs="Arial" w:eastAsia="Arial" w:hAnsi="Arial"/>
          <w:sz w:val="19"/>
          <w:szCs w:val="19"/>
          <w:color w:val="auto"/>
        </w:rPr>
        <w:t>such transaction would not reasonably be expected to have a Material Adverse Effect.</w:t>
      </w:r>
    </w:p>
    <w:p>
      <w:pPr>
        <w:spacing w:after="0" w:line="105" w:lineRule="exact"/>
        <w:rPr>
          <w:rFonts w:ascii="Arial" w:cs="Arial" w:eastAsia="Arial" w:hAnsi="Arial"/>
          <w:sz w:val="19"/>
          <w:szCs w:val="19"/>
          <w:color w:val="auto"/>
        </w:rPr>
      </w:pPr>
    </w:p>
    <w:p>
      <w:pPr>
        <w:ind w:left="900" w:right="100" w:hanging="321"/>
        <w:spacing w:after="0" w:line="286"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The Issuer shall not engage in, or permit any member of the Group to engage in, directly or indirectly, any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with any affiliate of the Issuer that is not a Group Company (including, without limitation, the purchase, sale or exchange of assets or the rendering of any service), except (i) pursuant to existing agreements and arrangements with such affiliates or (ii) transactions that are (A) approved by a majority of the independent members of the audit committee of the Issuer’s board of directors,</w:t>
      </w:r>
    </w:p>
    <w:p>
      <w:pPr>
        <w:spacing w:after="0" w:line="2" w:lineRule="exact"/>
        <w:rPr>
          <w:rFonts w:ascii="Arial" w:cs="Arial" w:eastAsia="Arial" w:hAnsi="Arial"/>
          <w:sz w:val="17"/>
          <w:szCs w:val="17"/>
          <w:color w:val="auto"/>
        </w:rPr>
      </w:pPr>
    </w:p>
    <w:p>
      <w:pPr>
        <w:jc w:val="both"/>
        <w:ind w:left="900" w:right="140"/>
        <w:spacing w:after="0" w:line="258" w:lineRule="auto"/>
        <w:rPr>
          <w:rFonts w:ascii="Arial" w:cs="Arial" w:eastAsia="Arial" w:hAnsi="Arial"/>
          <w:sz w:val="17"/>
          <w:szCs w:val="17"/>
          <w:color w:val="auto"/>
        </w:rPr>
      </w:pPr>
      <w:r>
        <w:rPr>
          <w:rFonts w:ascii="Arial" w:cs="Arial" w:eastAsia="Arial" w:hAnsi="Arial"/>
          <w:sz w:val="19"/>
          <w:szCs w:val="19"/>
          <w:color w:val="auto"/>
        </w:rPr>
        <w:t>(B) on terms no less favorable to the Issuer or such Group member than those generally being provided to or available from unrelated third parties, (C) fair and reasonable to the Issuer or such Group member, as determined in good faith by the board of directors of the Issuer or (D) immaterial in amount or significance to the Issuer or the Group.</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5" w:name="page36"/>
    <w:bookmarkEnd w:id="35"/>
    <w:p>
      <w:pPr>
        <w:ind w:left="900" w:hanging="321"/>
        <w:spacing w:after="0" w:line="273"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Restricted Payments. </w:t>
      </w:r>
      <w:r>
        <w:rPr>
          <w:rFonts w:ascii="Arial" w:cs="Arial" w:eastAsia="Arial" w:hAnsi="Arial"/>
          <w:sz w:val="18"/>
          <w:szCs w:val="18"/>
          <w:color w:val="auto"/>
        </w:rPr>
        <w:t>The Issuer shall not, and shall not permit any Group Company to, declare or make, or agree to pay or make,</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any Restricted Payment, except (a) Restricted Payments payable solely in equity interests issued by the Issuer and not in cash, (b) a Subsidiary of the Issuer may make Restricted Payments to the Issuer or another Subsidiary (and if such Group Company is not a Wholly Owned Group Company, so long as the Issuer or a Group Company receives at least its pro rata share of such dividend or distribution in accordance with its equity or ownership interests in such class or series of securities), and (c) any other Restricted Payments in cash in accordance with applicable law so long as after giving effect thereto no Event of Default has occurred and is continuing and no Default or Event of Default will result therefrom.</w:t>
      </w:r>
    </w:p>
    <w:p>
      <w:pPr>
        <w:spacing w:after="0" w:line="53" w:lineRule="exact"/>
        <w:rPr>
          <w:rFonts w:ascii="Arial" w:cs="Arial" w:eastAsia="Arial" w:hAnsi="Arial"/>
          <w:sz w:val="18"/>
          <w:szCs w:val="18"/>
          <w:color w:val="auto"/>
        </w:rPr>
      </w:pPr>
    </w:p>
    <w:p>
      <w:pPr>
        <w:ind w:left="900" w:hanging="321"/>
        <w:spacing w:after="0" w:line="262" w:lineRule="auto"/>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Corporate status. </w:t>
      </w:r>
      <w:r>
        <w:rPr>
          <w:rFonts w:ascii="Arial" w:cs="Arial" w:eastAsia="Arial" w:hAnsi="Arial"/>
          <w:sz w:val="19"/>
          <w:szCs w:val="19"/>
          <w:color w:val="auto"/>
        </w:rPr>
        <w:t>The Issuer shall not, and shall ensure that no Group Company shall change its type of organization or jurisdiction of</w:t>
      </w:r>
      <w:r>
        <w:rPr>
          <w:rFonts w:ascii="Arial" w:cs="Arial" w:eastAsia="Arial" w:hAnsi="Arial"/>
          <w:sz w:val="19"/>
          <w:szCs w:val="19"/>
          <w:i w:val="1"/>
          <w:iCs w:val="1"/>
          <w:color w:val="auto"/>
        </w:rPr>
        <w:t xml:space="preserve"> </w:t>
      </w:r>
      <w:r>
        <w:rPr>
          <w:rFonts w:ascii="Arial" w:cs="Arial" w:eastAsia="Arial" w:hAnsi="Arial"/>
          <w:sz w:val="19"/>
          <w:szCs w:val="19"/>
          <w:color w:val="auto"/>
        </w:rPr>
        <w:t>organization unless (i) such change in type or jurisdiction of organization would not reasonably be expected to have a Material Adverse Effect and (ii) in the case of the Issuer, such change is made pursuant to and in accordance with “—Consolidation, Merger and Sale of Assets.”</w:t>
      </w:r>
    </w:p>
    <w:p>
      <w:pPr>
        <w:spacing w:after="0" w:line="58" w:lineRule="exact"/>
        <w:rPr>
          <w:rFonts w:ascii="Arial" w:cs="Arial" w:eastAsia="Arial" w:hAnsi="Arial"/>
          <w:sz w:val="19"/>
          <w:szCs w:val="19"/>
          <w:color w:val="auto"/>
        </w:rPr>
      </w:pPr>
    </w:p>
    <w:p>
      <w:pPr>
        <w:ind w:left="900" w:right="120" w:hanging="321"/>
        <w:spacing w:after="0" w:line="267" w:lineRule="auto"/>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laws. </w:t>
      </w:r>
      <w:r>
        <w:rPr>
          <w:rFonts w:ascii="Arial" w:cs="Arial" w:eastAsia="Arial" w:hAnsi="Arial"/>
          <w:sz w:val="19"/>
          <w:szCs w:val="19"/>
          <w:color w:val="auto"/>
        </w:rPr>
        <w:t>The Issuer shall (and shall ensure that all Group Companies shall) comply in all material respects with all laws</w:t>
      </w:r>
      <w:r>
        <w:rPr>
          <w:rFonts w:ascii="Arial" w:cs="Arial" w:eastAsia="Arial" w:hAnsi="Arial"/>
          <w:sz w:val="19"/>
          <w:szCs w:val="19"/>
          <w:i w:val="1"/>
          <w:iCs w:val="1"/>
          <w:color w:val="auto"/>
        </w:rPr>
        <w:t xml:space="preserve"> </w:t>
      </w:r>
      <w:r>
        <w:rPr>
          <w:rFonts w:ascii="Arial" w:cs="Arial" w:eastAsia="Arial" w:hAnsi="Arial"/>
          <w:sz w:val="19"/>
          <w:szCs w:val="19"/>
          <w:color w:val="auto"/>
        </w:rPr>
        <w:t>and regulations it or they may be subject to from time to time (including any environmental laws and regulations) if such failure to comply would reasonably be expected to have a Material Adverse Effect.</w:t>
      </w:r>
    </w:p>
    <w:p>
      <w:pPr>
        <w:spacing w:after="0" w:line="54" w:lineRule="exact"/>
        <w:rPr>
          <w:rFonts w:ascii="Arial" w:cs="Arial" w:eastAsia="Arial" w:hAnsi="Arial"/>
          <w:sz w:val="19"/>
          <w:szCs w:val="19"/>
          <w:color w:val="auto"/>
        </w:rPr>
      </w:pPr>
    </w:p>
    <w:p>
      <w:pPr>
        <w:ind w:left="900" w:right="860" w:hanging="418"/>
        <w:spacing w:after="0" w:line="283" w:lineRule="auto"/>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MLP. </w:t>
      </w:r>
      <w:r>
        <w:rPr>
          <w:rFonts w:ascii="Arial" w:cs="Arial" w:eastAsia="Arial" w:hAnsi="Arial"/>
          <w:sz w:val="19"/>
          <w:szCs w:val="19"/>
          <w:color w:val="auto"/>
        </w:rPr>
        <w:t>The Issuer shall not cease to control, directly or indirectly, the composition of the majority of the board of directors (or</w:t>
      </w:r>
      <w:r>
        <w:rPr>
          <w:rFonts w:ascii="Arial" w:cs="Arial" w:eastAsia="Arial" w:hAnsi="Arial"/>
          <w:sz w:val="19"/>
          <w:szCs w:val="19"/>
          <w:i w:val="1"/>
          <w:iCs w:val="1"/>
          <w:color w:val="auto"/>
        </w:rPr>
        <w:t xml:space="preserve"> </w:t>
      </w:r>
      <w:r>
        <w:rPr>
          <w:rFonts w:ascii="Arial" w:cs="Arial" w:eastAsia="Arial" w:hAnsi="Arial"/>
          <w:sz w:val="19"/>
          <w:szCs w:val="19"/>
          <w:color w:val="auto"/>
        </w:rPr>
        <w:t>equivalent) of the MLP.</w:t>
      </w:r>
    </w:p>
    <w:p>
      <w:pPr>
        <w:spacing w:after="0" w:line="38" w:lineRule="exact"/>
        <w:rPr>
          <w:rFonts w:ascii="Arial" w:cs="Arial" w:eastAsia="Arial" w:hAnsi="Arial"/>
          <w:sz w:val="19"/>
          <w:szCs w:val="19"/>
          <w:color w:val="auto"/>
        </w:rPr>
      </w:pPr>
    </w:p>
    <w:p>
      <w:pPr>
        <w:ind w:left="900" w:right="80" w:hanging="411"/>
        <w:spacing w:after="0" w:line="312"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Negative Pledge. </w:t>
      </w:r>
      <w:r>
        <w:rPr>
          <w:rFonts w:ascii="Arial" w:cs="Arial" w:eastAsia="Arial" w:hAnsi="Arial"/>
          <w:sz w:val="18"/>
          <w:szCs w:val="18"/>
          <w:color w:val="auto"/>
        </w:rPr>
        <w:t>The Issuer shall not, and it shall ensure that no Group Companies shall, create, permit to subsist or allow to exist any</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pledge, lien or any other encumbrances over any of the Issuer’s equity interests in the General Partner or the MLP.</w:t>
      </w:r>
    </w:p>
    <w:p>
      <w:pPr>
        <w:spacing w:after="0" w:line="15" w:lineRule="exact"/>
        <w:rPr>
          <w:rFonts w:ascii="Arial" w:cs="Arial" w:eastAsia="Arial" w:hAnsi="Arial"/>
          <w:sz w:val="18"/>
          <w:szCs w:val="18"/>
          <w:color w:val="auto"/>
        </w:rPr>
      </w:pPr>
    </w:p>
    <w:p>
      <w:pPr>
        <w:ind w:left="900" w:hanging="418"/>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Debt Service Cover. </w:t>
      </w:r>
      <w:r>
        <w:rPr>
          <w:rFonts w:ascii="Arial" w:cs="Arial" w:eastAsia="Arial" w:hAnsi="Arial"/>
          <w:sz w:val="18"/>
          <w:szCs w:val="18"/>
          <w:color w:val="auto"/>
        </w:rPr>
        <w:t>The Issuer shall ensure that the ratio of EBITDA: Debt Service, on a trailing four quarter basis, shall be no less</w:t>
      </w:r>
    </w:p>
    <w:p>
      <w:pPr>
        <w:spacing w:after="0" w:line="38"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9"/>
          <w:szCs w:val="19"/>
          <w:color w:val="auto"/>
        </w:rPr>
        <w:t>than 1.00: 1.00.</w:t>
      </w:r>
    </w:p>
    <w:p>
      <w:pPr>
        <w:spacing w:after="0" w:line="89" w:lineRule="exact"/>
        <w:rPr>
          <w:rFonts w:ascii="Arial" w:cs="Arial" w:eastAsia="Arial" w:hAnsi="Arial"/>
          <w:sz w:val="18"/>
          <w:szCs w:val="18"/>
          <w:color w:val="auto"/>
        </w:rPr>
      </w:pPr>
    </w:p>
    <w:p>
      <w:pPr>
        <w:ind w:left="900" w:right="820" w:hanging="418"/>
        <w:spacing w:after="0" w:line="283" w:lineRule="auto"/>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Free Liquidity. </w:t>
      </w:r>
      <w:r>
        <w:rPr>
          <w:rFonts w:ascii="Arial" w:cs="Arial" w:eastAsia="Arial" w:hAnsi="Arial"/>
          <w:sz w:val="19"/>
          <w:szCs w:val="19"/>
          <w:color w:val="auto"/>
        </w:rPr>
        <w:t>The Issuer shall, at any time during the term of the Notes, ensure that the Issuer shall maintain Cash and Cash</w:t>
      </w:r>
      <w:r>
        <w:rPr>
          <w:rFonts w:ascii="Arial" w:cs="Arial" w:eastAsia="Arial" w:hAnsi="Arial"/>
          <w:sz w:val="19"/>
          <w:szCs w:val="19"/>
          <w:i w:val="1"/>
          <w:iCs w:val="1"/>
          <w:color w:val="auto"/>
        </w:rPr>
        <w:t xml:space="preserve"> </w:t>
      </w:r>
      <w:r>
        <w:rPr>
          <w:rFonts w:ascii="Arial" w:cs="Arial" w:eastAsia="Arial" w:hAnsi="Arial"/>
          <w:sz w:val="19"/>
          <w:szCs w:val="19"/>
          <w:color w:val="auto"/>
        </w:rPr>
        <w:t>Equivalents of a minimum of the greater of (a) $35,000,000 and (b) 2.50% of Total Indebtedness.</w:t>
      </w:r>
    </w:p>
    <w:p>
      <w:pPr>
        <w:spacing w:after="0" w:line="38" w:lineRule="exact"/>
        <w:rPr>
          <w:rFonts w:ascii="Arial" w:cs="Arial" w:eastAsia="Arial" w:hAnsi="Arial"/>
          <w:sz w:val="19"/>
          <w:szCs w:val="19"/>
          <w:color w:val="auto"/>
        </w:rPr>
      </w:pPr>
    </w:p>
    <w:p>
      <w:pPr>
        <w:ind w:left="900" w:hanging="418"/>
        <w:spacing w:after="0"/>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Limitation on Total Indebtedness. </w:t>
      </w:r>
      <w:r>
        <w:rPr>
          <w:rFonts w:ascii="Arial" w:cs="Arial" w:eastAsia="Arial" w:hAnsi="Arial"/>
          <w:sz w:val="19"/>
          <w:szCs w:val="19"/>
          <w:color w:val="auto"/>
        </w:rPr>
        <w:t>The Issuer shall not permit Total Indebtedness to exceed 75% of Total Capitalization.</w:t>
      </w:r>
    </w:p>
    <w:p>
      <w:pPr>
        <w:spacing w:after="0" w:line="105" w:lineRule="exact"/>
        <w:rPr>
          <w:rFonts w:ascii="Arial" w:cs="Arial" w:eastAsia="Arial" w:hAnsi="Arial"/>
          <w:sz w:val="19"/>
          <w:szCs w:val="19"/>
          <w:color w:val="auto"/>
        </w:rPr>
      </w:pPr>
    </w:p>
    <w:p>
      <w:pPr>
        <w:ind w:left="900" w:hanging="418"/>
        <w:spacing w:after="0"/>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Minimum Market Adjusted Net Worth. </w:t>
      </w:r>
      <w:r>
        <w:rPr>
          <w:rFonts w:ascii="Arial" w:cs="Arial" w:eastAsia="Arial" w:hAnsi="Arial"/>
          <w:sz w:val="19"/>
          <w:szCs w:val="19"/>
          <w:color w:val="auto"/>
        </w:rPr>
        <w:t>The Issuer shall maintain Market Adjusted Net Worth of not less than $300,000,000.</w:t>
      </w:r>
    </w:p>
    <w:p>
      <w:pPr>
        <w:spacing w:after="0" w:line="105" w:lineRule="exact"/>
        <w:rPr>
          <w:rFonts w:ascii="Arial" w:cs="Arial" w:eastAsia="Arial" w:hAnsi="Arial"/>
          <w:sz w:val="19"/>
          <w:szCs w:val="19"/>
          <w:color w:val="auto"/>
        </w:rPr>
      </w:pPr>
    </w:p>
    <w:p>
      <w:pPr>
        <w:ind w:left="900" w:right="180" w:hanging="418"/>
        <w:spacing w:after="0" w:line="283" w:lineRule="auto"/>
        <w:tabs>
          <w:tab w:leader="none" w:pos="90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Current Assets. </w:t>
      </w:r>
      <w:r>
        <w:rPr>
          <w:rFonts w:ascii="Arial" w:cs="Arial" w:eastAsia="Arial" w:hAnsi="Arial"/>
          <w:sz w:val="19"/>
          <w:szCs w:val="19"/>
          <w:color w:val="auto"/>
        </w:rPr>
        <w:t>The Current Assets of the Issuer shall be greater than or equal to Current Liabilities (excluding the Current Portion of</w:t>
      </w:r>
      <w:r>
        <w:rPr>
          <w:rFonts w:ascii="Arial" w:cs="Arial" w:eastAsia="Arial" w:hAnsi="Arial"/>
          <w:sz w:val="19"/>
          <w:szCs w:val="19"/>
          <w:i w:val="1"/>
          <w:iCs w:val="1"/>
          <w:color w:val="auto"/>
        </w:rPr>
        <w:t xml:space="preserve"> </w:t>
      </w:r>
      <w:r>
        <w:rPr>
          <w:rFonts w:ascii="Arial" w:cs="Arial" w:eastAsia="Arial" w:hAnsi="Arial"/>
          <w:sz w:val="19"/>
          <w:szCs w:val="19"/>
          <w:color w:val="auto"/>
        </w:rPr>
        <w:t>Loans).</w:t>
      </w:r>
    </w:p>
    <w:p>
      <w:pPr>
        <w:spacing w:after="0" w:line="52"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Compliance with clauses (12)-(16) in the preceding paragraph is measured on the last day of each of our fiscal quarters, commencing June 30, 2017. Within 60 days after the end of the first three fiscal quarters each fiscal year and within 120 days after the end of each fiscal year (in each case subject to any extensions or waivers), the Issuer is required to deliver to the Trustee an Officer’s Certificate confirming compliance with each of the covenants described above. Each such certificate will be made available to the holders of the Notes upon request to the Trustee. The Issuer shall mail, within 10 Business Days of the discovery thereof, to all holders of the Notes and Trustee, notice of any Default in compliance with the covenants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Definitions and Interpretations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purposes of the foregoing provisions, the following definitions shall apply:</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i w:val="1"/>
          <w:iCs w:val="1"/>
          <w:color w:val="auto"/>
        </w:rPr>
        <w:t xml:space="preserve">“Cash and Cash Equivalents” </w:t>
      </w:r>
      <w:r>
        <w:rPr>
          <w:rFonts w:ascii="Arial" w:cs="Arial" w:eastAsia="Arial" w:hAnsi="Arial"/>
          <w:sz w:val="19"/>
          <w:szCs w:val="19"/>
          <w:color w:val="auto"/>
        </w:rPr>
        <w:t>means cash on hand, deposits with banks which are repayable on demand, short term, highly liquid</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investments which are readily convertible into known amounts of cash with original maturities of six months or less that are subject to an insignificant risk of change in value, but exclude any cash that is specifically blocked and/or charged. For the avoidance of doubt, Cash and Cash Equivalents shall not be subject to any Encumbrances.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36" w:name="page37"/>
    <w:bookmarkEnd w:id="36"/>
    <w:p>
      <w:pPr>
        <w:ind w:right="160" w:firstLine="357"/>
        <w:spacing w:after="0" w:line="283" w:lineRule="auto"/>
        <w:rPr>
          <w:sz w:val="20"/>
          <w:szCs w:val="20"/>
          <w:color w:val="auto"/>
        </w:rPr>
      </w:pPr>
      <w:r>
        <w:rPr>
          <w:rFonts w:ascii="Arial" w:cs="Arial" w:eastAsia="Arial" w:hAnsi="Arial"/>
          <w:sz w:val="19"/>
          <w:szCs w:val="19"/>
          <w:i w:val="1"/>
          <w:iCs w:val="1"/>
          <w:color w:val="auto"/>
        </w:rPr>
        <w:t xml:space="preserve">“Current Assets” </w:t>
      </w:r>
      <w:r>
        <w:rPr>
          <w:rFonts w:ascii="Arial" w:cs="Arial" w:eastAsia="Arial" w:hAnsi="Arial"/>
          <w:sz w:val="19"/>
          <w:szCs w:val="19"/>
          <w:color w:val="auto"/>
        </w:rPr>
        <w:t>means current assets of the Group as shown in the then most recent Financial Statements and Interim Accounts relevant to</w:t>
      </w:r>
      <w:r>
        <w:rPr>
          <w:rFonts w:ascii="Arial" w:cs="Arial" w:eastAsia="Arial" w:hAnsi="Arial"/>
          <w:sz w:val="19"/>
          <w:szCs w:val="19"/>
          <w:i w:val="1"/>
          <w:iCs w:val="1"/>
          <w:color w:val="auto"/>
        </w:rPr>
        <w:t xml:space="preserve"> </w:t>
      </w:r>
      <w:r>
        <w:rPr>
          <w:rFonts w:ascii="Arial" w:cs="Arial" w:eastAsia="Arial" w:hAnsi="Arial"/>
          <w:sz w:val="19"/>
          <w:szCs w:val="19"/>
          <w:color w:val="auto"/>
        </w:rPr>
        <w:t>such period.</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i w:val="1"/>
          <w:iCs w:val="1"/>
          <w:color w:val="auto"/>
        </w:rPr>
        <w:t xml:space="preserve">“Current Liabilities” </w:t>
      </w:r>
      <w:r>
        <w:rPr>
          <w:rFonts w:ascii="Arial" w:cs="Arial" w:eastAsia="Arial" w:hAnsi="Arial"/>
          <w:sz w:val="19"/>
          <w:szCs w:val="19"/>
          <w:color w:val="auto"/>
        </w:rPr>
        <w:t>means the current liabilities of the Group as shown in the then most recent Financial Statements and Interim Accounts</w:t>
      </w:r>
      <w:r>
        <w:rPr>
          <w:rFonts w:ascii="Arial" w:cs="Arial" w:eastAsia="Arial" w:hAnsi="Arial"/>
          <w:sz w:val="19"/>
          <w:szCs w:val="19"/>
          <w:i w:val="1"/>
          <w:iCs w:val="1"/>
          <w:color w:val="auto"/>
        </w:rPr>
        <w:t xml:space="preserve"> </w:t>
      </w:r>
      <w:r>
        <w:rPr>
          <w:rFonts w:ascii="Arial" w:cs="Arial" w:eastAsia="Arial" w:hAnsi="Arial"/>
          <w:sz w:val="19"/>
          <w:szCs w:val="19"/>
          <w:color w:val="auto"/>
        </w:rPr>
        <w:t>relevant to such period.</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“Current Portion of Loans” </w:t>
      </w:r>
      <w:r>
        <w:rPr>
          <w:rFonts w:ascii="Arial" w:cs="Arial" w:eastAsia="Arial" w:hAnsi="Arial"/>
          <w:sz w:val="19"/>
          <w:szCs w:val="19"/>
          <w:color w:val="auto"/>
        </w:rPr>
        <w:t>means the current portion of loans as shown in the then most recent Financial Statements of the Issuer.</w:t>
      </w:r>
    </w:p>
    <w:p>
      <w:pPr>
        <w:spacing w:after="0" w:line="119"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i w:val="1"/>
          <w:iCs w:val="1"/>
          <w:color w:val="auto"/>
        </w:rPr>
        <w:t xml:space="preserve">“Debt Service” </w:t>
      </w:r>
      <w:r>
        <w:rPr>
          <w:rFonts w:ascii="Arial" w:cs="Arial" w:eastAsia="Arial" w:hAnsi="Arial"/>
          <w:sz w:val="18"/>
          <w:szCs w:val="18"/>
          <w:color w:val="auto"/>
        </w:rPr>
        <w:t>means, for any financial period of the Group, the sum to be the aggregate amount of: (i) scheduled amounts of principal; (ii)</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amounts of interest thereon (taking into account any hedging contracts); and (iii) all other amounts in excess of $30,000,000 in aggregate which shall fall due and will be paid by the Group in such period as non-recurrent fees or upfront fees, costs and expenses, in respect of Total Indebtedness, as shown in the then most recent Financial Statements and Interim Accounts relevant to such period.</w:t>
      </w:r>
    </w:p>
    <w:p>
      <w:pPr>
        <w:spacing w:after="0" w:line="57"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i w:val="1"/>
          <w:iCs w:val="1"/>
          <w:color w:val="auto"/>
        </w:rPr>
        <w:t xml:space="preserve">“Default” </w:t>
      </w:r>
      <w:r>
        <w:rPr>
          <w:rFonts w:ascii="Arial" w:cs="Arial" w:eastAsia="Arial" w:hAnsi="Arial"/>
          <w:sz w:val="19"/>
          <w:szCs w:val="19"/>
          <w:color w:val="auto"/>
        </w:rPr>
        <w:t>means an Event of Default or any event or circumstance specified under “—Events of Default” which would (with the giving of</w:t>
      </w:r>
      <w:r>
        <w:rPr>
          <w:rFonts w:ascii="Arial" w:cs="Arial" w:eastAsia="Arial" w:hAnsi="Arial"/>
          <w:sz w:val="19"/>
          <w:szCs w:val="19"/>
          <w:i w:val="1"/>
          <w:iCs w:val="1"/>
          <w:color w:val="auto"/>
        </w:rPr>
        <w:t xml:space="preserve"> </w:t>
      </w:r>
      <w:r>
        <w:rPr>
          <w:rFonts w:ascii="Arial" w:cs="Arial" w:eastAsia="Arial" w:hAnsi="Arial"/>
          <w:sz w:val="19"/>
          <w:szCs w:val="19"/>
          <w:color w:val="auto"/>
        </w:rPr>
        <w:t>notice, lapse of time, determination of materiality or the fulfillment of any other applicable condition or any combination of the foregoing) be an Event of Default under the Indenture.</w:t>
      </w:r>
    </w:p>
    <w:p>
      <w:pPr>
        <w:spacing w:after="0" w:line="68"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means, in respect of any period, the consolidated profit on ordinary activities of the Group before taxation for such period; but: (a)</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to exclude Interest Receivable and Interest Payable and other similar income or costs to the extent not already excluded, (b) adjusted to exclude any gain or loss realized on the disposal of fixed assets (whether tangible or intangible), (c) after adding back depreciation and amortization charged which relates to such period, (d) adjusted to exclude any exceptional or extraordinary costs or income (e) after deducting any profit arising out of the release of any provisions against a liability or charge and adding back any provision relating to long term assets or contracts, and (f) adjusted to exclude any profit or loss due to mark-to-market of derivative agreements and non-cash currency gains or losses, as shown in the then most recent Financial Statement or Interim Account relevant to such period.</w:t>
      </w:r>
    </w:p>
    <w:p>
      <w:pPr>
        <w:spacing w:after="0" w:line="54" w:lineRule="exact"/>
        <w:rPr>
          <w:sz w:val="20"/>
          <w:szCs w:val="20"/>
          <w:color w:val="auto"/>
        </w:rPr>
      </w:pPr>
    </w:p>
    <w:p>
      <w:pPr>
        <w:jc w:val="both"/>
        <w:ind w:right="120" w:firstLine="357"/>
        <w:spacing w:after="0" w:line="281" w:lineRule="auto"/>
        <w:rPr>
          <w:sz w:val="20"/>
          <w:szCs w:val="20"/>
          <w:color w:val="auto"/>
        </w:rPr>
      </w:pPr>
      <w:r>
        <w:rPr>
          <w:rFonts w:ascii="Arial" w:cs="Arial" w:eastAsia="Arial" w:hAnsi="Arial"/>
          <w:sz w:val="18"/>
          <w:szCs w:val="18"/>
          <w:i w:val="1"/>
          <w:iCs w:val="1"/>
          <w:color w:val="auto"/>
        </w:rPr>
        <w:t xml:space="preserve">“Encumbrance” </w:t>
      </w:r>
      <w:r>
        <w:rPr>
          <w:rFonts w:ascii="Arial" w:cs="Arial" w:eastAsia="Arial" w:hAnsi="Arial"/>
          <w:sz w:val="18"/>
          <w:szCs w:val="18"/>
          <w:color w:val="auto"/>
        </w:rPr>
        <w:t>means any encumbrance, mortgage, pledge, lien, charge (whether fixed or floating), assignment by way of security,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lease, sale and repurchase or sale and leaseback arrangement, sale of receivables on a recourse basis or security interest or any other agreement or arrangement having the effect of conferring security (provided that the foregoing shall not include a pledge of deposit accounts to the extent such pledge does not prevent withdrawal from such accounts at the time of the measurement date).</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“Event of Default” </w:t>
      </w:r>
      <w:r>
        <w:rPr>
          <w:rFonts w:ascii="Arial" w:cs="Arial" w:eastAsia="Arial" w:hAnsi="Arial"/>
          <w:sz w:val="19"/>
          <w:szCs w:val="19"/>
          <w:color w:val="auto"/>
        </w:rPr>
        <w:t>means the occurrence of an event or circumstance specified under “—Events of Default.”</w:t>
      </w:r>
    </w:p>
    <w:p>
      <w:pPr>
        <w:spacing w:after="0" w:line="119" w:lineRule="exact"/>
        <w:rPr>
          <w:sz w:val="20"/>
          <w:szCs w:val="20"/>
          <w:color w:val="auto"/>
        </w:rPr>
      </w:pPr>
    </w:p>
    <w:p>
      <w:pPr>
        <w:ind w:right="20" w:firstLine="357"/>
        <w:spacing w:after="0" w:line="284" w:lineRule="auto"/>
        <w:rPr>
          <w:sz w:val="20"/>
          <w:szCs w:val="20"/>
          <w:color w:val="auto"/>
        </w:rPr>
      </w:pPr>
      <w:r>
        <w:rPr>
          <w:rFonts w:ascii="Arial" w:cs="Arial" w:eastAsia="Arial" w:hAnsi="Arial"/>
          <w:sz w:val="17"/>
          <w:szCs w:val="17"/>
          <w:i w:val="1"/>
          <w:iCs w:val="1"/>
          <w:color w:val="auto"/>
        </w:rPr>
        <w:t xml:space="preserve">“Financial Indebtedness” </w:t>
      </w:r>
      <w:r>
        <w:rPr>
          <w:rFonts w:ascii="Arial" w:cs="Arial" w:eastAsia="Arial" w:hAnsi="Arial"/>
          <w:sz w:val="17"/>
          <w:szCs w:val="17"/>
          <w:color w:val="auto"/>
        </w:rPr>
        <w:t>means any indebtedness for or in respect of: (i) moneys borrowed and debit balances at banks or other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(ii) any amount raised by acceptance under any acceptance credit facility or dematerialized equivalent; (iii) any amount raised pursuant to any note purchase facility or the issue of bonds, notes, debentures, loan stock or any similar instrument; (iv) the amount of any liability in respect of any lease or hire purchase contract which would, in accordance with GAAP, be treated as a finance or capital lease; (v) receivables sold or discounted (other than any receivables to the extent they are sold on a non-recourse basis); (vi) any treasury transaction (and, when calculating the value of that treasury transaction, only the marked to market value shall be taken into account and/or, if any actual amount is due as a result of the termination or close out of a treasury transaction, that also shall be taken into account); (vii) any counter-indemnity obligation in respect of a guarantee, indemnity, bond, standby or documentary letter of credit or any other instrument issued by a bank or financial institution;</w:t>
      </w:r>
    </w:p>
    <w:p>
      <w:pPr>
        <w:spacing w:after="0" w:line="2" w:lineRule="exact"/>
        <w:rPr>
          <w:sz w:val="20"/>
          <w:szCs w:val="20"/>
          <w:color w:val="auto"/>
        </w:rPr>
      </w:pPr>
    </w:p>
    <w:p>
      <w:pPr>
        <w:ind w:firstLine="8"/>
        <w:spacing w:after="0" w:line="256" w:lineRule="auto"/>
        <w:tabs>
          <w:tab w:leader="none" w:pos="436"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amount of liability under an advance or deferred purchase agreement if (a) one of the primary reasons behind entering into the agreement is to raise finance or (b) the agreement is in respect of the supply of assets or services and payment is due more than 180 days after the date of supply; (ix) any amount raised under any other transaction (including any forward sale or purchase agreement) having the commercial effect of a borrowing or otherwise classified as borrowings under GAAP; and (x) the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amount of any liability in respect of any guarantee for any of the items referred to in paragraphs (i) to (ix) above.</w:t>
      </w:r>
    </w:p>
    <w:p>
      <w:pPr>
        <w:spacing w:after="0" w:line="119" w:lineRule="exact"/>
        <w:rPr>
          <w:sz w:val="20"/>
          <w:szCs w:val="20"/>
          <w:color w:val="auto"/>
        </w:rPr>
      </w:pPr>
    </w:p>
    <w:p>
      <w:pPr>
        <w:ind w:right="880" w:firstLine="357"/>
        <w:spacing w:after="0" w:line="312" w:lineRule="auto"/>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means the audited consolidated annual financial statements of the Issuer for any financial year, prepared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GAAP, such accounts to include a profit and loss account, balance sheet and cash flow statement.</w:t>
      </w:r>
    </w:p>
    <w:p>
      <w:pPr>
        <w:spacing w:after="0" w:line="2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i w:val="1"/>
          <w:iCs w:val="1"/>
          <w:color w:val="auto"/>
        </w:rPr>
        <w:t xml:space="preserve">“GAAP” </w:t>
      </w:r>
      <w:r>
        <w:rPr>
          <w:rFonts w:ascii="Arial" w:cs="Arial" w:eastAsia="Arial" w:hAnsi="Arial"/>
          <w:sz w:val="19"/>
          <w:szCs w:val="19"/>
          <w:color w:val="auto"/>
        </w:rPr>
        <w:t>means International Financial Reporting Standards as issued by the International Accounting Standards Board as in effect from time</w:t>
      </w:r>
      <w:r>
        <w:rPr>
          <w:rFonts w:ascii="Arial" w:cs="Arial" w:eastAsia="Arial" w:hAnsi="Arial"/>
          <w:sz w:val="19"/>
          <w:szCs w:val="19"/>
          <w:i w:val="1"/>
          <w:iCs w:val="1"/>
          <w:color w:val="auto"/>
        </w:rPr>
        <w:t xml:space="preserve"> </w:t>
      </w:r>
      <w:r>
        <w:rPr>
          <w:rFonts w:ascii="Arial" w:cs="Arial" w:eastAsia="Arial" w:hAnsi="Arial"/>
          <w:sz w:val="19"/>
          <w:szCs w:val="19"/>
          <w:color w:val="auto"/>
        </w:rPr>
        <w:t>to time.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“General Partner” </w:t>
      </w:r>
      <w:r>
        <w:rPr>
          <w:rFonts w:ascii="Arial" w:cs="Arial" w:eastAsia="Arial" w:hAnsi="Arial"/>
          <w:sz w:val="19"/>
          <w:szCs w:val="19"/>
          <w:color w:val="auto"/>
        </w:rPr>
        <w:t>means the general partner of the MLP.</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“Group” </w:t>
      </w:r>
      <w:r>
        <w:rPr>
          <w:rFonts w:ascii="Arial" w:cs="Arial" w:eastAsia="Arial" w:hAnsi="Arial"/>
          <w:sz w:val="19"/>
          <w:szCs w:val="19"/>
          <w:color w:val="auto"/>
        </w:rPr>
        <w:t>means the Issuer and its Subsidiaries, and a</w:t>
      </w:r>
      <w:r>
        <w:rPr>
          <w:rFonts w:ascii="Arial" w:cs="Arial" w:eastAsia="Arial" w:hAnsi="Arial"/>
          <w:sz w:val="19"/>
          <w:szCs w:val="19"/>
          <w:i w:val="1"/>
          <w:iCs w:val="1"/>
          <w:color w:val="auto"/>
        </w:rPr>
        <w:t xml:space="preserve"> “Group Company” </w:t>
      </w:r>
      <w:r>
        <w:rPr>
          <w:rFonts w:ascii="Arial" w:cs="Arial" w:eastAsia="Arial" w:hAnsi="Arial"/>
          <w:sz w:val="19"/>
          <w:szCs w:val="19"/>
          <w:color w:val="auto"/>
        </w:rPr>
        <w:t>means the Issuer or any of its Subsidiaries (as applicable).</w:t>
      </w:r>
    </w:p>
    <w:p>
      <w:pPr>
        <w:spacing w:after="0" w:line="119"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means, in respect to any specified Financial Indebtedness, all continuing regular or periodic costs, charges and expenses incurred in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effecting, servicing or maintaining such Financial Indebtedness including (a) gross interest, commitment fees, discount and acceptance fees and guarantee, fronting and ancillary fees payable or incurred on any form of Financial Indebtedness and (b) arrangement fees or other upfront fees.</w:t>
      </w:r>
    </w:p>
    <w:p>
      <w:pPr>
        <w:spacing w:after="0" w:line="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i w:val="1"/>
          <w:iCs w:val="1"/>
          <w:color w:val="auto"/>
        </w:rPr>
        <w:t xml:space="preserve">“Interest Payable” </w:t>
      </w:r>
      <w:r>
        <w:rPr>
          <w:rFonts w:ascii="Arial" w:cs="Arial" w:eastAsia="Arial" w:hAnsi="Arial"/>
          <w:sz w:val="19"/>
          <w:szCs w:val="19"/>
          <w:color w:val="auto"/>
        </w:rPr>
        <w:t>means, in respect of any period, the aggregate (calculated on a consolidated basis) of: (a) the amounts charged and posted</w:t>
      </w:r>
      <w:r>
        <w:rPr>
          <w:rFonts w:ascii="Arial" w:cs="Arial" w:eastAsia="Arial" w:hAnsi="Arial"/>
          <w:sz w:val="19"/>
          <w:szCs w:val="19"/>
          <w:i w:val="1"/>
          <w:iCs w:val="1"/>
          <w:color w:val="auto"/>
        </w:rPr>
        <w:t xml:space="preserve"> </w:t>
      </w:r>
      <w:r>
        <w:rPr>
          <w:rFonts w:ascii="Arial" w:cs="Arial" w:eastAsia="Arial" w:hAnsi="Arial"/>
          <w:sz w:val="19"/>
          <w:szCs w:val="19"/>
          <w:color w:val="auto"/>
        </w:rPr>
        <w:t>(or estimated to be charged and posted) as a current accrual accrued during such period in respect of members of the Group by way of Interest on all Financial Indebtedness, but excluding any amount accruing as interest in-kind (and not as cash pay) to the extent capitalized as principal during such period and (b) net payments in relation to interest rate or currency hedging arrangements in respect of Financial Indebtedness (after deducting net income in relation to such interest rate or currency hedging arrangements), as shown in the then most recent Financial Statement or Interim Account relevant to such period.</w:t>
      </w:r>
    </w:p>
    <w:p>
      <w:pPr>
        <w:spacing w:after="0" w:line="76"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i w:val="1"/>
          <w:iCs w:val="1"/>
          <w:color w:val="auto"/>
        </w:rPr>
        <w:t xml:space="preserve">“Interest Receivable” </w:t>
      </w:r>
      <w:r>
        <w:rPr>
          <w:rFonts w:ascii="Arial" w:cs="Arial" w:eastAsia="Arial" w:hAnsi="Arial"/>
          <w:sz w:val="19"/>
          <w:szCs w:val="19"/>
          <w:color w:val="auto"/>
        </w:rPr>
        <w:t>means, in respect of any period, the amount of interest accrued on cash balances of the Group (including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accrued on the Accounts, to the extent that the account holder is entitled to receive such interest) during such period, as shown in the then most recent Financial Statement or Interim Account relevant to such period.</w:t>
      </w:r>
    </w:p>
    <w:p>
      <w:pPr>
        <w:spacing w:after="0" w:line="68"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i w:val="1"/>
          <w:iCs w:val="1"/>
          <w:color w:val="auto"/>
        </w:rPr>
        <w:t xml:space="preserve">“Interim Accounts” </w:t>
      </w:r>
      <w:r>
        <w:rPr>
          <w:rFonts w:ascii="Arial" w:cs="Arial" w:eastAsia="Arial" w:hAnsi="Arial"/>
          <w:sz w:val="19"/>
          <w:szCs w:val="19"/>
          <w:color w:val="auto"/>
        </w:rPr>
        <w:t>means the unaudited consolidated quarterly financial statements of the Issuer for any quarter ending on a Quarter Date,</w:t>
      </w:r>
      <w:r>
        <w:rPr>
          <w:rFonts w:ascii="Arial" w:cs="Arial" w:eastAsia="Arial" w:hAnsi="Arial"/>
          <w:sz w:val="19"/>
          <w:szCs w:val="19"/>
          <w:i w:val="1"/>
          <w:iCs w:val="1"/>
          <w:color w:val="auto"/>
        </w:rPr>
        <w:t xml:space="preserve"> </w:t>
      </w:r>
      <w:r>
        <w:rPr>
          <w:rFonts w:ascii="Arial" w:cs="Arial" w:eastAsia="Arial" w:hAnsi="Arial"/>
          <w:sz w:val="19"/>
          <w:szCs w:val="19"/>
          <w:color w:val="auto"/>
        </w:rPr>
        <w:t>drawn up according to GAAP.</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“Market Adjusted Net Worth” </w:t>
      </w:r>
      <w:r>
        <w:rPr>
          <w:rFonts w:ascii="Arial" w:cs="Arial" w:eastAsia="Arial" w:hAnsi="Arial"/>
          <w:sz w:val="19"/>
          <w:szCs w:val="19"/>
          <w:color w:val="auto"/>
        </w:rPr>
        <w:t>means Total Market Adjusted Assets less Total Indebtedness.</w:t>
      </w:r>
    </w:p>
    <w:p>
      <w:pPr>
        <w:spacing w:after="0" w:line="119"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financial condition or operations of the Group taken as a</w:t>
      </w:r>
      <w:r>
        <w:rPr>
          <w:rFonts w:ascii="Arial" w:cs="Arial" w:eastAsia="Arial" w:hAnsi="Arial"/>
          <w:sz w:val="19"/>
          <w:szCs w:val="19"/>
          <w:i w:val="1"/>
          <w:iCs w:val="1"/>
          <w:color w:val="auto"/>
        </w:rPr>
        <w:t xml:space="preserve"> </w:t>
      </w:r>
      <w:r>
        <w:rPr>
          <w:rFonts w:ascii="Arial" w:cs="Arial" w:eastAsia="Arial" w:hAnsi="Arial"/>
          <w:sz w:val="19"/>
          <w:szCs w:val="19"/>
          <w:color w:val="auto"/>
        </w:rPr>
        <w:t>whole, (b) the Issuer’s ability to perform and comply with its obligations under the Indenture or the Notes; or (c) the validity or enforceability of the Indenture or the Notes.</w:t>
      </w:r>
    </w:p>
    <w:p>
      <w:pPr>
        <w:spacing w:after="0" w:line="68" w:lineRule="exact"/>
        <w:rPr>
          <w:sz w:val="20"/>
          <w:szCs w:val="20"/>
          <w:color w:val="auto"/>
        </w:rPr>
      </w:pPr>
    </w:p>
    <w:p>
      <w:pPr>
        <w:ind w:right="100" w:firstLine="357"/>
        <w:spacing w:after="0" w:line="289" w:lineRule="auto"/>
        <w:rPr>
          <w:sz w:val="20"/>
          <w:szCs w:val="20"/>
          <w:color w:val="auto"/>
        </w:rPr>
      </w:pPr>
      <w:r>
        <w:rPr>
          <w:rFonts w:ascii="Arial" w:cs="Arial" w:eastAsia="Arial" w:hAnsi="Arial"/>
          <w:sz w:val="18"/>
          <w:szCs w:val="18"/>
          <w:i w:val="1"/>
          <w:iCs w:val="1"/>
          <w:color w:val="auto"/>
        </w:rPr>
        <w:t xml:space="preserve">“Material Group Company” </w:t>
      </w:r>
      <w:r>
        <w:rPr>
          <w:rFonts w:ascii="Arial" w:cs="Arial" w:eastAsia="Arial" w:hAnsi="Arial"/>
          <w:sz w:val="18"/>
          <w:szCs w:val="18"/>
          <w:color w:val="auto"/>
        </w:rPr>
        <w:t>means any Group Company whose total EBITDA represent at least 10% of the total consolidated EBITDA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Group, always provided that the Issuer shall, if required, appoint Group Companies as “Material Group Companies” to procure that the Group Companies not being Material Group Companies shall in aggregate not exceed 20% of the consolidated EBITDA of the Group.</w:t>
      </w:r>
    </w:p>
    <w:p>
      <w:pPr>
        <w:spacing w:after="0" w:line="49"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i w:val="1"/>
          <w:iCs w:val="1"/>
          <w:color w:val="auto"/>
        </w:rPr>
        <w:t xml:space="preserve">“MLP” </w:t>
      </w:r>
      <w:r>
        <w:rPr>
          <w:rFonts w:ascii="Arial" w:cs="Arial" w:eastAsia="Arial" w:hAnsi="Arial"/>
          <w:sz w:val="19"/>
          <w:szCs w:val="19"/>
          <w:color w:val="auto"/>
        </w:rPr>
        <w:t>means GasLog Partners L.P. (or another MLP established and controlled by the Issuer), a master limited partnership whose limited</w:t>
      </w:r>
      <w:r>
        <w:rPr>
          <w:rFonts w:ascii="Arial" w:cs="Arial" w:eastAsia="Arial" w:hAnsi="Arial"/>
          <w:sz w:val="19"/>
          <w:szCs w:val="19"/>
          <w:i w:val="1"/>
          <w:iCs w:val="1"/>
          <w:color w:val="auto"/>
        </w:rPr>
        <w:t xml:space="preserve"> </w:t>
      </w:r>
      <w:r>
        <w:rPr>
          <w:rFonts w:ascii="Arial" w:cs="Arial" w:eastAsia="Arial" w:hAnsi="Arial"/>
          <w:sz w:val="19"/>
          <w:szCs w:val="19"/>
          <w:color w:val="auto"/>
        </w:rPr>
        <w:t>partnership units are traded on a regulated market place or a securities exchange established by a sponsor and which is managed and controlled by a General Partner with a number of limited partners (with customary limited voting rights in the MLP) as investors into which the profit is paid to the partners based on “available cash” with an aim of maximizing the MLP’s distributions, but so that the actual distributions are based on the General Partner’s discretion.</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“Quarter Date” </w:t>
      </w:r>
      <w:r>
        <w:rPr>
          <w:rFonts w:ascii="Arial" w:cs="Arial" w:eastAsia="Arial" w:hAnsi="Arial"/>
          <w:sz w:val="19"/>
          <w:szCs w:val="19"/>
          <w:color w:val="auto"/>
        </w:rPr>
        <w:t>means each of March 31, June 30, September 30 and December 31.</w:t>
      </w:r>
    </w:p>
    <w:p>
      <w:pPr>
        <w:spacing w:after="0" w:line="119" w:lineRule="exact"/>
        <w:rPr>
          <w:sz w:val="20"/>
          <w:szCs w:val="20"/>
          <w:color w:val="auto"/>
        </w:rPr>
      </w:pPr>
    </w:p>
    <w:p>
      <w:pPr>
        <w:ind w:right="240" w:firstLine="357"/>
        <w:spacing w:after="0" w:line="344" w:lineRule="auto"/>
        <w:rPr>
          <w:sz w:val="20"/>
          <w:szCs w:val="20"/>
          <w:color w:val="auto"/>
        </w:rPr>
      </w:pPr>
      <w:r>
        <w:rPr>
          <w:rFonts w:ascii="Arial" w:cs="Arial" w:eastAsia="Arial" w:hAnsi="Arial"/>
          <w:sz w:val="17"/>
          <w:szCs w:val="17"/>
          <w:i w:val="1"/>
          <w:iCs w:val="1"/>
          <w:color w:val="auto"/>
        </w:rPr>
        <w:t xml:space="preserve">“Restricted Payment” </w:t>
      </w:r>
      <w:r>
        <w:rPr>
          <w:rFonts w:ascii="Arial" w:cs="Arial" w:eastAsia="Arial" w:hAnsi="Arial"/>
          <w:sz w:val="17"/>
          <w:szCs w:val="17"/>
          <w:color w:val="auto"/>
        </w:rPr>
        <w:t>means any dividend or other distribution (whether in cash, securities or other property) with respect to any units or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any class of capital stock of or other ownership interests in the Issuer or any Subsidiary (as the case may be), or any payment (whether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8" w:name="page39"/>
    <w:bookmarkEnd w:id="38"/>
    <w:p>
      <w:pPr>
        <w:ind w:right="160"/>
        <w:spacing w:after="0" w:line="281" w:lineRule="auto"/>
        <w:rPr>
          <w:sz w:val="20"/>
          <w:szCs w:val="20"/>
          <w:color w:val="auto"/>
        </w:rPr>
      </w:pPr>
      <w:r>
        <w:rPr>
          <w:rFonts w:ascii="Arial" w:cs="Arial" w:eastAsia="Arial" w:hAnsi="Arial"/>
          <w:sz w:val="18"/>
          <w:szCs w:val="18"/>
          <w:color w:val="auto"/>
        </w:rPr>
        <w:t>in cash, securities or other property), including any sinking fund or similar deposit, on account of the purchase, redemption, retirement, acquisition, cancellation or termination of any such shares of capital stock of or other ownership interests in the Issuer or any Subsidiary or any option, warrant or other right to acquire any such shares of capital stock of or other ownership interests in the Issuer or any Subsidiary other than any such payments that may be made by and between or among one or more of the Group Companies.</w:t>
      </w:r>
    </w:p>
    <w:p>
      <w:pPr>
        <w:spacing w:after="0" w:line="57"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i w:val="1"/>
          <w:iCs w:val="1"/>
          <w:color w:val="auto"/>
        </w:rPr>
        <w:t xml:space="preserve">“Subsidiary” </w:t>
      </w:r>
      <w:r>
        <w:rPr>
          <w:rFonts w:ascii="Arial" w:cs="Arial" w:eastAsia="Arial" w:hAnsi="Arial"/>
          <w:sz w:val="19"/>
          <w:szCs w:val="19"/>
          <w:color w:val="auto"/>
        </w:rPr>
        <w:t>means an entity over which another entity or person has a determining influence due to (i) direct and indirect ownership of</w:t>
      </w:r>
      <w:r>
        <w:rPr>
          <w:rFonts w:ascii="Arial" w:cs="Arial" w:eastAsia="Arial" w:hAnsi="Arial"/>
          <w:sz w:val="19"/>
          <w:szCs w:val="19"/>
          <w:i w:val="1"/>
          <w:iCs w:val="1"/>
          <w:color w:val="auto"/>
        </w:rPr>
        <w:t xml:space="preserve"> </w:t>
      </w:r>
      <w:r>
        <w:rPr>
          <w:rFonts w:ascii="Arial" w:cs="Arial" w:eastAsia="Arial" w:hAnsi="Arial"/>
          <w:sz w:val="19"/>
          <w:szCs w:val="19"/>
          <w:color w:val="auto"/>
        </w:rPr>
        <w:t>shares or other ownership interests, (ii) control of the general partner of any such other entity that is a limited partnership and/or (iii) agreement, understanding or other arrangement. An entity shall always be considered to be the subsidiary of another entity or person if such entity or person has such number of shares or ownership interests so as to represent the majority of the votes in the entity, or has the right to elect or dismiss a majority of the directors in the entity.</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“Total Capitalization” </w:t>
      </w:r>
      <w:r>
        <w:rPr>
          <w:rFonts w:ascii="Arial" w:cs="Arial" w:eastAsia="Arial" w:hAnsi="Arial"/>
          <w:sz w:val="19"/>
          <w:szCs w:val="19"/>
          <w:color w:val="auto"/>
        </w:rPr>
        <w:t>means the sum of Total Indebtedness and Total Equity of the Group.</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i w:val="1"/>
          <w:iCs w:val="1"/>
          <w:color w:val="auto"/>
        </w:rPr>
        <w:t xml:space="preserve">“Total Equity” </w:t>
      </w:r>
      <w:r>
        <w:rPr>
          <w:rFonts w:ascii="Arial" w:cs="Arial" w:eastAsia="Arial" w:hAnsi="Arial"/>
          <w:sz w:val="19"/>
          <w:szCs w:val="19"/>
          <w:color w:val="auto"/>
        </w:rPr>
        <w:t>means the Total Equity of the Group on a consolidated basis as determined in accordance with GAAP as shown in the then</w:t>
      </w:r>
      <w:r>
        <w:rPr>
          <w:rFonts w:ascii="Arial" w:cs="Arial" w:eastAsia="Arial" w:hAnsi="Arial"/>
          <w:sz w:val="19"/>
          <w:szCs w:val="19"/>
          <w:i w:val="1"/>
          <w:iCs w:val="1"/>
          <w:color w:val="auto"/>
        </w:rPr>
        <w:t xml:space="preserve"> </w:t>
      </w:r>
      <w:r>
        <w:rPr>
          <w:rFonts w:ascii="Arial" w:cs="Arial" w:eastAsia="Arial" w:hAnsi="Arial"/>
          <w:sz w:val="19"/>
          <w:szCs w:val="19"/>
          <w:color w:val="auto"/>
        </w:rPr>
        <w:t>recent Financial Statements or Interim Accounts.</w:t>
      </w:r>
    </w:p>
    <w:p>
      <w:pPr>
        <w:spacing w:after="0" w:line="5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i w:val="1"/>
          <w:iCs w:val="1"/>
          <w:color w:val="auto"/>
        </w:rPr>
        <w:t xml:space="preserve">“Total Indebtedness” </w:t>
      </w:r>
      <w:r>
        <w:rPr>
          <w:rFonts w:ascii="Arial" w:cs="Arial" w:eastAsia="Arial" w:hAnsi="Arial"/>
          <w:sz w:val="19"/>
          <w:szCs w:val="19"/>
          <w:color w:val="auto"/>
        </w:rPr>
        <w:t>means the aggregate Financial Indebtedness (on a consolidated basis) of the Group as demonstrated by the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and Interim Accounts.</w:t>
      </w:r>
    </w:p>
    <w:p>
      <w:pPr>
        <w:spacing w:after="0" w:line="5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i w:val="1"/>
          <w:iCs w:val="1"/>
          <w:color w:val="auto"/>
        </w:rPr>
        <w:t xml:space="preserve">“Total Market Adjusted Assets” </w:t>
      </w:r>
      <w:r>
        <w:rPr>
          <w:rFonts w:ascii="Arial" w:cs="Arial" w:eastAsia="Arial" w:hAnsi="Arial"/>
          <w:sz w:val="19"/>
          <w:szCs w:val="19"/>
          <w:color w:val="auto"/>
        </w:rPr>
        <w:t>means the Total Assets adjusted upwards or downwards, as the case may be, to reflect any difference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the book value of delivered vessels owned wholly or in part by the Group and mean valuations of such vessels provided to the Trustee in each compliance certificate conducted by two independent valuers.</w:t>
      </w:r>
    </w:p>
    <w:p>
      <w:pPr>
        <w:spacing w:after="0" w:line="54"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i w:val="1"/>
          <w:iCs w:val="1"/>
          <w:color w:val="auto"/>
        </w:rPr>
        <w:t xml:space="preserve">“Wholly Owned Group Company” </w:t>
      </w:r>
      <w:r>
        <w:rPr>
          <w:rFonts w:ascii="Arial" w:cs="Arial" w:eastAsia="Arial" w:hAnsi="Arial"/>
          <w:sz w:val="19"/>
          <w:szCs w:val="19"/>
          <w:color w:val="auto"/>
        </w:rPr>
        <w:t>of any Person means a Group Company of such Person, all of the capital stock of which is owned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Issuer or another Wholly Owned Group Company.</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Control Permits Holders to Require the Issuer to Purchase Notes</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 xml:space="preserve">If a Change of Control (as defined below) occurs at any time, you will have the right, at your option, to require the Issuer to purchase for cash any or all of your Notes, or any portion of the principal amount thereof, that is equal to $1,000 or multiple of $1,000. The price the Issuer is required to pay (or the </w:t>
      </w:r>
      <w:r>
        <w:rPr>
          <w:rFonts w:ascii="Arial" w:cs="Arial" w:eastAsia="Arial" w:hAnsi="Arial"/>
          <w:sz w:val="18"/>
          <w:szCs w:val="18"/>
          <w:i w:val="1"/>
          <w:iCs w:val="1"/>
          <w:color w:val="auto"/>
        </w:rPr>
        <w:t>Change of Control Purchase Price</w:t>
      </w:r>
      <w:r>
        <w:rPr>
          <w:rFonts w:ascii="Arial" w:cs="Arial" w:eastAsia="Arial" w:hAnsi="Arial"/>
          <w:sz w:val="18"/>
          <w:szCs w:val="18"/>
          <w:color w:val="auto"/>
        </w:rPr>
        <w:t>) is equal to 101% of the principal amount of the Notes to be purchased plus accrued and unpaid interest to but excluding the Change of Control Purchase Date (unless the Change of Control Purchase Date is after a record date and on or prior to the interest payment date to which such record date relates, in which case the Issuer will instead pay the full amount of accrued and unpaid interest to the holder of record on such record date and the Change of Control Purchase Price will be equal to 101% of the principal amount of the Notes to be purchased). The “Change of Control Purchase Date” will be a date specified by us that is not less than 20 or more than 35 calendar days following the date of our Change of Control notice as described below. Any Notes purchased by the Issuer will be paid for in cash. A “Change of Control” will be deemed to have occurred at the time after the Notes are originally issued if:</w:t>
      </w:r>
    </w:p>
    <w:p>
      <w:pPr>
        <w:spacing w:after="0" w:line="57" w:lineRule="exact"/>
        <w:rPr>
          <w:sz w:val="20"/>
          <w:szCs w:val="20"/>
          <w:color w:val="auto"/>
        </w:rPr>
      </w:pPr>
    </w:p>
    <w:p>
      <w:pPr>
        <w:ind w:left="780" w:right="200" w:hanging="323"/>
        <w:spacing w:after="0" w:line="291"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other than one or more Permitted Holders, is or becomes the “Beneficial Owner” (as defined in Rules 13d-3 and 13d-5 under the Exchange Act, except that for purposes of this clause</w:t>
      </w:r>
    </w:p>
    <w:p>
      <w:pPr>
        <w:spacing w:after="0" w:line="1" w:lineRule="exact"/>
        <w:rPr>
          <w:rFonts w:ascii="Arial" w:cs="Arial" w:eastAsia="Arial" w:hAnsi="Arial"/>
          <w:sz w:val="17"/>
          <w:szCs w:val="17"/>
          <w:color w:val="auto"/>
        </w:rPr>
      </w:pPr>
    </w:p>
    <w:p>
      <w:pPr>
        <w:ind w:left="780"/>
        <w:spacing w:after="0" w:line="258" w:lineRule="auto"/>
        <w:rPr>
          <w:rFonts w:ascii="Arial" w:cs="Arial" w:eastAsia="Arial" w:hAnsi="Arial"/>
          <w:sz w:val="17"/>
          <w:szCs w:val="17"/>
          <w:color w:val="auto"/>
        </w:rPr>
      </w:pPr>
      <w:r>
        <w:rPr>
          <w:rFonts w:ascii="Arial" w:cs="Arial" w:eastAsia="Arial" w:hAnsi="Arial"/>
          <w:sz w:val="19"/>
          <w:szCs w:val="19"/>
          <w:color w:val="auto"/>
        </w:rPr>
        <w:t>(1) such Person shall be deemed to have “Beneficial Ownership” of all shares that any such Person has the right to acquire, whether such right is exercisable immediately or only after the passage of time), directly or indirectly, of more than 50% of the total voting power of the Voting Stock (as defined below) of the Issuer; or</w:t>
      </w:r>
    </w:p>
    <w:p>
      <w:pPr>
        <w:spacing w:after="0" w:line="62" w:lineRule="exact"/>
        <w:rPr>
          <w:rFonts w:ascii="Arial" w:cs="Arial" w:eastAsia="Arial" w:hAnsi="Arial"/>
          <w:sz w:val="17"/>
          <w:szCs w:val="17"/>
          <w:color w:val="auto"/>
        </w:rPr>
      </w:pPr>
    </w:p>
    <w:p>
      <w:pPr>
        <w:ind w:left="780" w:right="140" w:hanging="323"/>
        <w:spacing w:after="0" w:line="302"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merger or consolidation of the Issuer with or into another Person or the merger of another Person with or into the Issuer, or the sale of all or substantially all the assets of the Issuer (determined on a consolidated basis) to another Person other than (i) a transaction in which the survivor or transferee is a Person that is controlled by the Permitted Holders or (ii) a transaction following which, in the case of a merger or consolidation transaction, holders of securities that represented 100% of the Voting Stock of the Issuer immediately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9" w:name="page40"/>
    <w:bookmarkEnd w:id="39"/>
    <w:p>
      <w:pPr>
        <w:ind w:left="780" w:right="20"/>
        <w:spacing w:after="0" w:line="313" w:lineRule="auto"/>
        <w:rPr>
          <w:sz w:val="20"/>
          <w:szCs w:val="20"/>
          <w:color w:val="auto"/>
        </w:rPr>
      </w:pPr>
      <w:r>
        <w:rPr>
          <w:rFonts w:ascii="Arial" w:cs="Arial" w:eastAsia="Arial" w:hAnsi="Arial"/>
          <w:sz w:val="17"/>
          <w:szCs w:val="17"/>
          <w:color w:val="auto"/>
        </w:rPr>
        <w:t>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59" w:lineRule="exact"/>
        <w:rPr>
          <w:sz w:val="20"/>
          <w:szCs w:val="20"/>
          <w:color w:val="auto"/>
        </w:rPr>
      </w:pPr>
    </w:p>
    <w:p>
      <w:pPr>
        <w:ind w:right="20" w:firstLine="357"/>
        <w:spacing w:after="0" w:line="313" w:lineRule="auto"/>
        <w:rPr>
          <w:sz w:val="20"/>
          <w:szCs w:val="20"/>
          <w:color w:val="auto"/>
        </w:rPr>
      </w:pPr>
      <w:r>
        <w:rPr>
          <w:rFonts w:ascii="Arial" w:cs="Arial" w:eastAsia="Arial" w:hAnsi="Arial"/>
          <w:sz w:val="17"/>
          <w:szCs w:val="17"/>
          <w:color w:val="auto"/>
        </w:rPr>
        <w:t>As used above, “voting stock”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2"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“Permitted Holders” means collectively the Livanos family and the Radziwill family, including trusts and other entities formed for the benefit of these families.</w:t>
      </w:r>
    </w:p>
    <w:p>
      <w:pPr>
        <w:spacing w:after="0" w:line="52" w:lineRule="exact"/>
        <w:rPr>
          <w:sz w:val="20"/>
          <w:szCs w:val="20"/>
          <w:color w:val="auto"/>
        </w:rPr>
      </w:pPr>
    </w:p>
    <w:p>
      <w:pPr>
        <w:ind w:right="80" w:firstLine="357"/>
        <w:spacing w:after="0" w:line="339" w:lineRule="auto"/>
        <w:rPr>
          <w:sz w:val="20"/>
          <w:szCs w:val="20"/>
          <w:color w:val="auto"/>
        </w:rPr>
      </w:pPr>
      <w:r>
        <w:rPr>
          <w:rFonts w:ascii="Arial" w:cs="Arial" w:eastAsia="Arial" w:hAnsi="Arial"/>
          <w:sz w:val="17"/>
          <w:szCs w:val="17"/>
          <w:color w:val="auto"/>
        </w:rPr>
        <w:t>On or before the 30th day after the occurrence of a Change of Control, we will provide to all holders of the Notes and the Trustee and paying agent a notice of the occurrence of the Change of Control and of the resulting purchase right. Such notice shall state, among other things:</w:t>
      </w:r>
    </w:p>
    <w:p>
      <w:pPr>
        <w:spacing w:after="0" w:line="2" w:lineRule="exact"/>
        <w:rPr>
          <w:sz w:val="20"/>
          <w:szCs w:val="20"/>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events causing a Change of Control;</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date of the Change of Control;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last date on which a holder may exercise the repurchase right;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Change of Control Purchase Price;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Change of Control Purchase Date;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name and address of the paying agent;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procedures that holders must follow to require the Issuer to purchase their Notes.</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Simultaneously with providing such notice, we will publish a notice containing this information in a newspaper of general circulation in The City of New York or publish the information on our website or through such other public medium as we may select.</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To exercise the Change of Control purchase right, you must deliver, on or before the third business day (or as otherwise provided in the notice described above) immediately preceding the Change of Control Purchase Date, the Notes to be purchased, duly endorsed for transfer, together with a written purchase notice and the form entitled “Form of Change of Control Purchase Notice” on the reverse side of the Notes duly completed, to the paying agent. Your purchase notice must state:</w:t>
      </w:r>
    </w:p>
    <w:p>
      <w:pPr>
        <w:spacing w:after="0" w:line="59" w:lineRule="exact"/>
        <w:rPr>
          <w:sz w:val="20"/>
          <w:szCs w:val="20"/>
          <w:color w:val="auto"/>
        </w:rPr>
      </w:pPr>
    </w:p>
    <w:p>
      <w:pPr>
        <w:ind w:left="540" w:right="580" w:hanging="168"/>
        <w:spacing w:after="0" w:line="28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certificated, the certificate numbers of your Notes to be delivered for purchase or if not certificated, your notice must comply with appropriate DTC procedures;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portion of the principal amount of Notes to be purchased, which must be $1,000 or a multiple thereof;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that the Notes are to be purchased by the Issuer pursuant to the applicable provisions of the Notes and the Indenture.</w:t>
      </w:r>
    </w:p>
    <w:p>
      <w:pPr>
        <w:spacing w:after="0" w:line="119" w:lineRule="exact"/>
        <w:rPr>
          <w:sz w:val="20"/>
          <w:szCs w:val="20"/>
          <w:color w:val="auto"/>
        </w:rPr>
      </w:pPr>
    </w:p>
    <w:p>
      <w:pPr>
        <w:ind w:right="60" w:firstLine="357"/>
        <w:spacing w:after="0" w:line="312" w:lineRule="auto"/>
        <w:rPr>
          <w:sz w:val="20"/>
          <w:szCs w:val="20"/>
          <w:color w:val="auto"/>
        </w:rPr>
      </w:pPr>
      <w:r>
        <w:rPr>
          <w:rFonts w:ascii="Arial" w:cs="Arial" w:eastAsia="Arial" w:hAnsi="Arial"/>
          <w:sz w:val="18"/>
          <w:szCs w:val="18"/>
          <w:color w:val="auto"/>
        </w:rPr>
        <w:t>You may withdraw any purchase notice (in whole or in part) by a written notice of withdrawal delivered to the paying agent prior to the close of business on the business day immediately preceding the Change of Control Purchase Date. The notice of withdrawal shall state:</w:t>
      </w:r>
    </w:p>
    <w:p>
      <w:pPr>
        <w:spacing w:after="0" w:line="16" w:lineRule="exact"/>
        <w:rPr>
          <w:sz w:val="20"/>
          <w:szCs w:val="20"/>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principal amount of the withdrawn Notes;</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if certificated Notes have been issued, the certificate numbers of the withdrawn Notes, or if not certificated, your notice must comply with appropriate DTC procedures;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principal amount, if any, which remains subject to the purchase notice.</w:t>
      </w:r>
    </w:p>
    <w:p>
      <w:pPr>
        <w:spacing w:after="0" w:line="119"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The Issuer will be required to purchase the Notes on the Change of Control Purchase Date. You will receive payment of the Change of Control Purchase Price on the later of the Change of Control Purchase Date or the time of book-entry transfer or the delivery of the Notes. If the paying</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9" w:right="27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agent holds money or securities sufficient to pay the Change of Control Purchase Price of the Notes on the Change of Control Purchase Date, then:</w:t>
      </w:r>
    </w:p>
    <w:p>
      <w:pPr>
        <w:spacing w:after="0" w:line="129" w:lineRule="exact"/>
        <w:rPr>
          <w:sz w:val="20"/>
          <w:szCs w:val="20"/>
          <w:color w:val="auto"/>
        </w:rPr>
      </w:pPr>
    </w:p>
    <w:p>
      <w:pPr>
        <w:ind w:left="540" w:right="100" w:hanging="16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Notes will cease to be outstanding and interest, including any additional interest, if any, will cease to accrue (whether or not book-entry transfer of the Notes is made or whether or not the Notes are delivered to the paying agent);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other rights of the holder will terminate (other than the right to receive the Change of Control Purchase Price).</w:t>
      </w:r>
    </w:p>
    <w:p>
      <w:pPr>
        <w:spacing w:after="0" w:line="119" w:lineRule="exact"/>
        <w:rPr>
          <w:sz w:val="20"/>
          <w:szCs w:val="20"/>
          <w:color w:val="auto"/>
        </w:rPr>
      </w:pPr>
    </w:p>
    <w:p>
      <w:pPr>
        <w:ind w:right="840" w:firstLine="357"/>
        <w:spacing w:after="0" w:line="283" w:lineRule="auto"/>
        <w:rPr>
          <w:sz w:val="20"/>
          <w:szCs w:val="20"/>
          <w:color w:val="auto"/>
        </w:rPr>
      </w:pPr>
      <w:r>
        <w:rPr>
          <w:rFonts w:ascii="Arial" w:cs="Arial" w:eastAsia="Arial" w:hAnsi="Arial"/>
          <w:sz w:val="19"/>
          <w:szCs w:val="19"/>
          <w:color w:val="auto"/>
        </w:rPr>
        <w:t>In connection with any purchase offer pursuant to a Change of Control purchase notice, the Issuer will, if required, comply with the provisions of the tender offer rules under the Exchange Act that may then be applicable to them.</w:t>
      </w:r>
    </w:p>
    <w:p>
      <w:pPr>
        <w:spacing w:after="0" w:line="52" w:lineRule="exact"/>
        <w:rPr>
          <w:sz w:val="20"/>
          <w:szCs w:val="20"/>
          <w:color w:val="auto"/>
        </w:rPr>
      </w:pPr>
    </w:p>
    <w:p>
      <w:pPr>
        <w:ind w:right="820" w:firstLine="357"/>
        <w:spacing w:after="0" w:line="312" w:lineRule="auto"/>
        <w:rPr>
          <w:sz w:val="20"/>
          <w:szCs w:val="20"/>
          <w:color w:val="auto"/>
        </w:rPr>
      </w:pPr>
      <w:r>
        <w:rPr>
          <w:rFonts w:ascii="Arial" w:cs="Arial" w:eastAsia="Arial" w:hAnsi="Arial"/>
          <w:sz w:val="18"/>
          <w:szCs w:val="18"/>
          <w:color w:val="auto"/>
        </w:rPr>
        <w:t>No Notes may be purchased at the option of holders thereof upon a Change of Control if the principal amount of the Notes has been accelerated, and such acceleration has not been rescinded, on or prior to the Change of Control Purchase Date.</w:t>
      </w:r>
    </w:p>
    <w:p>
      <w:pPr>
        <w:spacing w:after="0" w:line="16"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Change of Control purchase rights of the holders could discourage a potential acquirer of us. The Change of Control purchase feature, however, is not the result of management’s knowledge of any specific effort to obtain control of us by any means or part of a plan by management to adopt a series of anti-takeover provisions.</w:t>
      </w:r>
    </w:p>
    <w:p>
      <w:pPr>
        <w:spacing w:after="0" w:line="68"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The term Change of Control is limited to specified transactions and may not include other events that might adversely affect our financial condition. In addition, the requirement that the Issuer offers to purchase the Notes upon a Change of Control may not protect holders in the event of a highly leveraged transaction, reorganization, merger or similar transaction involving us.</w:t>
      </w:r>
    </w:p>
    <w:p>
      <w:pPr>
        <w:spacing w:after="0" w:line="6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definition of Change of Control includes a phrase relating to the conveyance, transfer, sale, lease or disposition of “all or substantially all” of our consolidated assets. There is no precise, established definition of the phrase “substantially all” under applicable law. Accordingly, the ability of a holder of the Notes to require us to purchase its Notes as a result of the conveyance, transfer, sale, lease or other disposition of less than all of our assets may be uncertain.</w:t>
      </w:r>
    </w:p>
    <w:p>
      <w:pPr>
        <w:spacing w:after="0" w:line="72"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If a Change of Control were to occur, the Issuer may not have enough funds to pay the Change of Control Purchase Price. The Issuer’s ability to repurchase the Notes for cash may be limited by restrictions on its ability to obtain funds for such repurchase through dividends from its subsidiaries, the terms of its then existing borrowing arrangements or otherwise. Please read “Risk Factors—Risks Related to the Notes—We may not have the ability to raise the funds necessary to purchase or repurchase our Notes as required upon a change of control, and our existing and future debt may contain limitations on our ability to purchase or repurchase our Notes.” If the Issuer fails to purchase the Notes when required following a Change of Control, the Issuer will be in Default under the Indenture. In addition, we have, and we may in the future incur, other indebtedness with similar change in control provisions permitting our holders to accelerate or to require us to purchase their indebtedness upon the occurrence of similar events or on some specific dates.</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Consolidation, Merger and Sale of Assets</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Issuer may not consolidate with or merge with or into, any other person or sell, assign, convey, transfer, lease its properties and assets as an entirety or substantially as an entirety to any person, unless:</w:t>
      </w:r>
    </w:p>
    <w:p>
      <w:pPr>
        <w:spacing w:after="0" w:line="38" w:lineRule="exact"/>
        <w:rPr>
          <w:sz w:val="20"/>
          <w:szCs w:val="20"/>
          <w:color w:val="auto"/>
        </w:rPr>
      </w:pPr>
    </w:p>
    <w:p>
      <w:pPr>
        <w:ind w:left="540" w:right="160" w:hanging="168"/>
        <w:spacing w:after="0" w:line="258"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successor person (if any) is a corporation, partnership, trust or other entity organized and validly existing under the laws of the Commonwealth of Bermuda, the United States of America, any State of the United States or the District of Columbia, the Commonwealth of the Bahamas, the Republic of Liberia, the Republic of Panama, the Republic of the Marshall Islands, the British Virgin Islands, the Cayman Islands, the Isle of Man, Cyprus, Norway, Greece, Hong Kong, the United Kingdom, Malta, any Member State of the European Union and any other jurisdiction generally acceptable, as determined in good faith by the board of directors of the Issuer, to institutional lenders in the shipping industry, and expressly assumes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1" w:name="page42"/>
    <w:bookmarkEnd w:id="41"/>
    <w:p>
      <w:pPr>
        <w:ind w:left="540"/>
        <w:spacing w:after="0"/>
        <w:rPr>
          <w:sz w:val="20"/>
          <w:szCs w:val="20"/>
          <w:color w:val="auto"/>
        </w:rPr>
      </w:pPr>
      <w:r>
        <w:rPr>
          <w:rFonts w:ascii="Arial" w:cs="Arial" w:eastAsia="Arial" w:hAnsi="Arial"/>
          <w:sz w:val="19"/>
          <w:szCs w:val="19"/>
          <w:color w:val="auto"/>
        </w:rPr>
        <w:t>by supplemental indenture all of the obligations of the Issuer under the Notes and the Indenture;</w:t>
      </w:r>
    </w:p>
    <w:p>
      <w:pPr>
        <w:spacing w:after="0" w:line="106" w:lineRule="exact"/>
        <w:rPr>
          <w:sz w:val="20"/>
          <w:szCs w:val="20"/>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immediately after giving effect to the transaction, no Event of Default shall have occurred and be continuing;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other conditions specified in the Indenture are met.</w:t>
      </w:r>
    </w:p>
    <w:p>
      <w:pPr>
        <w:spacing w:after="0" w:line="11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Upon any consolidation, merger, sale, assignment, conveyance, transfer or lease of the properties and assets of the Issuer in accordance with the foregoing provisions, the successor person formed by such consolidation or into which the Issuer is merged or to which such sale, assignment, conveyance, transfer or lease is made shall succeed to, and be substituted for, and may exercise every right and power of, the Issuer under the Indenture; and thereafter, except in the case of a lease, the Issuer shall be released from all obligations and covenants under this Indenture and the Notes.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Notes are subject to the following events of default:</w:t>
      </w:r>
    </w:p>
    <w:p>
      <w:pPr>
        <w:spacing w:after="0" w:line="92" w:lineRule="exact"/>
        <w:rPr>
          <w:sz w:val="20"/>
          <w:szCs w:val="20"/>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pay any principal of or any premium when due, continued for three (3) calendar days;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pay any interest when due, continued for thirty (30) calendar days;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perform or comply with the provisions of the Indenture relating to mergers and similar events;</w:t>
      </w:r>
    </w:p>
    <w:p>
      <w:pPr>
        <w:spacing w:after="0" w:line="105" w:lineRule="exact"/>
        <w:rPr>
          <w:rFonts w:ascii="Arial" w:cs="Arial" w:eastAsia="Arial" w:hAnsi="Arial"/>
          <w:sz w:val="19"/>
          <w:szCs w:val="19"/>
          <w:color w:val="auto"/>
        </w:rPr>
      </w:pPr>
    </w:p>
    <w:p>
      <w:pPr>
        <w:ind w:left="780" w:right="60" w:hanging="323"/>
        <w:spacing w:after="0" w:line="267"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provide notice of a Change of Control or to repurchase Notes tendered for repurchase following the occurrence of a Change of Control in conformity with the covenant set forth under the caption “—Change of Control Permits Holders to Require the Issuer to Purchase Notes;”</w:t>
      </w:r>
    </w:p>
    <w:p>
      <w:pPr>
        <w:spacing w:after="0" w:line="54" w:lineRule="exact"/>
        <w:rPr>
          <w:rFonts w:ascii="Arial" w:cs="Arial" w:eastAsia="Arial" w:hAnsi="Arial"/>
          <w:sz w:val="19"/>
          <w:szCs w:val="19"/>
          <w:color w:val="auto"/>
        </w:rPr>
      </w:pPr>
    </w:p>
    <w:p>
      <w:pPr>
        <w:ind w:left="780" w:right="160" w:hanging="323"/>
        <w:spacing w:after="0" w:line="283"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perform any of the other covenants in the Indenture, continued for 60 days after written notice has been given by the Trustee, or the holders of at least 25% in principal amount of the outstanding Notes, as provided in the Indenture;</w:t>
      </w:r>
    </w:p>
    <w:p>
      <w:pPr>
        <w:spacing w:after="0" w:line="38" w:lineRule="exact"/>
        <w:rPr>
          <w:rFonts w:ascii="Arial" w:cs="Arial" w:eastAsia="Arial" w:hAnsi="Arial"/>
          <w:sz w:val="19"/>
          <w:szCs w:val="19"/>
          <w:color w:val="auto"/>
        </w:rPr>
      </w:pPr>
    </w:p>
    <w:p>
      <w:pPr>
        <w:ind w:left="780" w:right="20" w:hanging="323"/>
        <w:spacing w:after="0" w:line="262"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debt for borrowed money of the Group or any Group Member having an aggregate principal amount of $50,000,000 or more in the aggregate for all such debt of all such persons (i) is subject to an event of default that results in such debt being immediately due and payable prior to its scheduled maturity or (ii) is subject to a failure to make a principal payment when due and such defaulted payment is not made, waived or extended within the applicable grace period;</w:t>
      </w:r>
    </w:p>
    <w:p>
      <w:pPr>
        <w:spacing w:after="0" w:line="58" w:lineRule="exact"/>
        <w:rPr>
          <w:rFonts w:ascii="Arial" w:cs="Arial" w:eastAsia="Arial" w:hAnsi="Arial"/>
          <w:sz w:val="19"/>
          <w:szCs w:val="19"/>
          <w:color w:val="auto"/>
        </w:rPr>
      </w:pPr>
    </w:p>
    <w:p>
      <w:pPr>
        <w:jc w:val="both"/>
        <w:ind w:left="780" w:right="40" w:hanging="323"/>
        <w:spacing w:after="0" w:line="267"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final non-appealable judgment or decree for the payment of money in excess of $50,000,000 is entered against any Group Company and remains outstanding for a period of 90 consecutive days following entry of such final non-appealable judgment or decree and is not discharged, waived or stayed; and</w:t>
      </w:r>
    </w:p>
    <w:p>
      <w:pPr>
        <w:spacing w:after="0" w:line="54" w:lineRule="exact"/>
        <w:rPr>
          <w:rFonts w:ascii="Arial" w:cs="Arial" w:eastAsia="Arial" w:hAnsi="Arial"/>
          <w:sz w:val="19"/>
          <w:szCs w:val="19"/>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certain events of bankruptcy, insolvency or reorganization affecting the Issuer or any Material Group Company.</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If an Event of Default, other than an Event of Default described in clause (7) above, occurs and is continuing, either the Trustee or the holders of at least 25% in aggregate principal amount of the outstanding Notes may declare the principal amount of the Notes to be due and payable immediately. If an Event of Default described in clause (8) above occurs, the principal amount of the Notes and accrued and unpaid interest, if any, will automatically become immediately due and payable.</w:t>
      </w:r>
    </w:p>
    <w:p>
      <w:pPr>
        <w:spacing w:after="0" w:line="7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After any such acceleration, but before a judgment or decree based on acceleration, the holders of a majority in aggregate principal amount of the Notes may, under certain circumstances, rescind and annul such acceleration if all Events of Default, other than the non-payment of accelerated principal and any premium, interest or Additional Amounts which have become due as a result of such acceleration, have been cured or waived.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42" w:name="page43"/>
    <w:bookmarkEnd w:id="42"/>
    <w:p>
      <w:pPr>
        <w:ind w:right="40" w:firstLine="357"/>
        <w:spacing w:after="0" w:line="270" w:lineRule="auto"/>
        <w:rPr>
          <w:sz w:val="20"/>
          <w:szCs w:val="20"/>
          <w:color w:val="auto"/>
        </w:rPr>
      </w:pPr>
      <w:r>
        <w:rPr>
          <w:rFonts w:ascii="Arial" w:cs="Arial" w:eastAsia="Arial" w:hAnsi="Arial"/>
          <w:sz w:val="18"/>
          <w:szCs w:val="18"/>
          <w:color w:val="auto"/>
        </w:rPr>
        <w:t>Notwithstanding the foregoing, if we so elect, the sole remedy under the Indenture for an Event of Default relating to (i) our failure to file with the Trustee pursuant to Section 314(a)(1) of the Trust Indenture Act any documents or reports that we are required to file with the SEC pursuant to Section 13 or 15(d) of the Exchange Act, or (ii) the failure to comply with our reporting obligations to the Trustee and the SEC, as described under “—Reports” below will, after the occurrence of such an Event of Default, consist exclusively of the right to receive additional interest on the Notes at an annual rate equal to (a) 0.25% per annum of the outstanding principal amount of the Notes for each day during the 90-day period beginning on, and including, the date on which such Event of Default first occurs and on which such Event of Default is continuing; and (b) 0.50% per annum of the outstanding principal amount of the Notes for each day during the 90-day period beginning on, and including, the 91st day following, and including the date on which such Event of Default first occurs and on which such Event of Default is continuing. In the event we do not elect to pay the additional interest upon an Event of Default in accordance with this paragraph, the Notes will be subject to acceleration as provided above. This additional interest will be payable in arrears on the same dates and in the same manner as regular interest on the Notes. On the 181st day after such Event of Default first occurs (if not waived or cured prior to such 181st day), such additional interest will cease to accrue and the Notes will be subject to acceleration as provided above. The provisions of the Indenture described in this paragraph will not affect the rights of holders of Notes in the event of the occurrence of any other Events of Default.</w:t>
      </w:r>
    </w:p>
    <w:p>
      <w:pPr>
        <w:spacing w:after="0" w:line="66"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In order to elect to pay additional interest as the sole remedy during the first 180 days after the occurrence of an Event of Default relating to the failure to comply with the reporting obligations in accordance with the immediately preceding paragraph, we must notify all holders of record of Notes and the Trustee and paying agent of such election on or before the close of business on the fifth business day prior to the date on which such Event of Default would otherwise occur. Upon our failure to timely give such notice or pay additional interest, the Notes will be immediately subject to acceleration as provided above.</w:t>
      </w:r>
    </w:p>
    <w:p>
      <w:pPr>
        <w:spacing w:after="0" w:line="77"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The Trustee will not be obligated to exercise any of its rights or powers at the request of the holders unless the holders have offered to the Trustee indemnity or security satisfactory to it against any loss, liability or expense. Subject to the Indenture, applicable law and upon providing indemnification satisfactory to the Trustee, the holders of a majority in aggregate principal amount of the outstanding Notes will have the right to direct the time, method and place of conducting any proceeding for any remedy available to the Trustee or exercising any trust or power conferred on the Trustee with respect to the Notes. The Indenture will provide that in the event an Event of Default has occurred and is continuing, the Trustee will be required in the exercise of its powers to use the degree of care that a prudent person would use in the conduct of such person’s own affairs. The Trustee, however, may refuse to follow any direction that conflicts with law or the Indenture or that the Trustee determines is unduly prejudicial to the rights of any other holder.</w:t>
      </w:r>
    </w:p>
    <w:p>
      <w:pPr>
        <w:spacing w:after="0" w:line="80"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No holder will have any right to institute any proceeding, judicial or otherwise, with respect to or under the Indenture, or for the appointment of a receiver or a Trustee, or for any other remedy under the Indenture unless:</w:t>
      </w:r>
    </w:p>
    <w:p>
      <w:pPr>
        <w:spacing w:after="0" w:line="25" w:lineRule="exact"/>
        <w:rPr>
          <w:sz w:val="20"/>
          <w:szCs w:val="20"/>
          <w:color w:val="auto"/>
        </w:rPr>
      </w:pPr>
    </w:p>
    <w:p>
      <w:pPr>
        <w:ind w:left="540" w:hanging="168"/>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holder has previously given the Trustee written notice of a continuing Event of Default;</w:t>
      </w:r>
    </w:p>
    <w:p>
      <w:pPr>
        <w:spacing w:after="0" w:line="105" w:lineRule="exact"/>
        <w:rPr>
          <w:rFonts w:ascii="Arial" w:cs="Arial" w:eastAsia="Arial" w:hAnsi="Arial"/>
          <w:sz w:val="19"/>
          <w:szCs w:val="19"/>
          <w:color w:val="auto"/>
        </w:rPr>
      </w:pPr>
    </w:p>
    <w:p>
      <w:pPr>
        <w:ind w:left="540" w:right="80" w:hanging="168"/>
        <w:spacing w:after="0" w:line="267"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Notes then outstanding have made a written request and have offered indemnity satisfactory to the Trustee against the costs, expenses and liabilities to be incurred in compliance with such request to institute such proceeding as Trustee; and</w:t>
      </w:r>
    </w:p>
    <w:p>
      <w:pPr>
        <w:spacing w:after="0" w:line="54" w:lineRule="exact"/>
        <w:rPr>
          <w:rFonts w:ascii="Arial" w:cs="Arial" w:eastAsia="Arial" w:hAnsi="Arial"/>
          <w:sz w:val="19"/>
          <w:szCs w:val="19"/>
          <w:color w:val="auto"/>
        </w:rPr>
      </w:pPr>
    </w:p>
    <w:p>
      <w:pPr>
        <w:ind w:left="540" w:right="100" w:hanging="168"/>
        <w:spacing w:after="0" w:line="267"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Trustee has failed to institute such proceeding within 60 days after such notice, request and offer and has not received from the holders of a majority in aggregate principal amount of the Notes then outstanding a direction inconsistent with such request within 60 days after such notice, request and offer.</w:t>
      </w:r>
    </w:p>
    <w:p>
      <w:pPr>
        <w:spacing w:after="0" w:line="68"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However, the above limitations do not apply to a suit instituted by a holder for the enforcement of payment of the principal of or interest on any Note on or after the applicable due date in accordance with the Indenture.</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43" w:name="page44"/>
    <w:bookmarkEnd w:id="43"/>
    <w:p>
      <w:pPr>
        <w:ind w:left="360"/>
        <w:spacing w:after="0"/>
        <w:rPr>
          <w:sz w:val="20"/>
          <w:szCs w:val="20"/>
          <w:color w:val="auto"/>
        </w:rPr>
      </w:pPr>
      <w:r>
        <w:rPr>
          <w:rFonts w:ascii="Arial" w:cs="Arial" w:eastAsia="Arial" w:hAnsi="Arial"/>
          <w:sz w:val="17"/>
          <w:szCs w:val="17"/>
          <w:color w:val="auto"/>
        </w:rPr>
        <w:t>Generally, the holders of not less than a majority of the aggregate principal amount of outstanding Notes may waive any Default or Event of</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Default unless:</w:t>
      </w:r>
    </w:p>
    <w:p>
      <w:pPr>
        <w:spacing w:after="0" w:line="90" w:lineRule="exact"/>
        <w:rPr>
          <w:sz w:val="20"/>
          <w:szCs w:val="20"/>
          <w:color w:val="auto"/>
        </w:rPr>
      </w:pPr>
    </w:p>
    <w:p>
      <w:pPr>
        <w:ind w:left="540" w:hanging="168"/>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Issuer fails to pay the principal of or any interest on any Note when due;</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Issuer fails to comply with any of the provisions of the Indenture that would require the consent of the holder of each outstanding Note affected.</w:t>
      </w:r>
    </w:p>
    <w:p>
      <w:pPr>
        <w:spacing w:after="0" w:line="52"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Indenture provides that within 90 days after the Trustee receives written notice of a Default, the Trustee shall transmit by mail to all holders, notice of such Default hereunder, unless such Default shall have been cured or waived. Except in the case of a Default in the payment of principal of or interest on any note, the Trustee may withhold notice if and so long as the Trustee in good faith determines that withholding notice is in the best interest of the holders.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holder shall have the right to receive payment or delivery, as the case may be, of:</w:t>
      </w:r>
    </w:p>
    <w:p>
      <w:pPr>
        <w:spacing w:after="0" w:line="92" w:lineRule="exact"/>
        <w:rPr>
          <w:sz w:val="20"/>
          <w:szCs w:val="20"/>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principal (including the Change of Control Purchase Price, if applicable) of;</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accrued and unpaid interest, if any, 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applicable premium, if any, on;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Additional Amounts, if any, on</w:t>
      </w:r>
    </w:p>
    <w:p>
      <w:pPr>
        <w:spacing w:after="0" w:line="119"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its Notes, on or after the respective due dates expressed or provided for in the Indenture, or to institute suit for the enforcement of any such payment or delivery, as the case may be, and such right to receive such payment or delivery, as the case may be, on or after such respective dates shall not be impaired or affected without the consent of such holder.</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and Waiver</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Issuer and the Trustee may amend or supplement the Indenture with respect to the Notes with the consent (including consents obtained in connection with any tender offer or exchange offer) of the holders of a majority in aggregate principal amount of the outstanding Notes. In addition, the holders of a majority in aggregate principal amount of the outstanding Notes may waive the Issuer’s compliance in any instance with any provision of the Indenture without notice to the other holders of Notes. However, no amendment, supplement or waiver may be made without the consent of each holder of outstanding Notes affected thereby if such amendment, supplement or waiver would:</w:t>
      </w:r>
    </w:p>
    <w:p>
      <w:pPr>
        <w:spacing w:after="0" w:line="48" w:lineRule="exact"/>
        <w:rPr>
          <w:sz w:val="20"/>
          <w:szCs w:val="20"/>
          <w:color w:val="auto"/>
        </w:rPr>
      </w:pPr>
    </w:p>
    <w:p>
      <w:pPr>
        <w:ind w:left="540" w:hanging="168"/>
        <w:spacing w:after="0"/>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any interest on the Notes;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reduce the principal amount of or interest on the Notes;</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reduce the premium payable upon the redemption of any Note or change the time at which any note may be redeemed as described under “—Optional Redemption” above,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change the currency of payment of principal of or interest on the Notes or change any Note’s place of payment;</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impair the right of any holder to receive payment of principal of, premium, if any, and interest on such holder’s Notes on or after the due dates therefor or to institute suit for the enforcement of any payment on, or with respect to, the Notes;</w:t>
      </w:r>
    </w:p>
    <w:p>
      <w:pPr>
        <w:spacing w:after="0" w:line="38"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modify the provisions with respect to the purchase rights of the holders as described above under “—Change of Control Permits Holders to Require the Issuer to Purchase Notes” in a manner adverse to holders of Notes;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change the ranking of the Notes;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change the Issuer’s obligation to pay Additional Amounts on any Note; or</w:t>
      </w:r>
    </w:p>
    <w:p>
      <w:pPr>
        <w:spacing w:after="0" w:line="105" w:lineRule="exact"/>
        <w:rPr>
          <w:rFonts w:ascii="Arial" w:cs="Arial" w:eastAsia="Arial" w:hAnsi="Arial"/>
          <w:sz w:val="19"/>
          <w:szCs w:val="19"/>
          <w:color w:val="auto"/>
        </w:rPr>
      </w:pPr>
    </w:p>
    <w:p>
      <w:pPr>
        <w:ind w:left="540" w:right="500" w:hanging="168"/>
        <w:spacing w:after="0" w:line="312"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provisions with respect to modification, amendment or waiver (including waiver of Events of Default), except to increase the percentage required for modification, amendment or waiver or to provide for consent of each affected holder of the Notes.</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Issuer and the Trustee may amend or supplement the Indenture or the Notes without notice to, or the consent of, the holders of the Notes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44" w:name="page45"/>
    <w:bookmarkEnd w:id="44"/>
    <w:p>
      <w:pPr>
        <w:ind w:left="540" w:right="320" w:hanging="168"/>
        <w:spacing w:after="0" w:line="283"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cure any ambiguity, omission, defect or inconsistency that does not adversely affect the rights of any holder of the Notes in any material respect;</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the assumption by a successor of the Issuer’s obligations under the Indenture;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secure the Notes;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add to our covenants for the benefit of the holders or surrender any right or power conferred upon the Issuer;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comply with the requirements of the Trust Indenture Act and rules promulgated under the Trust Indenture Act;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make any change that does not adversely affect the rights of any holder in any material respect.</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The consent of the holders is not necessary under the Indenture to approve the particular form of any proposed amendment. It is sufficient if such consent approves the substance of the proposed amendment. After an amendment under the Indenture becomes effective, we are required to mail to the holders a notice briefly describing such amendment. However, the failure to give such notice to all the holders, or any defect in the notice, will not impair or affect the validity of the amendment.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Satisfaction and Discharge</w:t>
      </w:r>
    </w:p>
    <w:p>
      <w:pPr>
        <w:spacing w:after="0" w:line="11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Issuer may satisfy and discharge its obligations under the Indenture by delivering to the registrar for cancellation all outstanding Notes or irrevocably depositing with the Trustee or delivering to the holders, as applicable, after all outstanding Notes have become due and payable, or will become due and payable at their stated maturity within one year, or have been called for redemption or are to be called for redemption within one year, cash sufficient to pay and discharge the entire indebtedness on all of the outstanding Notes and all other sums payable under the Indenture by the Issuer. Such discharge is subject to terms contained in the Indenture.</w:t>
      </w:r>
    </w:p>
    <w:p>
      <w:pPr>
        <w:spacing w:after="0" w:line="77" w:lineRule="exact"/>
        <w:rPr>
          <w:sz w:val="20"/>
          <w:szCs w:val="20"/>
          <w:color w:val="auto"/>
        </w:rPr>
      </w:pPr>
    </w:p>
    <w:p>
      <w:pPr>
        <w:ind w:right="520" w:firstLine="357"/>
        <w:spacing w:after="0" w:line="283" w:lineRule="auto"/>
        <w:rPr>
          <w:sz w:val="20"/>
          <w:szCs w:val="20"/>
          <w:color w:val="auto"/>
        </w:rPr>
      </w:pPr>
      <w:r>
        <w:rPr>
          <w:rFonts w:ascii="Arial" w:cs="Arial" w:eastAsia="Arial" w:hAnsi="Arial"/>
          <w:sz w:val="19"/>
          <w:szCs w:val="19"/>
          <w:color w:val="auto"/>
        </w:rPr>
        <w:t>If the Issuer satisfies and discharges its obligations under the Indenture, the Issuer will be released from its obligations in the provisions described under “—Change of Control Permits Holders to Require the Issuer to Purchase Notes.”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Defeasance</w:t>
      </w:r>
    </w:p>
    <w:p>
      <w:pPr>
        <w:spacing w:after="0" w:line="125" w:lineRule="exact"/>
        <w:rPr>
          <w:sz w:val="20"/>
          <w:szCs w:val="20"/>
          <w:color w:val="auto"/>
        </w:rPr>
      </w:pPr>
    </w:p>
    <w:p>
      <w:pPr>
        <w:ind w:right="120" w:firstLine="357"/>
        <w:spacing w:after="0" w:line="257" w:lineRule="auto"/>
        <w:rPr>
          <w:sz w:val="20"/>
          <w:szCs w:val="20"/>
          <w:color w:val="auto"/>
        </w:rPr>
      </w:pPr>
      <w:r>
        <w:rPr>
          <w:rFonts w:ascii="Arial" w:cs="Arial" w:eastAsia="Arial" w:hAnsi="Arial"/>
          <w:sz w:val="19"/>
          <w:szCs w:val="19"/>
          <w:color w:val="auto"/>
        </w:rPr>
        <w:t>The Issuer may terminate at any time all its obligations with respect to the Notes and the Indenture, which we refer to as “legal defeasance,” except for certain obligations, including those respecting the defeasance trust and obligations to register the transfer or exchange of the Notes, to replace mutilated, destroyed, lost or stolen Notes and to maintain a registrar and paying agent in respect of the Notes. The Issuer may also terminate at any time the Issuer’s obligations with respect to the Notes under the covenants described under “—Change of Control Permits Holders to Require the Issuer to Purchase Notes,” “—Certain Covenants” and “—Reports,” and the operation of certain Events of Default, which we refer to as “covenant defeasance.” The Issuer may exercise the legal defeasance option notwithstanding its prior exercise of the covenant defeasance option.</w:t>
      </w:r>
    </w:p>
    <w:p>
      <w:pPr>
        <w:spacing w:after="0" w:line="77"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If the Issuer exercises its legal defeasance option with respect to the Notes, payment of the Notes may not be accelerated because of an Event of Default with respect thereto. If the Issuer exercises the covenant defeasance option with respect to the Notes, payment of the Notes may not be accelerated because of an Event of Default specified in clause (4), clause (5) (with respect to the covenants described under “—Certain Covenants” or “—Reports”), clause (6) or clause (7).</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legal defeasance option or the covenant defeasance option with respect to the Notes may be exercised only if:</w:t>
      </w:r>
    </w:p>
    <w:p>
      <w:pPr>
        <w:spacing w:after="0" w:line="106" w:lineRule="exact"/>
        <w:rPr>
          <w:sz w:val="20"/>
          <w:szCs w:val="20"/>
          <w:color w:val="auto"/>
        </w:rPr>
      </w:pPr>
    </w:p>
    <w:p>
      <w:pPr>
        <w:ind w:left="780" w:hanging="323"/>
        <w:spacing w:after="0" w:line="283" w:lineRule="auto"/>
        <w:tabs>
          <w:tab w:leader="none" w:pos="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Issuer irrevocably deposits in trust with the Trustee cash or U.S. Government obligations or a combination thereof for the payment of principal of, premium, if any, interest, and Additional Amounts, if any, on the Notes to maturity,</w:t>
      </w:r>
    </w:p>
    <w:p>
      <w:pPr>
        <w:spacing w:after="0" w:line="38"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such defeasance or covenant defeasance does not constitute a default under the Indenture or any other material agreement or instrument binding the Issuer,</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45" w:name="page46"/>
    <w:bookmarkEnd w:id="45"/>
    <w:p>
      <w:pPr>
        <w:ind w:left="780" w:right="40" w:hanging="323"/>
        <w:spacing w:after="0" w:line="267" w:lineRule="auto"/>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 Event of Default has occurred and is continuing on the date of such deposit and, with respect to defeasance only, at any time during the period ending on the 123rd day after the date of such deposit (other than, if applicable, an Event of Default with respect to the Notes resulting from the borrowing of funds to be applied to such deposits),</w:t>
      </w:r>
    </w:p>
    <w:p>
      <w:pPr>
        <w:spacing w:after="0" w:line="54" w:lineRule="exact"/>
        <w:rPr>
          <w:rFonts w:ascii="Arial" w:cs="Arial" w:eastAsia="Arial" w:hAnsi="Arial"/>
          <w:sz w:val="19"/>
          <w:szCs w:val="19"/>
          <w:color w:val="auto"/>
        </w:rPr>
      </w:pPr>
    </w:p>
    <w:p>
      <w:pPr>
        <w:ind w:left="780" w:hanging="323"/>
        <w:spacing w:after="0"/>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case of the legal defeasance option, the Issuer delivers to the Trustee an opinion of counsel stating that:</w:t>
      </w:r>
    </w:p>
    <w:p>
      <w:pPr>
        <w:spacing w:after="0" w:line="105" w:lineRule="exact"/>
        <w:rPr>
          <w:rFonts w:ascii="Arial" w:cs="Arial" w:eastAsia="Arial" w:hAnsi="Arial"/>
          <w:sz w:val="19"/>
          <w:szCs w:val="19"/>
          <w:color w:val="auto"/>
        </w:rPr>
      </w:pPr>
    </w:p>
    <w:p>
      <w:pPr>
        <w:ind w:left="1160" w:hanging="314"/>
        <w:spacing w:after="0"/>
        <w:tabs>
          <w:tab w:leader="none" w:pos="11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Issuer has received from the IRS a letter ruling, or there has been published by the IRS a revenue ruling, or</w:t>
      </w:r>
    </w:p>
    <w:p>
      <w:pPr>
        <w:spacing w:after="0" w:line="105" w:lineRule="exact"/>
        <w:rPr>
          <w:rFonts w:ascii="Arial" w:cs="Arial" w:eastAsia="Arial" w:hAnsi="Arial"/>
          <w:sz w:val="19"/>
          <w:szCs w:val="19"/>
          <w:color w:val="auto"/>
        </w:rPr>
      </w:pPr>
    </w:p>
    <w:p>
      <w:pPr>
        <w:ind w:left="1160" w:hanging="325"/>
        <w:spacing w:after="0"/>
        <w:tabs>
          <w:tab w:leader="none" w:pos="11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since the date of the Indenture, there has been a change in the applicable U.S. Federal income tax law,</w:t>
      </w:r>
    </w:p>
    <w:p>
      <w:pPr>
        <w:spacing w:after="0" w:line="119" w:lineRule="exact"/>
        <w:rPr>
          <w:sz w:val="20"/>
          <w:szCs w:val="20"/>
          <w:color w:val="auto"/>
        </w:rPr>
      </w:pPr>
    </w:p>
    <w:p>
      <w:pPr>
        <w:jc w:val="both"/>
        <w:ind w:left="720" w:right="280"/>
        <w:spacing w:after="0" w:line="313" w:lineRule="auto"/>
        <w:rPr>
          <w:sz w:val="20"/>
          <w:szCs w:val="20"/>
          <w:color w:val="auto"/>
        </w:rPr>
      </w:pPr>
      <w:r>
        <w:rPr>
          <w:rFonts w:ascii="Arial" w:cs="Arial" w:eastAsia="Arial" w:hAnsi="Arial"/>
          <w:sz w:val="17"/>
          <w:szCs w:val="17"/>
          <w:color w:val="auto"/>
        </w:rPr>
        <w:t>in either case to the effect that, and based thereon such opinion shall confirm that, the holders of the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9" w:lineRule="exact"/>
        <w:rPr>
          <w:sz w:val="20"/>
          <w:szCs w:val="20"/>
          <w:color w:val="auto"/>
        </w:rPr>
      </w:pPr>
    </w:p>
    <w:p>
      <w:pPr>
        <w:ind w:left="780" w:right="20" w:hanging="323"/>
        <w:spacing w:after="0" w:line="262" w:lineRule="auto"/>
        <w:tabs>
          <w:tab w:leader="none" w:pos="7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case of the covenant defeasance option, the Issuer delivers to the Trustee an opinion of counsel to the effect that the holders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45" w:lineRule="exact"/>
        <w:rPr>
          <w:rFonts w:ascii="Arial" w:cs="Arial" w:eastAsia="Arial" w:hAnsi="Arial"/>
          <w:sz w:val="19"/>
          <w:szCs w:val="19"/>
          <w:color w:val="auto"/>
        </w:rPr>
      </w:pPr>
    </w:p>
    <w:p>
      <w:pPr>
        <w:ind w:left="780" w:hanging="323"/>
        <w:spacing w:after="0" w:line="297"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Issuer delivers to the Trustee an opinion of counsel to the effect that, after the 123rd day after the date of deposit, all money and U.S. Government obligations (or other property as may be provided pursuant to the terms of the Indenture) (including the proceeds thereof) deposited or caused to be deposited with the Trustee (or other qualifying trustee) to be held in trust will not be subject to any case or proceeding (whether voluntary or involuntary) in respect of the Issuer under any U.S. Federal or State bankruptcy, insolvency, reorganization or other similar law, or any decree or order for relief in respect of the Issuer issued in connection therewith, and</w:t>
      </w:r>
    </w:p>
    <w:p>
      <w:pPr>
        <w:spacing w:after="0" w:line="32" w:lineRule="exact"/>
        <w:rPr>
          <w:rFonts w:ascii="Arial" w:cs="Arial" w:eastAsia="Arial" w:hAnsi="Arial"/>
          <w:sz w:val="17"/>
          <w:szCs w:val="17"/>
          <w:color w:val="auto"/>
        </w:rPr>
      </w:pPr>
    </w:p>
    <w:p>
      <w:pPr>
        <w:ind w:left="780" w:right="120" w:hanging="323"/>
        <w:spacing w:after="0" w:line="283" w:lineRule="auto"/>
        <w:tabs>
          <w:tab w:leader="none" w:pos="7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we deliver to the Trustee an Officer’s Certificate and an opinion of counsel, each stating that all conditions precedent to the defeasance and discharge of the Notes have been complied with as required by the Indenture.</w:t>
      </w:r>
    </w:p>
    <w:p>
      <w:pPr>
        <w:spacing w:after="0" w:line="52"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If the Issuer defeases its obligations under the Indenture, the Issuer will be released from its obligations in the provisions described under “— Change of Control Permits Holders to Require the Issuer to Purchase Notes.”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and Exchange</w:t>
      </w:r>
    </w:p>
    <w:p>
      <w:pPr>
        <w:spacing w:after="0" w:line="125" w:lineRule="exact"/>
        <w:rPr>
          <w:sz w:val="20"/>
          <w:szCs w:val="20"/>
          <w:color w:val="auto"/>
        </w:rPr>
      </w:pPr>
    </w:p>
    <w:p>
      <w:pPr>
        <w:ind w:right="80" w:firstLine="357"/>
        <w:spacing w:after="0" w:line="297" w:lineRule="auto"/>
        <w:rPr>
          <w:sz w:val="20"/>
          <w:szCs w:val="20"/>
          <w:color w:val="auto"/>
        </w:rPr>
      </w:pPr>
      <w:r>
        <w:rPr>
          <w:rFonts w:ascii="Arial" w:cs="Arial" w:eastAsia="Arial" w:hAnsi="Arial"/>
          <w:sz w:val="17"/>
          <w:szCs w:val="17"/>
          <w:color w:val="auto"/>
        </w:rPr>
        <w:t xml:space="preserve">We will maintain an office in New York City where the Notes may be presented for registration of transfer or exchange. This office will initially be an office or agency of the Trustee. No service charge will be imposed by us, the Trustee or the registrar for any registration of transfer or exchange of Notes, but any tax or similar governmental charge required by law or permitted by the Indenture because a holder requests any Notes to be issued in a name other than such holder’s name will be paid by such holder (each such tax or similar governmental charge, a </w:t>
      </w:r>
      <w:r>
        <w:rPr>
          <w:rFonts w:ascii="Arial" w:cs="Arial" w:eastAsia="Arial" w:hAnsi="Arial"/>
          <w:sz w:val="17"/>
          <w:szCs w:val="17"/>
          <w:i w:val="1"/>
          <w:iCs w:val="1"/>
          <w:color w:val="auto"/>
        </w:rPr>
        <w:t>Transfer</w:t>
      </w:r>
      <w:r>
        <w:rPr>
          <w:rFonts w:ascii="Arial" w:cs="Arial" w:eastAsia="Arial" w:hAnsi="Arial"/>
          <w:sz w:val="17"/>
          <w:szCs w:val="17"/>
          <w:color w:val="auto"/>
        </w:rPr>
        <w:t xml:space="preserve"> </w:t>
      </w:r>
      <w:r>
        <w:rPr>
          <w:rFonts w:ascii="Arial" w:cs="Arial" w:eastAsia="Arial" w:hAnsi="Arial"/>
          <w:sz w:val="17"/>
          <w:szCs w:val="17"/>
          <w:i w:val="1"/>
          <w:iCs w:val="1"/>
          <w:color w:val="auto"/>
        </w:rPr>
        <w:t>Tax</w:t>
      </w:r>
      <w:r>
        <w:rPr>
          <w:rFonts w:ascii="Arial" w:cs="Arial" w:eastAsia="Arial" w:hAnsi="Arial"/>
          <w:sz w:val="17"/>
          <w:szCs w:val="17"/>
          <w:color w:val="auto"/>
        </w:rPr>
        <w:t>). We are not required to transfer or exchange any Note surrendered for purchase except for any portion of that Note not being purchased.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reserve the right to:</w:t>
      </w:r>
    </w:p>
    <w:p>
      <w:pPr>
        <w:spacing w:after="0" w:line="106" w:lineRule="exact"/>
        <w:rPr>
          <w:sz w:val="20"/>
          <w:szCs w:val="20"/>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vary or terminate the appointment of the security registrar or paying agent;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appoint additional paying agents; or</w:t>
      </w:r>
    </w:p>
    <w:p>
      <w:pPr>
        <w:spacing w:after="0" w:line="105" w:lineRule="exact"/>
        <w:rPr>
          <w:rFonts w:ascii="Arial" w:cs="Arial" w:eastAsia="Arial" w:hAnsi="Arial"/>
          <w:sz w:val="19"/>
          <w:szCs w:val="19"/>
          <w:color w:val="auto"/>
        </w:rPr>
      </w:pPr>
    </w:p>
    <w:p>
      <w:pPr>
        <w:ind w:left="5540" w:right="3460" w:hanging="5168"/>
        <w:spacing w:after="0" w:line="401" w:lineRule="auto"/>
        <w:tabs>
          <w:tab w:leader="none" w:pos="544" w:val="left"/>
        </w:tabs>
        <w:numPr>
          <w:ilvl w:val="0"/>
          <w:numId w:val="40"/>
        </w:numPr>
        <w:rPr>
          <w:rFonts w:ascii="Arial" w:cs="Arial" w:eastAsia="Arial" w:hAnsi="Arial"/>
          <w:sz w:val="19"/>
          <w:szCs w:val="19"/>
          <w:color w:val="auto"/>
        </w:rPr>
      </w:pPr>
      <w:r>
        <w:rPr>
          <w:rFonts w:ascii="Arial" w:cs="Arial" w:eastAsia="Arial" w:hAnsi="Arial"/>
          <w:sz w:val="19"/>
          <w:szCs w:val="19"/>
          <w:color w:val="auto"/>
        </w:rPr>
        <w:t>approve any change in the office through which any security registrar or any paying agent acts. 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64" w:right="299" w:bottom="1440" w:gutter="0" w:footer="0" w:header="0"/>
        </w:sectPr>
      </w:pPr>
    </w:p>
    <w:bookmarkStart w:id="46" w:name="page47"/>
    <w:bookmarkEnd w:id="46"/>
    <w:p>
      <w:pPr>
        <w:spacing w:after="0"/>
        <w:rPr>
          <w:sz w:val="20"/>
          <w:szCs w:val="20"/>
          <w:color w:val="auto"/>
        </w:rPr>
      </w:pPr>
      <w:r>
        <w:rPr>
          <w:rFonts w:ascii="Arial" w:cs="Arial" w:eastAsia="Arial" w:hAnsi="Arial"/>
          <w:sz w:val="19"/>
          <w:szCs w:val="19"/>
          <w:b w:val="1"/>
          <w:bCs w:val="1"/>
          <w:color w:val="auto"/>
        </w:rPr>
        <w:t>Payment and Paying Agents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Payments in respect of the principal and interest on global notes registered in the name of DTC or its nominee will be payable to DTC or its nominee, as the case may be, in its capacity as the registered holder under the Indenture. In the case of certificated Notes, payments will be made in U.S. dollars at the office of the Trustee or, at our option, by wire transfer or check mailed to the holder’s registered address. The Issuer will make any required interest payments to the person in whose name each note is registered at the close of business on the record date for the interest payment.</w:t>
      </w:r>
    </w:p>
    <w:p>
      <w:pPr>
        <w:spacing w:after="0" w:line="77"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Trustee will be designated as the Issuer’s paying agent for payments on the Notes.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Subject to the requirements of any applicable abandoned property laws, the Trustee and paying agent shall pay to us upon written request any money held by them for payments on the Notes that remain unclaimed for two years after the date upon which that payment has become due. After payment to us, holders entitled to the money must look to the Issuer for payment. In that case, all liability of the Trustee or paying agent with respect to that money will cease.</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 and Cancellation</w:t>
      </w:r>
    </w:p>
    <w:p>
      <w:pPr>
        <w:spacing w:after="0" w:line="125" w:lineRule="exact"/>
        <w:rPr>
          <w:sz w:val="20"/>
          <w:szCs w:val="20"/>
          <w:color w:val="auto"/>
        </w:rPr>
      </w:pPr>
    </w:p>
    <w:p>
      <w:pPr>
        <w:jc w:val="both"/>
        <w:ind w:right="240" w:firstLine="357"/>
        <w:spacing w:after="0" w:line="313" w:lineRule="auto"/>
        <w:rPr>
          <w:sz w:val="20"/>
          <w:szCs w:val="20"/>
          <w:color w:val="auto"/>
        </w:rPr>
      </w:pPr>
      <w:r>
        <w:rPr>
          <w:rFonts w:ascii="Arial" w:cs="Arial" w:eastAsia="Arial" w:hAnsi="Arial"/>
          <w:sz w:val="17"/>
          <w:szCs w:val="17"/>
          <w:color w:val="auto"/>
        </w:rPr>
        <w:t>The registrar and paying agent (if other than the Trustee) will forward to the Trustee any Notes surrendered to them by holders for transfer, exchange or payment. All Notes delivered to the Trustee shall be cancelled promptly by the Trustee in the manner provided in the Indenture and may not be reissued or resold. No Notes shall be authenticated in exchange for any Notes cancelled, except as provided in the Indenture.</w:t>
      </w:r>
    </w:p>
    <w:p>
      <w:pPr>
        <w:spacing w:after="0" w:line="32"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We may, to the extent permitted by law, and directly or indirectly (regardless of whether such Notes are surrendered to us), purchase Notes in the open market or by tender offer at any price or by private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Reports</w:t>
      </w:r>
    </w:p>
    <w:p>
      <w:pPr>
        <w:spacing w:after="0" w:line="125" w:lineRule="exact"/>
        <w:rPr>
          <w:sz w:val="20"/>
          <w:szCs w:val="20"/>
          <w:color w:val="auto"/>
        </w:rPr>
      </w:pPr>
    </w:p>
    <w:p>
      <w:pPr>
        <w:ind w:right="100" w:firstLine="357"/>
        <w:spacing w:after="0" w:line="313" w:lineRule="auto"/>
        <w:rPr>
          <w:sz w:val="20"/>
          <w:szCs w:val="20"/>
          <w:color w:val="auto"/>
        </w:rPr>
      </w:pPr>
      <w:r>
        <w:rPr>
          <w:rFonts w:ascii="Arial" w:cs="Arial" w:eastAsia="Arial" w:hAnsi="Arial"/>
          <w:sz w:val="17"/>
          <w:szCs w:val="17"/>
          <w:color w:val="auto"/>
        </w:rPr>
        <w:t>So long as any Notes are outstanding, we will (i) file with the SEC within the time periods prescribed by its rules and regulations and applicable to us and (ii) furnish to the Trustee and the holders of the Notes within 15 days after the date on which we would be required to file the same with the SEC pursuant to its rules and regulations (giving effect to any grace period provided by Rule 12b-25 under the Exchange Act):</w:t>
      </w:r>
    </w:p>
    <w:p>
      <w:pPr>
        <w:spacing w:after="0" w:line="19" w:lineRule="exact"/>
        <w:rPr>
          <w:sz w:val="20"/>
          <w:szCs w:val="20"/>
          <w:color w:val="auto"/>
        </w:rPr>
      </w:pPr>
    </w:p>
    <w:p>
      <w:pPr>
        <w:ind w:left="780" w:right="60" w:hanging="323"/>
        <w:spacing w:after="0" w:line="283" w:lineRule="auto"/>
        <w:tabs>
          <w:tab w:leader="none" w:pos="7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financial information to the extent required of us to be contained in Forms 20-F and, with respect to the annual consolidated financial statements only, a report thereon by our independent auditors.</w:t>
      </w:r>
    </w:p>
    <w:p>
      <w:pPr>
        <w:spacing w:after="0" w:line="6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shall not be required to file any report or other information with the SEC if the SEC does not permit such filing, although such reports will be required to be furnished to the Trustee. Documents filed by us with the SEC via the EDGAR system will be deemed to have been furnished to the Trustee and the holders of the Notes as of the time such documents are filed via EDGAR; provided, however, that the Trustee shall have no obligation whatsoever to determine whether or not such filing has occurred.</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Replacement of Notes</w:t>
      </w:r>
    </w:p>
    <w:p>
      <w:pPr>
        <w:spacing w:after="0" w:line="112" w:lineRule="exact"/>
        <w:rPr>
          <w:sz w:val="20"/>
          <w:szCs w:val="20"/>
          <w:color w:val="auto"/>
        </w:rPr>
      </w:pPr>
    </w:p>
    <w:p>
      <w:pPr>
        <w:ind w:right="160" w:firstLine="357"/>
        <w:spacing w:after="0" w:line="313" w:lineRule="auto"/>
        <w:rPr>
          <w:sz w:val="20"/>
          <w:szCs w:val="20"/>
          <w:color w:val="auto"/>
        </w:rPr>
      </w:pPr>
      <w:r>
        <w:rPr>
          <w:rFonts w:ascii="Arial" w:cs="Arial" w:eastAsia="Arial" w:hAnsi="Arial"/>
          <w:sz w:val="17"/>
          <w:szCs w:val="17"/>
          <w:color w:val="auto"/>
        </w:rPr>
        <w:t>We will replace mutilated, destroyed, stolen or lost Notes at the expense of the holder upon delivery to the Trustee of the mutilated Notes, or evidence of the loss, theft or destruction of the Notes satisfactory to us and the Trustee. In the case of a lost, stolen or destroyed note, indemnity satisfactory to the Trustee and us may be required at the expense of the holder of such note before a replacement note will be issued.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7" w:name="page48"/>
    <w:bookmarkEnd w:id="47"/>
    <w:p>
      <w:pPr>
        <w:spacing w:after="0"/>
        <w:rPr>
          <w:sz w:val="20"/>
          <w:szCs w:val="20"/>
          <w:color w:val="auto"/>
        </w:rPr>
      </w:pPr>
      <w:r>
        <w:rPr>
          <w:rFonts w:ascii="Arial" w:cs="Arial" w:eastAsia="Arial" w:hAnsi="Arial"/>
          <w:sz w:val="19"/>
          <w:szCs w:val="19"/>
          <w:b w:val="1"/>
          <w:bCs w:val="1"/>
          <w:color w:val="auto"/>
        </w:rPr>
        <w:t>Notices</w:t>
      </w:r>
    </w:p>
    <w:p>
      <w:pPr>
        <w:spacing w:after="0" w:line="125"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Except as otherwise described herein, notice to registered holders of the Notes will be given to the addresses as they appear in the security register. Notices will be deemed to have been given on the date of such mailing or electronic delivery. Whenever a notice is required to be given by us, such notice may be given by the Trustee on our behalf (and we will make any notice we are required to give to holders available on our website).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Governing Law</w:t>
      </w:r>
    </w:p>
    <w:p>
      <w:pPr>
        <w:spacing w:after="0" w:line="125"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The Indenture and the Notes will be governed by and construed in accordance with the laws of the State of New York without regard to conflicts of laws.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Concerning the Trustee</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The Trustee, in its individual and any other capacity, may make loans to, accept deposits from, and perform services for the Issuer as if it were not the Trustee; </w:t>
      </w:r>
      <w:r>
        <w:rPr>
          <w:rFonts w:ascii="Arial" w:cs="Arial" w:eastAsia="Arial" w:hAnsi="Arial"/>
          <w:sz w:val="19"/>
          <w:szCs w:val="19"/>
          <w:i w:val="1"/>
          <w:iCs w:val="1"/>
          <w:color w:val="auto"/>
        </w:rPr>
        <w:t>however</w:t>
      </w:r>
      <w:r>
        <w:rPr>
          <w:rFonts w:ascii="Arial" w:cs="Arial" w:eastAsia="Arial" w:hAnsi="Arial"/>
          <w:sz w:val="19"/>
          <w:szCs w:val="19"/>
          <w:color w:val="auto"/>
        </w:rPr>
        <w:t>, if it acquires any conflicting interest, it must eliminate such conflict within 90 days, apply to the SEC for permission to continue or resign.</w:t>
      </w:r>
    </w:p>
    <w:p>
      <w:pPr>
        <w:spacing w:after="0" w:line="68" w:lineRule="exact"/>
        <w:rPr>
          <w:sz w:val="20"/>
          <w:szCs w:val="20"/>
          <w:color w:val="auto"/>
        </w:rPr>
      </w:pPr>
    </w:p>
    <w:p>
      <w:pPr>
        <w:ind w:right="280" w:firstLine="357"/>
        <w:spacing w:after="0" w:line="302" w:lineRule="auto"/>
        <w:rPr>
          <w:sz w:val="20"/>
          <w:szCs w:val="20"/>
          <w:color w:val="auto"/>
        </w:rPr>
      </w:pPr>
      <w:r>
        <w:rPr>
          <w:rFonts w:ascii="Arial" w:cs="Arial" w:eastAsia="Arial" w:hAnsi="Arial"/>
          <w:sz w:val="17"/>
          <w:szCs w:val="17"/>
          <w:color w:val="auto"/>
        </w:rPr>
        <w:t>The Indenture will provide that in case an Event of Default shall occur and be continuing (which shall not be cured),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the Notes, unless such holder shall have offered to the Trustee security and indemnity satisfactory to it against any loss, liability or expense.</w:t>
      </w:r>
    </w:p>
    <w:p>
      <w:pPr>
        <w:spacing w:after="0" w:line="43"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American Stock Transfer &amp; Trust Company, LLC, will be the Trustee under the Indenture. Initially, the Trustee will also act as the paying agent, registrar and custodian for the Notes.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Book-entry System; Delivery and Form</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Global Notes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Issuer will issue the Notes in the form of one or more global notes in definitive, fully registered, book-entry form.</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global notes will be deposited with or on behalf of DTC and registered in the name of Cede &amp; Co., as nominee of DTC.</w:t>
      </w:r>
    </w:p>
    <w:p>
      <w:pPr>
        <w:spacing w:after="0" w:line="33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DTC, Clearstream and Euroclear</w:t>
      </w:r>
    </w:p>
    <w:p>
      <w:pPr>
        <w:spacing w:after="0" w:line="11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société anonyme,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w:t>
      </w:r>
    </w:p>
    <w:p>
      <w:pPr>
        <w:spacing w:after="0" w:line="77"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We have obtained the information in this section concerning DTC, Clearstream and Euroclear and the book-entry system and procedures from sources that we believe to be reliable, but we take no responsibility for the accuracy of this information.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understand that:</w:t>
      </w:r>
    </w:p>
    <w:p>
      <w:pPr>
        <w:spacing w:after="0" w:line="106" w:lineRule="exact"/>
        <w:rPr>
          <w:sz w:val="20"/>
          <w:szCs w:val="20"/>
          <w:color w:val="auto"/>
        </w:rPr>
      </w:pPr>
    </w:p>
    <w:p>
      <w:pPr>
        <w:ind w:left="540" w:right="140" w:hanging="168"/>
        <w:spacing w:after="0" w:line="312"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8" w:name="page49"/>
    <w:bookmarkEnd w:id="48"/>
    <w:p>
      <w:pPr>
        <w:ind w:left="540"/>
        <w:spacing w:after="0"/>
        <w:rPr>
          <w:sz w:val="20"/>
          <w:szCs w:val="20"/>
          <w:color w:val="auto"/>
        </w:rPr>
      </w:pPr>
      <w:r>
        <w:rPr>
          <w:rFonts w:ascii="Arial" w:cs="Arial" w:eastAsia="Arial" w:hAnsi="Arial"/>
          <w:sz w:val="19"/>
          <w:szCs w:val="19"/>
          <w:color w:val="auto"/>
        </w:rPr>
        <w:t>Uniform Commercial Code and a “clearing agency” registered under Section 17A of the Exchange Act.</w:t>
      </w:r>
    </w:p>
    <w:p>
      <w:pPr>
        <w:spacing w:after="0" w:line="106" w:lineRule="exact"/>
        <w:rPr>
          <w:sz w:val="20"/>
          <w:szCs w:val="20"/>
          <w:color w:val="auto"/>
        </w:rPr>
      </w:pPr>
    </w:p>
    <w:p>
      <w:pPr>
        <w:ind w:left="540" w:hanging="168"/>
        <w:spacing w:after="0" w:line="267"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Direct participants include securities brokers and dealers, banks, trust companies, clearing corporations and other organizations.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DTC is owned by a number of its direct participants and by The New York Stock Exchange, Inc., the American Stock Exchange, LLC and the Financial Industry Regulatory Authority, Inc. (successor to the National Association of Securities Dealers, Inc.).</w:t>
      </w:r>
    </w:p>
    <w:p>
      <w:pPr>
        <w:spacing w:after="0" w:line="38"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rules applicable to DTC and its direct and indirect participants are on file with the SEC.</w:t>
      </w:r>
    </w:p>
    <w:p>
      <w:pPr>
        <w:spacing w:after="0" w:line="119"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We understand that Clearstream is incorporated under the laws of Luxembourg as a professional depositary. Clearstream holds securities for its customers and facilitates the clearance and settlement of securities transactions between its customers through electronic book-changes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w:t>
      </w:r>
    </w:p>
    <w:p>
      <w:pPr>
        <w:spacing w:after="0" w:line="56"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We understand that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67"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We understand that the Euroclear Operator is licensed by the Belgian Banking and Finance Commission to carry out banking activities on a global basis. As a Belgian bank, it is regulated and examined by the Belgian Banking and Finance Commission.</w:t>
      </w:r>
    </w:p>
    <w:p>
      <w:pPr>
        <w:spacing w:after="0" w:line="5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have provided the descriptions of the operations and procedures of DTC, Clearstream and Euroclear in this prospectus supplement solely as a matter of convenience, and we make no representation or warranty of any kind with respect to these operations and procedures. These operations and procedures are solely within the control of those organizations and are subject to change by them from time to time. None of the Issuer, the underwriters or the Trustee takes any responsibility for these operations or procedures, and you are urged to contact DTC, Clearstream and Euroclear or their participants directly to discuss these matters.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40" w:right="319" w:bottom="1440" w:gutter="0" w:footer="0" w:header="0"/>
        </w:sectPr>
      </w:pPr>
    </w:p>
    <w:bookmarkStart w:id="49" w:name="page50"/>
    <w:bookmarkEnd w:id="49"/>
    <w:p>
      <w:pPr>
        <w:ind w:left="360"/>
        <w:spacing w:after="0"/>
        <w:rPr>
          <w:sz w:val="20"/>
          <w:szCs w:val="20"/>
          <w:color w:val="auto"/>
        </w:rPr>
      </w:pPr>
      <w:r>
        <w:rPr>
          <w:rFonts w:ascii="Arial" w:cs="Arial" w:eastAsia="Arial" w:hAnsi="Arial"/>
          <w:sz w:val="19"/>
          <w:szCs w:val="19"/>
          <w:color w:val="auto"/>
        </w:rPr>
        <w:t>We expect that under procedures established by DTC:</w:t>
      </w:r>
    </w:p>
    <w:p>
      <w:pPr>
        <w:spacing w:after="0" w:line="106" w:lineRule="exact"/>
        <w:rPr>
          <w:sz w:val="20"/>
          <w:szCs w:val="20"/>
          <w:color w:val="auto"/>
        </w:rPr>
      </w:pPr>
    </w:p>
    <w:p>
      <w:pPr>
        <w:ind w:left="540" w:right="640" w:hanging="168"/>
        <w:spacing w:after="0" w:line="283"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upon deposit of the global notes with DTC or its custodian, DTC will credit on its internal system the accounts of direct participants designated by the underwriters with portions of the principal amounts of the global notes; and</w:t>
      </w:r>
    </w:p>
    <w:p>
      <w:pPr>
        <w:spacing w:after="0" w:line="38" w:lineRule="exact"/>
        <w:rPr>
          <w:rFonts w:ascii="Arial" w:cs="Arial" w:eastAsia="Arial" w:hAnsi="Arial"/>
          <w:sz w:val="19"/>
          <w:szCs w:val="19"/>
          <w:color w:val="auto"/>
        </w:rPr>
      </w:pPr>
    </w:p>
    <w:p>
      <w:pPr>
        <w:jc w:val="both"/>
        <w:ind w:left="540" w:right="140" w:hanging="168"/>
        <w:spacing w:after="0" w:line="267"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p>
      <w:pPr>
        <w:spacing w:after="0" w:line="68" w:lineRule="exact"/>
        <w:rPr>
          <w:sz w:val="20"/>
          <w:szCs w:val="20"/>
          <w:color w:val="auto"/>
        </w:rPr>
      </w:pPr>
    </w:p>
    <w:p>
      <w:pPr>
        <w:ind w:right="160" w:firstLine="357"/>
        <w:spacing w:after="0" w:line="258" w:lineRule="auto"/>
        <w:rPr>
          <w:sz w:val="20"/>
          <w:szCs w:val="20"/>
          <w:color w:val="auto"/>
        </w:rPr>
      </w:pPr>
      <w:r>
        <w:rPr>
          <w:rFonts w:ascii="Arial" w:cs="Arial" w:eastAsia="Arial" w:hAnsi="Arial"/>
          <w:sz w:val="19"/>
          <w:szCs w:val="19"/>
          <w:color w:val="auto"/>
        </w:rPr>
        <w:t>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w:t>
      </w:r>
    </w:p>
    <w:p>
      <w:pPr>
        <w:spacing w:after="0" w:line="76"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w:t>
      </w:r>
    </w:p>
    <w:p>
      <w:pPr>
        <w:spacing w:after="0" w:line="37"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Neither the Issuer nor the Trustee will have any responsibility or liability for any aspect of the records relating to or payments made on account of Notes by DTC, Clearstream or Euroclear, or for maintaining, supervising or reviewing any records of those organizations relating to the Notes.</w:t>
      </w:r>
    </w:p>
    <w:p>
      <w:pPr>
        <w:spacing w:after="0" w:line="68" w:lineRule="exact"/>
        <w:rPr>
          <w:sz w:val="20"/>
          <w:szCs w:val="20"/>
          <w:color w:val="auto"/>
        </w:rPr>
      </w:pPr>
    </w:p>
    <w:p>
      <w:pPr>
        <w:ind w:right="240" w:firstLine="357"/>
        <w:spacing w:after="0" w:line="275" w:lineRule="auto"/>
        <w:rPr>
          <w:sz w:val="20"/>
          <w:szCs w:val="20"/>
          <w:color w:val="auto"/>
        </w:rPr>
      </w:pPr>
      <w:r>
        <w:rPr>
          <w:rFonts w:ascii="Arial" w:cs="Arial" w:eastAsia="Arial" w:hAnsi="Arial"/>
          <w:sz w:val="18"/>
          <w:szCs w:val="18"/>
          <w:color w:val="auto"/>
        </w:rPr>
        <w:t>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solely responsible for those payments.</w:t>
      </w:r>
    </w:p>
    <w:p>
      <w:pPr>
        <w:spacing w:after="0" w:line="63"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Distributions on the Notes held beneficially through Clearstream will be credited to cash accounts of its customers in accordance with its rules and procedures, to the extent received by the U.S. depositary for Clearstream.</w:t>
      </w:r>
    </w:p>
    <w:p>
      <w:pPr>
        <w:spacing w:after="0" w:line="52" w:lineRule="exact"/>
        <w:rPr>
          <w:sz w:val="20"/>
          <w:szCs w:val="20"/>
          <w:color w:val="auto"/>
        </w:rPr>
      </w:pPr>
    </w:p>
    <w:p>
      <w:pPr>
        <w:ind w:right="180" w:firstLine="357"/>
        <w:spacing w:after="0" w:line="275"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herein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0" w:name="page51"/>
    <w:bookmarkEnd w:id="50"/>
    <w:p>
      <w:pPr>
        <w:ind w:right="120" w:firstLine="357"/>
        <w:spacing w:after="0" w:line="283" w:lineRule="auto"/>
        <w:rPr>
          <w:sz w:val="20"/>
          <w:szCs w:val="20"/>
          <w:color w:val="auto"/>
        </w:rPr>
      </w:pPr>
      <w:r>
        <w:rPr>
          <w:rFonts w:ascii="Arial" w:cs="Arial" w:eastAsia="Arial" w:hAnsi="Arial"/>
          <w:sz w:val="19"/>
          <w:szCs w:val="19"/>
          <w:color w:val="auto"/>
        </w:rPr>
        <w:t>Distributions on the Notes held beneficially through Euroclear will be credited to the cash accounts of its participants in accordance with the Terms and Conditions, to the extent received by the U.S. depositary for Euroclear.</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Clearance and Settlement Procedures</w:t>
      </w:r>
    </w:p>
    <w:p>
      <w:pPr>
        <w:spacing w:after="0" w:line="119"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w:t>
      </w:r>
    </w:p>
    <w:p>
      <w:pPr>
        <w:spacing w:after="0" w:line="77" w:lineRule="exact"/>
        <w:rPr>
          <w:sz w:val="20"/>
          <w:szCs w:val="20"/>
          <w:color w:val="auto"/>
        </w:rPr>
      </w:pPr>
    </w:p>
    <w:p>
      <w:pPr>
        <w:ind w:right="80" w:firstLine="357"/>
        <w:spacing w:after="0" w:line="272"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the U.S. depositary. Such cross-market transactions, however,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U.S. depositaries.</w:t>
      </w:r>
    </w:p>
    <w:p>
      <w:pPr>
        <w:spacing w:after="0" w:line="55"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63"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Certificated Notes</w:t>
      </w:r>
    </w:p>
    <w:p>
      <w:pPr>
        <w:spacing w:after="0" w:line="119"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The Issuer will issue certificated Notes to each person that DTC identifies as the beneficial owner of the Notes represented by a global note upon surrender by DTC of the global note if:</w:t>
      </w:r>
    </w:p>
    <w:p>
      <w:pPr>
        <w:spacing w:after="0" w:line="38" w:lineRule="exact"/>
        <w:rPr>
          <w:sz w:val="20"/>
          <w:szCs w:val="20"/>
          <w:color w:val="auto"/>
        </w:rPr>
      </w:pPr>
    </w:p>
    <w:p>
      <w:pPr>
        <w:ind w:left="540" w:right="20" w:hanging="168"/>
        <w:spacing w:after="0" w:line="267" w:lineRule="auto"/>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 Event of Default under the Indenture has occurred and is continuing, and DTC requests the issuance of certificated Notes;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we determine not to have the Notes represented by a global note.</w:t>
      </w:r>
    </w:p>
    <w:p>
      <w:pPr>
        <w:spacing w:after="0" w:line="119"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Neither the Issuer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9"/>
          <w:szCs w:val="19"/>
          <w:b w:val="1"/>
          <w:bCs w:val="1"/>
          <w:color w:val="auto"/>
        </w:rPr>
        <w:t>MATERIAL TAX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Bermuda Tax Considerations</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cannot assure you that we will not be subject to any Bermuda tax after March 31, 2035.</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the Notes that may be applicable to you.</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U.S. Taxation of Our Operating Income</w:t>
      </w:r>
    </w:p>
    <w:p>
      <w:pPr>
        <w:spacing w:after="0" w:line="106"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U.S. Taxation of Shipping Income</w:t>
      </w:r>
    </w:p>
    <w:p>
      <w:pPr>
        <w:spacing w:after="0" w:line="119" w:lineRule="exact"/>
        <w:rPr>
          <w:sz w:val="20"/>
          <w:szCs w:val="20"/>
          <w:color w:val="auto"/>
        </w:rPr>
      </w:pPr>
    </w:p>
    <w:p>
      <w:pPr>
        <w:ind w:right="440" w:firstLine="357"/>
        <w:spacing w:after="0" w:line="313" w:lineRule="auto"/>
        <w:rPr>
          <w:sz w:val="20"/>
          <w:szCs w:val="20"/>
          <w:color w:val="auto"/>
        </w:rPr>
      </w:pPr>
      <w:r>
        <w:rPr>
          <w:rFonts w:ascii="Arial" w:cs="Arial" w:eastAsia="Arial" w:hAnsi="Arial"/>
          <w:sz w:val="17"/>
          <w:szCs w:val="17"/>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would impose on us a 4% U.S. income tax in respect of our U.S. source gross transportation income (without the allowance for deductions).</w:t>
      </w:r>
    </w:p>
    <w:p>
      <w:pPr>
        <w:spacing w:after="0" w:line="3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income tax.</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this purpose, “shipping income” means income that is derived from:</w:t>
      </w:r>
    </w:p>
    <w:p>
      <w:pPr>
        <w:spacing w:after="0" w:line="106" w:lineRule="exact"/>
        <w:rPr>
          <w:sz w:val="20"/>
          <w:szCs w:val="20"/>
          <w:color w:val="auto"/>
        </w:rPr>
      </w:pPr>
    </w:p>
    <w:p>
      <w:pPr>
        <w:ind w:left="860" w:hanging="279"/>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use of ships;</w:t>
      </w:r>
    </w:p>
    <w:p>
      <w:pPr>
        <w:spacing w:after="0" w:line="105" w:lineRule="exact"/>
        <w:rPr>
          <w:rFonts w:ascii="Arial" w:cs="Arial" w:eastAsia="Arial" w:hAnsi="Arial"/>
          <w:sz w:val="19"/>
          <w:szCs w:val="19"/>
          <w:color w:val="auto"/>
        </w:rPr>
      </w:pPr>
    </w:p>
    <w:p>
      <w:pPr>
        <w:ind w:left="860" w:hanging="332"/>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hiring or leasing of ships for use on a time, operating or bareboat charter basis;</w:t>
      </w:r>
    </w:p>
    <w:p>
      <w:pPr>
        <w:spacing w:after="0" w:line="105" w:lineRule="exact"/>
        <w:rPr>
          <w:rFonts w:ascii="Arial" w:cs="Arial" w:eastAsia="Arial" w:hAnsi="Arial"/>
          <w:sz w:val="19"/>
          <w:szCs w:val="19"/>
          <w:color w:val="auto"/>
        </w:rPr>
      </w:pPr>
    </w:p>
    <w:p>
      <w:pPr>
        <w:ind w:left="860" w:right="100" w:hanging="386"/>
        <w:spacing w:after="0" w:line="283" w:lineRule="auto"/>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participation in a pool, partnership, strategic alliance, joint operating agreement or other joint venture we directly or indirectly own or participate in that generates such income; or</w:t>
      </w:r>
    </w:p>
    <w:p>
      <w:pPr>
        <w:spacing w:after="0" w:line="38" w:lineRule="exact"/>
        <w:rPr>
          <w:rFonts w:ascii="Arial" w:cs="Arial" w:eastAsia="Arial" w:hAnsi="Arial"/>
          <w:sz w:val="19"/>
          <w:szCs w:val="19"/>
          <w:color w:val="auto"/>
        </w:rPr>
      </w:pPr>
    </w:p>
    <w:p>
      <w:pPr>
        <w:ind w:left="860" w:hanging="375"/>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performance of services directly related to those uses.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52" w:name="page53"/>
    <w:bookmarkEnd w:id="52"/>
    <w:p>
      <w:pPr>
        <w:ind w:right="400" w:firstLine="357"/>
        <w:spacing w:after="0" w:line="283" w:lineRule="auto"/>
        <w:rPr>
          <w:sz w:val="20"/>
          <w:szCs w:val="20"/>
          <w:color w:val="auto"/>
        </w:rPr>
      </w:pPr>
      <w:r>
        <w:rPr>
          <w:rFonts w:ascii="Arial" w:cs="Arial" w:eastAsia="Arial" w:hAnsi="Arial"/>
          <w:sz w:val="19"/>
          <w:szCs w:val="19"/>
          <w:color w:val="auto"/>
        </w:rPr>
        <w:t>Under Section 883 of the Code and the regulations thereunder, we will be exempt from U.S. Federal income tax on our U.S. source gross transportation income if:</w:t>
      </w:r>
    </w:p>
    <w:p>
      <w:pPr>
        <w:spacing w:after="0" w:line="38" w:lineRule="exact"/>
        <w:rPr>
          <w:sz w:val="20"/>
          <w:szCs w:val="20"/>
          <w:color w:val="auto"/>
        </w:rPr>
      </w:pPr>
    </w:p>
    <w:p>
      <w:pPr>
        <w:ind w:left="800" w:right="40" w:hanging="286"/>
        <w:spacing w:after="0" w:line="283" w:lineRule="auto"/>
        <w:tabs>
          <w:tab w:leader="none" w:pos="8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are organized in a foreign country (the “country of organization”) that grants an “equivalent exemption” to corporations organized in the United States; and</w:t>
      </w:r>
    </w:p>
    <w:p>
      <w:pPr>
        <w:spacing w:after="0" w:line="38" w:lineRule="exact"/>
        <w:rPr>
          <w:rFonts w:ascii="Arial" w:cs="Arial" w:eastAsia="Arial" w:hAnsi="Arial"/>
          <w:sz w:val="19"/>
          <w:szCs w:val="19"/>
          <w:color w:val="auto"/>
        </w:rPr>
      </w:pPr>
    </w:p>
    <w:p>
      <w:pPr>
        <w:ind w:left="800" w:hanging="340"/>
        <w:spacing w:after="0"/>
        <w:tabs>
          <w:tab w:leader="none" w:pos="8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either</w:t>
      </w:r>
    </w:p>
    <w:p>
      <w:pPr>
        <w:spacing w:after="0" w:line="105" w:lineRule="exact"/>
        <w:rPr>
          <w:rFonts w:ascii="Arial" w:cs="Arial" w:eastAsia="Arial" w:hAnsi="Arial"/>
          <w:sz w:val="19"/>
          <w:szCs w:val="19"/>
          <w:color w:val="auto"/>
        </w:rPr>
      </w:pPr>
    </w:p>
    <w:p>
      <w:pPr>
        <w:ind w:left="1160" w:right="220" w:hanging="314"/>
        <w:spacing w:after="0" w:line="267" w:lineRule="auto"/>
        <w:tabs>
          <w:tab w:leader="none" w:pos="1160" w:val="left"/>
        </w:tabs>
        <w:numPr>
          <w:ilvl w:val="1"/>
          <w:numId w:val="47"/>
        </w:numPr>
        <w:rPr>
          <w:rFonts w:ascii="Arial" w:cs="Arial" w:eastAsia="Arial" w:hAnsi="Arial"/>
          <w:sz w:val="19"/>
          <w:szCs w:val="19"/>
          <w:color w:val="auto"/>
        </w:rPr>
      </w:pPr>
      <w:r>
        <w:rPr>
          <w:rFonts w:ascii="Arial" w:cs="Arial" w:eastAsia="Arial" w:hAnsi="Arial"/>
          <w:sz w:val="19"/>
          <w:szCs w:val="19"/>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40" w:lineRule="exact"/>
        <w:rPr>
          <w:rFonts w:ascii="Arial" w:cs="Arial" w:eastAsia="Arial" w:hAnsi="Arial"/>
          <w:sz w:val="19"/>
          <w:szCs w:val="19"/>
          <w:color w:val="auto"/>
        </w:rPr>
      </w:pPr>
    </w:p>
    <w:p>
      <w:pPr>
        <w:ind w:left="1160" w:right="620" w:hanging="325"/>
        <w:spacing w:after="0" w:line="344" w:lineRule="auto"/>
        <w:tabs>
          <w:tab w:leader="none" w:pos="11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7"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We are currently not entitled to this exemption under Section 883 for any tax year. As a result, we are subject to the 4% U.S. Federal income tax under Section 887 on our U.S. source gross transportation income (subject to the discussion of “effectively connected income” below). For 2016, the U.S. source gross transportation tax was $0.30 million.</w:t>
      </w:r>
    </w:p>
    <w:p>
      <w:pPr>
        <w:spacing w:after="0" w:line="68"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Because we are unable to qualify for the exemption under Section 883, our U.S. source gross transportation income in future years that is considered to be “effectively connected” with the conduct of a U.S. trade or business is subject to the U.S. corporate income tax currently imposed at rates of up to 35%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U.S. source gross transportation income would be considered effectively connected with the conduct of a U.S. trade or business only if:</w:t>
      </w:r>
    </w:p>
    <w:p>
      <w:pPr>
        <w:spacing w:after="0" w:line="129" w:lineRule="exact"/>
        <w:rPr>
          <w:sz w:val="20"/>
          <w:szCs w:val="20"/>
          <w:color w:val="auto"/>
        </w:rPr>
      </w:pPr>
    </w:p>
    <w:p>
      <w:pPr>
        <w:ind w:left="800" w:right="840" w:hanging="286"/>
        <w:spacing w:after="0" w:line="283" w:lineRule="auto"/>
        <w:tabs>
          <w:tab w:leader="none" w:pos="8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we had, or were considered to have, a fixed place of business in the United States involved in the earning of U.S. source gross transportation income; and</w:t>
      </w:r>
    </w:p>
    <w:p>
      <w:pPr>
        <w:spacing w:after="0" w:line="38" w:lineRule="exact"/>
        <w:rPr>
          <w:rFonts w:ascii="Arial" w:cs="Arial" w:eastAsia="Arial" w:hAnsi="Arial"/>
          <w:sz w:val="19"/>
          <w:szCs w:val="19"/>
          <w:color w:val="auto"/>
        </w:rPr>
      </w:pPr>
    </w:p>
    <w:p>
      <w:pPr>
        <w:ind w:left="800" w:right="260" w:hanging="340"/>
        <w:spacing w:after="0" w:line="267" w:lineRule="auto"/>
        <w:tabs>
          <w:tab w:leader="none" w:pos="8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68"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52" w:lineRule="exact"/>
        <w:rPr>
          <w:sz w:val="20"/>
          <w:szCs w:val="20"/>
          <w:color w:val="auto"/>
        </w:rPr>
      </w:pPr>
    </w:p>
    <w:p>
      <w:pPr>
        <w:jc w:val="both"/>
        <w:ind w:firstLine="357"/>
        <w:spacing w:after="0" w:line="313" w:lineRule="auto"/>
        <w:rPr>
          <w:sz w:val="20"/>
          <w:szCs w:val="20"/>
          <w:color w:val="auto"/>
        </w:rPr>
      </w:pPr>
      <w:r>
        <w:rPr>
          <w:rFonts w:ascii="Arial" w:cs="Arial" w:eastAsia="Arial" w:hAnsi="Arial"/>
          <w:sz w:val="17"/>
          <w:szCs w:val="17"/>
          <w:color w:val="auto"/>
        </w:rPr>
        <w:t>In addition, income attributable to transportation that both begins and ends in the United States is not subject to the tax rules described above. Such income is subject to either a 30% gross-basis tax or to U.S. corporate income tax on net income at rates of up to 35% (and the branch profits tax discussed above). Although there can be no assurance, we do not expect to engage in transportation that produces shipping income of this type.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Taxation of Gain on Sale of Shipping Assets</w:t>
      </w:r>
    </w:p>
    <w:p>
      <w:pPr>
        <w:spacing w:after="0" w:line="119"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3" w:name="page54"/>
    <w:bookmarkEnd w:id="53"/>
    <w:p>
      <w:pPr>
        <w:spacing w:after="0"/>
        <w:rPr>
          <w:sz w:val="20"/>
          <w:szCs w:val="20"/>
          <w:color w:val="auto"/>
        </w:rPr>
      </w:pPr>
      <w:r>
        <w:rPr>
          <w:rFonts w:ascii="Arial" w:cs="Arial" w:eastAsia="Arial" w:hAnsi="Arial"/>
          <w:sz w:val="19"/>
          <w:szCs w:val="19"/>
          <w:b w:val="1"/>
          <w:bCs w:val="1"/>
          <w:color w:val="auto"/>
        </w:rPr>
        <w:t>Taxation of United States Holders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You are a “U.S. holder” if you are a beneficial owner of the Notes and you are a U.S. citizen or resident, a U.S. corporation (or other U.S. entity taxable as a corporation), an estate the income of which is subject to U.S. Federal income taxation regardless of its source, or a trust if (i) a court within the United States is able to exercise primary jurisdiction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77"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If a partnership holds the Notes, the tax treatment of a partner will generally depend upon the status of the partner and upon the activities of the partnership. If you are a partner in a partnership holding the Notes, you should consult your own tax advisor.</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Interest on the Notes</w:t>
      </w:r>
    </w:p>
    <w:p>
      <w:pPr>
        <w:spacing w:after="0" w:line="106"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Interest on a note generally will be taxable to a U.S. holder as ordinary income at the time such interest is received or accrued, in accordance with such U.S. holder’s method of tax accounting for U.S. Federal income tax purposes.</w:t>
      </w:r>
    </w:p>
    <w:p>
      <w:pPr>
        <w:spacing w:after="0" w:line="52" w:lineRule="exact"/>
        <w:rPr>
          <w:sz w:val="20"/>
          <w:szCs w:val="20"/>
          <w:color w:val="auto"/>
        </w:rPr>
      </w:pPr>
    </w:p>
    <w:p>
      <w:pPr>
        <w:ind w:right="520" w:firstLine="357"/>
        <w:spacing w:after="0" w:line="312" w:lineRule="auto"/>
        <w:rPr>
          <w:sz w:val="20"/>
          <w:szCs w:val="20"/>
          <w:color w:val="auto"/>
        </w:rPr>
      </w:pPr>
      <w:r>
        <w:rPr>
          <w:rFonts w:ascii="Arial" w:cs="Arial" w:eastAsia="Arial" w:hAnsi="Arial"/>
          <w:sz w:val="18"/>
          <w:szCs w:val="18"/>
          <w:color w:val="auto"/>
        </w:rPr>
        <w:t>Interest paid on the Notes generally will be foreign source income and, depending on your circumstances, treated as either “passive” or “general” category income for purposes of computing allowable foreign tax credits for U.S. Federal income tax purposes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Sale, Exchange or Other Disposition of the Notes</w:t>
      </w:r>
    </w:p>
    <w:p>
      <w:pPr>
        <w:spacing w:after="0" w:line="119"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A U.S. holder generally will recognize capital gain or loss upon a sale, exchange or other disposition of the Notes in an amount equal to the difference between the amount realized by the U.S. holder from such sale, exchange or other disposition and the U.S. holder’s tax basis in such Notes.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Long-term capital gains of non-corporate U.S. holders are generally eligible for a maximum 20% preferential tax rate. A U.S. holder’s ability to deduct capital losses against income is subject to certain limitations.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Unearned Income Medicare Contribution Tax</w:t>
      </w:r>
    </w:p>
    <w:p>
      <w:pPr>
        <w:spacing w:after="0" w:line="1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interest income and capital gains from the sale, exchange or other disposition of the Notes, subject to certain exceptions. You are encouraged to consult your own tax advisor regarding the applicability of the Medicare tax to your income and gains from your ownership or disposition of the Notes.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Non-U.S. Holders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You are a “non-U.S. holder” if you are a beneficial owner of the Notes (other than a partnership for U.S. tax purposes) and you are not a U.S.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holder.</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Interest on the Notes</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Non-U.S. holders generally will not be subject to U.S. Federal income tax or withholding tax on interest received from us with respect to the Notes, unless that interest is effectively connected with the non-U.S. holder’s conduct of a trade or business in the United States. If the non-U.S. holder is entitled to the benefits of an applicable U.S. income tax treaty with respect to such interest, that income is taxable only if it is attributable to a permanent establishment maintained by the non-U.S. holder in the United States.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4" w:name="page55"/>
    <w:bookmarkEnd w:id="54"/>
    <w:p>
      <w:pPr>
        <w:ind w:left="360"/>
        <w:spacing w:after="0"/>
        <w:rPr>
          <w:sz w:val="20"/>
          <w:szCs w:val="20"/>
          <w:color w:val="auto"/>
        </w:rPr>
      </w:pPr>
      <w:r>
        <w:rPr>
          <w:rFonts w:ascii="Arial" w:cs="Arial" w:eastAsia="Arial" w:hAnsi="Arial"/>
          <w:sz w:val="19"/>
          <w:szCs w:val="19"/>
          <w:i w:val="1"/>
          <w:iCs w:val="1"/>
          <w:color w:val="auto"/>
        </w:rPr>
        <w:t>Sale, Exchange or Other Disposition of the Notes</w:t>
      </w:r>
    </w:p>
    <w:p>
      <w:pPr>
        <w:spacing w:after="0" w:line="119"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You generally will not be subject to U.S. Federal income tax or withholding tax on any gain realized upon the sale, exchange or other disposition of the Notes, unless:</w:t>
      </w:r>
    </w:p>
    <w:p>
      <w:pPr>
        <w:spacing w:after="0" w:line="38" w:lineRule="exact"/>
        <w:rPr>
          <w:sz w:val="20"/>
          <w:szCs w:val="20"/>
          <w:color w:val="auto"/>
        </w:rPr>
      </w:pPr>
    </w:p>
    <w:p>
      <w:pPr>
        <w:ind w:left="800" w:right="300" w:hanging="318"/>
        <w:spacing w:after="0" w:line="267" w:lineRule="auto"/>
        <w:tabs>
          <w:tab w:leader="none" w:pos="8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40" w:lineRule="exact"/>
        <w:rPr>
          <w:rFonts w:ascii="Arial" w:cs="Arial" w:eastAsia="Arial" w:hAnsi="Arial"/>
          <w:sz w:val="19"/>
          <w:szCs w:val="19"/>
          <w:color w:val="auto"/>
        </w:rPr>
      </w:pPr>
    </w:p>
    <w:p>
      <w:pPr>
        <w:ind w:left="800" w:right="580" w:hanging="329"/>
        <w:spacing w:after="0" w:line="283" w:lineRule="auto"/>
        <w:tabs>
          <w:tab w:leader="none" w:pos="8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you are an individual who is present in the United States for 183 days or more during the tax year of disposition and certain other conditions are met.</w:t>
      </w:r>
    </w:p>
    <w:p>
      <w:pPr>
        <w:spacing w:after="0" w:line="6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United States Backup Withholding and Information Reporting</w:t>
      </w:r>
    </w:p>
    <w:p>
      <w:pPr>
        <w:spacing w:after="0" w:line="119"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In general, if you are a non-corporate U.S. holder, interest payments made within the United States will be subject to information reporting requirements and backup withholding tax if you:</w:t>
      </w:r>
    </w:p>
    <w:p>
      <w:pPr>
        <w:spacing w:after="0" w:line="38" w:lineRule="exact"/>
        <w:rPr>
          <w:sz w:val="20"/>
          <w:szCs w:val="20"/>
          <w:color w:val="auto"/>
        </w:rPr>
      </w:pPr>
    </w:p>
    <w:p>
      <w:pPr>
        <w:ind w:left="780" w:hanging="323"/>
        <w:spacing w:after="0"/>
        <w:tabs>
          <w:tab w:leader="none" w:pos="7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fail to provide an accurate taxpayer identification number;</w:t>
      </w:r>
    </w:p>
    <w:p>
      <w:pPr>
        <w:spacing w:after="0" w:line="105" w:lineRule="exact"/>
        <w:rPr>
          <w:rFonts w:ascii="Arial" w:cs="Arial" w:eastAsia="Arial" w:hAnsi="Arial"/>
          <w:sz w:val="19"/>
          <w:szCs w:val="19"/>
          <w:color w:val="auto"/>
        </w:rPr>
      </w:pPr>
    </w:p>
    <w:p>
      <w:pPr>
        <w:ind w:left="780" w:right="440" w:hanging="323"/>
        <w:spacing w:after="0" w:line="283" w:lineRule="auto"/>
        <w:tabs>
          <w:tab w:leader="none" w:pos="7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are notified by the IRS that you have failed to report all interest or dividends required to be shown on your U.S. Federal income tax returns; or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certain circumstances, fail to comply with applicable certification requirements.</w:t>
      </w:r>
    </w:p>
    <w:p>
      <w:pPr>
        <w:spacing w:after="0" w:line="119"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If you are a non-U.S. holder, you may be required to establish your exemption from information reporting and backup withholding by certifying your status on IRS Form W-8BEN, W-8BEN-E, W-8ECI or W-8IMY, as applicable.</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If you sell the Notes to or through a U.S. office or broker, the payment of the sales proceeds is subject to both U.S. backup withholding and information reporting unless you certify that you are a non-U.S. person, under penalties of perjury, or you otherwise establish an exemption. If you sell the Notes through a non-U.S. office of a non-U.S. broker and the sales proceeds are paid to you outside the United States, then information reporting and backup withholding generally will not apply to that payment.</w:t>
      </w:r>
    </w:p>
    <w:p>
      <w:pPr>
        <w:spacing w:after="0" w:line="72" w:lineRule="exact"/>
        <w:rPr>
          <w:sz w:val="20"/>
          <w:szCs w:val="20"/>
          <w:color w:val="auto"/>
        </w:rPr>
      </w:pPr>
    </w:p>
    <w:p>
      <w:pPr>
        <w:ind w:right="360" w:firstLine="357"/>
        <w:spacing w:after="0" w:line="267" w:lineRule="auto"/>
        <w:rPr>
          <w:sz w:val="20"/>
          <w:szCs w:val="20"/>
          <w:color w:val="auto"/>
        </w:rPr>
      </w:pPr>
      <w:r>
        <w:rPr>
          <w:rFonts w:ascii="Arial" w:cs="Arial" w:eastAsia="Arial" w:hAnsi="Arial"/>
          <w:sz w:val="19"/>
          <w:szCs w:val="19"/>
          <w:color w:val="auto"/>
        </w:rPr>
        <w:t>However, U.S. information reporting requirements (but not backup withholding) will apply to a payment of sales proceeds, even if that payment is made outside the United States, if you sell the Notes through a non-U.S. office of a broker that is a U.S. person or has certain other connections with the United States.</w:t>
      </w:r>
    </w:p>
    <w:p>
      <w:pPr>
        <w:spacing w:after="0" w:line="68" w:lineRule="exact"/>
        <w:rPr>
          <w:sz w:val="20"/>
          <w:szCs w:val="20"/>
          <w:color w:val="auto"/>
        </w:rPr>
      </w:pPr>
    </w:p>
    <w:p>
      <w:pPr>
        <w:ind w:right="920" w:firstLine="357"/>
        <w:spacing w:after="0" w:line="312"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 Return Disclosure</w:t>
      </w:r>
    </w:p>
    <w:p>
      <w:pPr>
        <w:spacing w:after="0" w:line="106" w:lineRule="exact"/>
        <w:rPr>
          <w:sz w:val="20"/>
          <w:szCs w:val="20"/>
          <w:color w:val="auto"/>
        </w:rPr>
      </w:pPr>
    </w:p>
    <w:p>
      <w:pPr>
        <w:ind w:right="260" w:firstLine="357"/>
        <w:spacing w:after="0" w:line="297" w:lineRule="auto"/>
        <w:rPr>
          <w:sz w:val="20"/>
          <w:szCs w:val="20"/>
          <w:color w:val="auto"/>
        </w:rPr>
      </w:pPr>
      <w:r>
        <w:rPr>
          <w:rFonts w:ascii="Arial" w:cs="Arial" w:eastAsia="Arial" w:hAnsi="Arial"/>
          <w:sz w:val="17"/>
          <w:szCs w:val="17"/>
          <w:color w:val="auto"/>
        </w:rPr>
        <w:t>U.S. individuals that hold certain specified foreign financial assets (which include notes in a foreign corporation) are subject to U.S. return disclosure obligations (and related penalties for failure to disclose). Such U.S. individuals are required to file IRS Form 8938 with their U.S. Federal income tax return, subject to certain exceptions (including an exception for foreign assets held in accounts maintained by U.S. financial institutions). Notes of a foreign corporation, including the Notes, are a specified foreign asset for this purpose. Penalties apply for failure to properly complete and file Form 8938. You are encouraged to consult with your own tax advisors regarding the filing of IRS Form 8938.</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55" w:name="page56"/>
    <w:bookmarkEnd w:id="55"/>
    <w:p>
      <w:pPr>
        <w:jc w:val="center"/>
        <w:ind w:right="-159"/>
        <w:spacing w:after="0"/>
        <w:rPr>
          <w:sz w:val="20"/>
          <w:szCs w:val="20"/>
          <w:color w:val="auto"/>
        </w:rPr>
      </w:pPr>
      <w:r>
        <w:rPr>
          <w:rFonts w:ascii="Arial" w:cs="Arial" w:eastAsia="Arial" w:hAnsi="Arial"/>
          <w:sz w:val="19"/>
          <w:szCs w:val="19"/>
          <w:b w:val="1"/>
          <w:bCs w:val="1"/>
          <w:color w:val="auto"/>
        </w:rPr>
        <w:t>OTHER EXPENSES OF ISSUANCE AND DISTRIBUTION</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We estimate the expenses in connection with the issuance and distribution of the Notes in this offering, other than the underwriting discount, will be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25,175</w:t>
            </w:r>
          </w:p>
        </w:tc>
        <w:tc>
          <w:tcPr>
            <w:tcW w:w="600" w:type="dxa"/>
            <w:vAlign w:val="bottom"/>
            <w:shd w:val="clear" w:color="auto" w:fill="E5FFFF"/>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9"/>
                <w:szCs w:val="19"/>
                <w:color w:val="auto"/>
              </w:rPr>
              <w:t>Printing</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50,000</w:t>
            </w:r>
          </w:p>
        </w:tc>
        <w:tc>
          <w:tcPr>
            <w:tcW w:w="6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300,000</w:t>
            </w:r>
          </w:p>
        </w:tc>
        <w:tc>
          <w:tcPr>
            <w:tcW w:w="600" w:type="dxa"/>
            <w:vAlign w:val="bottom"/>
            <w:shd w:val="clear" w:color="auto" w:fill="E5FFFF"/>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9"/>
                <w:szCs w:val="19"/>
                <w:color w:val="auto"/>
              </w:rPr>
              <w:t>Accountants’ Fees and 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70,000</w:t>
            </w:r>
          </w:p>
        </w:tc>
        <w:tc>
          <w:tcPr>
            <w:tcW w:w="6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FINRA Fee*</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37,500</w:t>
            </w:r>
          </w:p>
        </w:tc>
        <w:tc>
          <w:tcPr>
            <w:tcW w:w="600" w:type="dxa"/>
            <w:vAlign w:val="bottom"/>
            <w:shd w:val="clear" w:color="auto" w:fill="E5FFFF"/>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9"/>
                <w:szCs w:val="19"/>
                <w:color w:val="auto"/>
              </w:rPr>
              <w:t>Transfer Agent Fees and 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7,000</w:t>
            </w:r>
          </w:p>
        </w:tc>
        <w:tc>
          <w:tcPr>
            <w:tcW w:w="6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Miscellaneous Costs.</w:t>
            </w: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10,325</w:t>
            </w:r>
          </w:p>
        </w:tc>
        <w:tc>
          <w:tcPr>
            <w:tcW w:w="600" w:type="dxa"/>
            <w:vAlign w:val="bottom"/>
            <w:shd w:val="clear" w:color="auto" w:fill="E5FFFF"/>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7860" w:type="dxa"/>
            <w:vAlign w:val="bottom"/>
            <w:gridSpan w:val="2"/>
          </w:tcPr>
          <w:p>
            <w:pPr>
              <w:ind w:left="18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500,000</w:t>
            </w:r>
          </w:p>
        </w:tc>
        <w:tc>
          <w:tcPr>
            <w:tcW w:w="60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43"/>
        </w:trPr>
        <w:tc>
          <w:tcPr>
            <w:tcW w:w="10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9"/>
          <w:szCs w:val="19"/>
          <w:color w:val="auto"/>
        </w:rPr>
        <w:t xml:space="preserve">  Previously paid.</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79" w:right="399" w:bottom="1440" w:gutter="0" w:footer="0" w:header="0"/>
        </w:sectPr>
      </w:pPr>
    </w:p>
    <w:bookmarkStart w:id="56" w:name="page57"/>
    <w:bookmarkEnd w:id="56"/>
    <w:p>
      <w:pPr>
        <w:jc w:val="center"/>
        <w:spacing w:after="0"/>
        <w:rPr>
          <w:sz w:val="20"/>
          <w:szCs w:val="20"/>
          <w:color w:val="auto"/>
        </w:rPr>
      </w:pPr>
      <w:r>
        <w:rPr>
          <w:rFonts w:ascii="Arial" w:cs="Arial" w:eastAsia="Arial" w:hAnsi="Arial"/>
          <w:sz w:val="19"/>
          <w:szCs w:val="19"/>
          <w:b w:val="1"/>
          <w:bCs w:val="1"/>
          <w:color w:val="auto"/>
        </w:rPr>
        <w:t>UNDERWRITING</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Stifel, Nicolaus &amp; Company, Incorporated and DNB Markets, Inc. are acting as joint book-running managers and structuring agents of this offering. Subject to the terms and conditions stated in the underwriting agreement dated the date of this prospectus, each underwriter named below has severally agreed to purchase, and we have agreed to sell to that underwriter, the principal amount of Notes set forth opposite the underwriter’s name.</w:t>
      </w:r>
    </w:p>
    <w:tbl>
      <w:tblPr>
        <w:tblLayout w:type="fixed"/>
        <w:tblInd w:w="1000" w:type="dxa"/>
        <w:tblCellMar>
          <w:top w:w="0" w:type="dxa"/>
          <w:left w:w="0" w:type="dxa"/>
          <w:bottom w:w="0" w:type="dxa"/>
          <w:right w:w="0" w:type="dxa"/>
        </w:tblCellMar>
      </w:tblPr>
      <w:tr>
        <w:trPr>
          <w:trHeight w:val="178"/>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88"/>
              <w:spacing w:after="0" w:line="178" w:lineRule="exact"/>
              <w:rPr>
                <w:sz w:val="20"/>
                <w:szCs w:val="20"/>
                <w:color w:val="auto"/>
              </w:rPr>
            </w:pPr>
            <w:r>
              <w:rPr>
                <w:rFonts w:ascii="Arial" w:cs="Arial" w:eastAsia="Arial" w:hAnsi="Arial"/>
                <w:sz w:val="16"/>
                <w:szCs w:val="16"/>
                <w:b w:val="1"/>
                <w:bCs w:val="1"/>
                <w:color w:val="auto"/>
              </w:rPr>
              <w:t>Principal</w:t>
            </w:r>
          </w:p>
        </w:tc>
      </w:tr>
      <w:tr>
        <w:trPr>
          <w:trHeight w:val="199"/>
        </w:trPr>
        <w:tc>
          <w:tcPr>
            <w:tcW w:w="7720" w:type="dxa"/>
            <w:vAlign w:val="bottom"/>
            <w:tcBorders>
              <w:bottom w:val="single" w:sz="8" w:color="auto"/>
            </w:tcBorders>
          </w:tcPr>
          <w:p>
            <w:pPr>
              <w:ind w:left="3440"/>
              <w:spacing w:after="0"/>
              <w:rPr>
                <w:sz w:val="20"/>
                <w:szCs w:val="20"/>
                <w:color w:val="auto"/>
              </w:rPr>
            </w:pPr>
            <w:r>
              <w:rPr>
                <w:rFonts w:ascii="Arial" w:cs="Arial" w:eastAsia="Arial" w:hAnsi="Arial"/>
                <w:sz w:val="16"/>
                <w:szCs w:val="16"/>
                <w:b w:val="1"/>
                <w:bCs w:val="1"/>
                <w:color w:val="auto"/>
              </w:rPr>
              <w:t>Underwriter</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Amount</w:t>
            </w:r>
          </w:p>
        </w:tc>
      </w:tr>
      <w:tr>
        <w:trPr>
          <w:trHeight w:val="237"/>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Stifel, Nicolaus &amp; Company, Incorporated</w:t>
            </w:r>
          </w:p>
        </w:tc>
        <w:tc>
          <w:tcPr>
            <w:tcW w:w="52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112,500,000</w:t>
            </w:r>
          </w:p>
        </w:tc>
      </w:tr>
      <w:tr>
        <w:trPr>
          <w:trHeight w:val="243"/>
        </w:trPr>
        <w:tc>
          <w:tcPr>
            <w:tcW w:w="7720" w:type="dxa"/>
            <w:vAlign w:val="bottom"/>
          </w:tcPr>
          <w:p>
            <w:pPr>
              <w:spacing w:after="0"/>
              <w:rPr>
                <w:sz w:val="20"/>
                <w:szCs w:val="20"/>
                <w:color w:val="auto"/>
              </w:rPr>
            </w:pPr>
            <w:r>
              <w:rPr>
                <w:rFonts w:ascii="Arial" w:cs="Arial" w:eastAsia="Arial" w:hAnsi="Arial"/>
                <w:sz w:val="19"/>
                <w:szCs w:val="19"/>
                <w:color w:val="auto"/>
              </w:rPr>
              <w:t>DNB Markets, Inc.</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112,500,000</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Arctic Securities LLC</w:t>
            </w: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8,333,334</w:t>
            </w:r>
          </w:p>
        </w:tc>
      </w:tr>
      <w:tr>
        <w:trPr>
          <w:trHeight w:val="243"/>
        </w:trPr>
        <w:tc>
          <w:tcPr>
            <w:tcW w:w="7720" w:type="dxa"/>
            <w:vAlign w:val="bottom"/>
          </w:tcPr>
          <w:p>
            <w:pPr>
              <w:spacing w:after="0"/>
              <w:rPr>
                <w:sz w:val="20"/>
                <w:szCs w:val="20"/>
                <w:color w:val="auto"/>
              </w:rPr>
            </w:pPr>
            <w:r>
              <w:rPr>
                <w:rFonts w:ascii="Arial" w:cs="Arial" w:eastAsia="Arial" w:hAnsi="Arial"/>
                <w:sz w:val="19"/>
                <w:szCs w:val="19"/>
                <w:color w:val="auto"/>
              </w:rPr>
              <w:t>DVB Capital Markets LLC</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8,333,333</w:t>
            </w:r>
          </w:p>
        </w:tc>
      </w:tr>
      <w:tr>
        <w:trPr>
          <w:trHeight w:val="243"/>
        </w:trPr>
        <w:tc>
          <w:tcPr>
            <w:tcW w:w="7720" w:type="dxa"/>
            <w:vAlign w:val="bottom"/>
            <w:shd w:val="clear" w:color="auto" w:fill="E5FFFF"/>
          </w:tcPr>
          <w:p>
            <w:pPr>
              <w:spacing w:after="0"/>
              <w:rPr>
                <w:sz w:val="20"/>
                <w:szCs w:val="20"/>
                <w:color w:val="auto"/>
              </w:rPr>
            </w:pPr>
            <w:r>
              <w:rPr>
                <w:rFonts w:ascii="Arial" w:cs="Arial" w:eastAsia="Arial" w:hAnsi="Arial"/>
                <w:sz w:val="19"/>
                <w:szCs w:val="19"/>
                <w:color w:val="auto"/>
              </w:rPr>
              <w:t>Pareto Securities Inc.</w:t>
            </w:r>
          </w:p>
        </w:tc>
        <w:tc>
          <w:tcPr>
            <w:tcW w:w="28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8,333,333</w:t>
            </w:r>
          </w:p>
        </w:tc>
      </w:tr>
      <w:tr>
        <w:trPr>
          <w:trHeight w:val="250"/>
        </w:trPr>
        <w:tc>
          <w:tcPr>
            <w:tcW w:w="7720" w:type="dxa"/>
            <w:vAlign w:val="bottom"/>
          </w:tcPr>
          <w:p>
            <w:pPr>
              <w:ind w:left="360"/>
              <w:spacing w:after="0"/>
              <w:rPr>
                <w:sz w:val="20"/>
                <w:szCs w:val="20"/>
                <w:color w:val="auto"/>
              </w:rPr>
            </w:pPr>
            <w:r>
              <w:rPr>
                <w:rFonts w:ascii="Arial" w:cs="Arial" w:eastAsia="Arial" w:hAnsi="Arial"/>
                <w:sz w:val="19"/>
                <w:szCs w:val="19"/>
                <w:color w:val="auto"/>
              </w:rPr>
              <w:t>Total</w:t>
            </w:r>
          </w:p>
        </w:tc>
        <w:tc>
          <w:tcPr>
            <w:tcW w:w="5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250,000,000</w:t>
            </w:r>
          </w:p>
        </w:tc>
      </w:tr>
      <w:tr>
        <w:trPr>
          <w:trHeight w:val="20"/>
        </w:trPr>
        <w:tc>
          <w:tcPr>
            <w:tcW w:w="7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68"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Notes sold by the underwriters to the public will initially be offered at the initial public offering price set forth on the cover of this prospectus. Any Notes sold by the underwriters to securities dealers may be sold at a discount from the initial public offering price not to exceed $17.50 per note in the case of sales to retail investors, and $28.00 per note in the case of sales to institutional investors. If all the Notes are not sold at the initial offering price, the underwriters may change the offering price and the other selling terms.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shows the underwriting discounts and commissions that we are to pay to the underwriters in connection with this offering.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w w:val="92"/>
              </w:rPr>
              <w:t>Paid by us</w:t>
            </w:r>
          </w:p>
        </w:tc>
      </w:tr>
      <w:tr>
        <w:trPr>
          <w:trHeight w:val="223"/>
        </w:trPr>
        <w:tc>
          <w:tcPr>
            <w:tcW w:w="10320" w:type="dxa"/>
            <w:vAlign w:val="bottom"/>
            <w:shd w:val="clear" w:color="auto" w:fill="E5FFFF"/>
          </w:tcPr>
          <w:p>
            <w:pPr>
              <w:spacing w:after="0"/>
              <w:rPr>
                <w:sz w:val="20"/>
                <w:szCs w:val="20"/>
                <w:color w:val="auto"/>
              </w:rPr>
            </w:pPr>
            <w:r>
              <w:rPr>
                <w:rFonts w:ascii="Arial" w:cs="Arial" w:eastAsia="Arial" w:hAnsi="Arial"/>
                <w:sz w:val="19"/>
                <w:szCs w:val="19"/>
                <w:color w:val="auto"/>
              </w:rPr>
              <w:t>Per note</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16.88</w:t>
            </w:r>
            <w:r>
              <w:rPr>
                <w:rFonts w:ascii="Arial" w:cs="Arial" w:eastAsia="Arial" w:hAnsi="Arial"/>
                <w:sz w:val="10"/>
                <w:szCs w:val="10"/>
                <w:color w:val="auto"/>
              </w:rPr>
              <w:t>(1)</w:t>
            </w:r>
          </w:p>
        </w:tc>
      </w:tr>
      <w:tr>
        <w:trPr>
          <w:trHeight w:val="247"/>
        </w:trPr>
        <w:tc>
          <w:tcPr>
            <w:tcW w:w="10320" w:type="dxa"/>
            <w:vAlign w:val="bottom"/>
          </w:tcPr>
          <w:p>
            <w:pPr>
              <w:spacing w:after="0"/>
              <w:rPr>
                <w:sz w:val="20"/>
                <w:szCs w:val="20"/>
                <w:color w:val="auto"/>
              </w:rPr>
            </w:pPr>
            <w:r>
              <w:rPr>
                <w:rFonts w:ascii="Arial" w:cs="Arial" w:eastAsia="Arial" w:hAnsi="Arial"/>
                <w:sz w:val="19"/>
                <w:szCs w:val="19"/>
                <w:color w:val="auto"/>
              </w:rPr>
              <w:t>Total</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ind w:right="49"/>
              <w:spacing w:after="0"/>
              <w:rPr>
                <w:sz w:val="20"/>
                <w:szCs w:val="20"/>
                <w:color w:val="auto"/>
              </w:rPr>
            </w:pPr>
            <w:r>
              <w:rPr>
                <w:rFonts w:ascii="Arial" w:cs="Arial" w:eastAsia="Arial" w:hAnsi="Arial"/>
                <w:sz w:val="19"/>
                <w:szCs w:val="19"/>
                <w:color w:val="auto"/>
                <w:w w:val="94"/>
              </w:rPr>
              <w:t>4,219,250</w:t>
            </w:r>
          </w:p>
        </w:tc>
      </w:tr>
    </w:tbl>
    <w:p>
      <w:pPr>
        <w:spacing w:after="0" w:line="64" w:lineRule="exact"/>
        <w:rPr>
          <w:sz w:val="20"/>
          <w:szCs w:val="20"/>
          <w:color w:val="auto"/>
        </w:rPr>
      </w:pPr>
    </w:p>
    <w:p>
      <w:pPr>
        <w:ind w:left="440" w:right="40" w:hanging="320"/>
        <w:spacing w:after="0" w:line="262" w:lineRule="auto"/>
        <w:tabs>
          <w:tab w:leader="none" w:pos="4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For sales to retail investors, the underwriting discount will be $28.00 per note, resulting in proceeds, before expenses, to us of $972.00 per note. For sales to institutional investors, the underwriting discount will be $17.50 per note, resulting in proceeds, before expenses, to us of $982.50 per note. The underwriters will not receive an underwriting discount or commission on the sales of $16,250,000 principal amount of Notes to Blenheim Holdings Ltd. and certain other GasLog-related investors.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estimate that our total expenses for this offering will be approximately $500,000.</w:t>
      </w:r>
    </w:p>
    <w:p>
      <w:pPr>
        <w:spacing w:after="0" w:line="11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8" w:lineRule="exact"/>
        <w:rPr>
          <w:sz w:val="20"/>
          <w:szCs w:val="20"/>
          <w:color w:val="auto"/>
        </w:rPr>
      </w:pPr>
    </w:p>
    <w:p>
      <w:pPr>
        <w:ind w:left="540" w:right="120" w:hanging="168"/>
        <w:spacing w:after="0" w:line="283"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Short sales involve secondary market sales by the underwriters of a greater principal amount of Notes than they are required to purchase in the offering.</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Covering transactions involve purchases of Notes by the underwriters in the open market in order to cover short positions.</w:t>
      </w:r>
    </w:p>
    <w:p>
      <w:pPr>
        <w:spacing w:after="0" w:line="105" w:lineRule="exact"/>
        <w:rPr>
          <w:rFonts w:ascii="Arial" w:cs="Arial" w:eastAsia="Arial" w:hAnsi="Arial"/>
          <w:sz w:val="19"/>
          <w:szCs w:val="19"/>
          <w:color w:val="auto"/>
        </w:rPr>
      </w:pPr>
    </w:p>
    <w:p>
      <w:pPr>
        <w:jc w:val="both"/>
        <w:ind w:left="540" w:right="520" w:hanging="168"/>
        <w:spacing w:after="0" w:line="267"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To close a short position, the underwriters must purchase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Stabilizing transactions involve bids to purchase Notes so long as the stabilizing bids do not exceed a specified maximum.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7" w:name="page58"/>
    <w:bookmarkEnd w:id="57"/>
    <w:p>
      <w:pPr>
        <w:ind w:right="100" w:firstLine="357"/>
        <w:spacing w:after="0" w:line="302"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43"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Relationships</w:t>
      </w:r>
    </w:p>
    <w:p>
      <w:pPr>
        <w:spacing w:after="0" w:line="125"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to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Selling Restrictions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In relation to each Member State of the European Economic Area which has implemented the Prospectus Directive (each, a “Relevant Member State”) an offer to the public of any Notes may not be made in that Relevant Member State, except that an offer to the public in that Relevant Member State of any Notes may be made at any time under the following exemptions under the Prospectus Directive, if they have been implemented in that Relevant Member State:</w:t>
      </w:r>
    </w:p>
    <w:p>
      <w:pPr>
        <w:spacing w:after="0" w:line="45" w:lineRule="exact"/>
        <w:rPr>
          <w:sz w:val="20"/>
          <w:szCs w:val="20"/>
          <w:color w:val="auto"/>
        </w:rPr>
      </w:pPr>
    </w:p>
    <w:p>
      <w:pPr>
        <w:ind w:left="800" w:hanging="318"/>
        <w:spacing w:after="0"/>
        <w:tabs>
          <w:tab w:leader="none" w:pos="8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05" w:lineRule="exact"/>
        <w:rPr>
          <w:rFonts w:ascii="Arial" w:cs="Arial" w:eastAsia="Arial" w:hAnsi="Arial"/>
          <w:sz w:val="19"/>
          <w:szCs w:val="19"/>
          <w:color w:val="auto"/>
        </w:rPr>
      </w:pPr>
    </w:p>
    <w:p>
      <w:pPr>
        <w:ind w:left="800" w:right="260" w:hanging="329"/>
        <w:spacing w:after="0" w:line="267" w:lineRule="auto"/>
        <w:tabs>
          <w:tab w:leader="none" w:pos="8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54" w:lineRule="exact"/>
        <w:rPr>
          <w:rFonts w:ascii="Arial" w:cs="Arial" w:eastAsia="Arial" w:hAnsi="Arial"/>
          <w:sz w:val="19"/>
          <w:szCs w:val="19"/>
          <w:color w:val="auto"/>
        </w:rPr>
      </w:pPr>
    </w:p>
    <w:p>
      <w:pPr>
        <w:ind w:left="800" w:right="200" w:hanging="318"/>
        <w:spacing w:after="0" w:line="312"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any other circumstances falling within Article 3(2) of the Prospectus Directive,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offer of Notes shall result in a requirement for the publication by us or any underwriter of a prospectus pursuant to Article 3 of the Prospectus Directive.</w:t>
      </w:r>
    </w:p>
    <w:p>
      <w:pPr>
        <w:spacing w:after="0" w:line="29" w:lineRule="exact"/>
        <w:rPr>
          <w:sz w:val="20"/>
          <w:szCs w:val="20"/>
          <w:color w:val="auto"/>
        </w:rPr>
      </w:pPr>
    </w:p>
    <w:p>
      <w:pPr>
        <w:ind w:right="100" w:firstLine="357"/>
        <w:spacing w:after="0" w:line="302" w:lineRule="auto"/>
        <w:rPr>
          <w:sz w:val="20"/>
          <w:szCs w:val="20"/>
          <w:color w:val="auto"/>
        </w:rPr>
      </w:pPr>
      <w:r>
        <w:rPr>
          <w:rFonts w:ascii="Arial" w:cs="Arial" w:eastAsia="Arial" w:hAnsi="Arial"/>
          <w:sz w:val="17"/>
          <w:szCs w:val="17"/>
          <w:color w:val="auto"/>
        </w:rPr>
        <w:t>For purposes of this provision, the expression an “offer to the public” in relation to any Notes in any Relevant Member State means the communication in any form and by any means of sufficient information on the terms of the offer and any Notes to be offered so as to enable an investor to decide to purchase any Notes, as the same may be varied in that Member State by any measure implementing the Prospectus Directive in that Member State, and the expression “Prospectus Directive” means Directive 2003/71/EC (and amendments thereto, including the 2010</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8" w:name="page59"/>
    <w:bookmarkEnd w:id="58"/>
    <w:p>
      <w:pPr>
        <w:ind w:right="600"/>
        <w:spacing w:after="0" w:line="283" w:lineRule="auto"/>
        <w:rPr>
          <w:sz w:val="20"/>
          <w:szCs w:val="20"/>
          <w:color w:val="auto"/>
        </w:rPr>
      </w:pPr>
      <w:r>
        <w:rPr>
          <w:rFonts w:ascii="Arial" w:cs="Arial" w:eastAsia="Arial" w:hAnsi="Arial"/>
          <w:sz w:val="19"/>
          <w:szCs w:val="19"/>
          <w:color w:val="auto"/>
        </w:rPr>
        <w:t>PD Amending Directive, to the extent implemented in the Relevant Member State), and includes any relevant implementing measure in the Relevant Member State, and the expression “2010 PD Amending Directive” means Directive 2010/73/EU.</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United Kingdom</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underwriter has represented and agreed that:</w:t>
      </w:r>
    </w:p>
    <w:p>
      <w:pPr>
        <w:spacing w:after="0" w:line="119" w:lineRule="exact"/>
        <w:rPr>
          <w:sz w:val="20"/>
          <w:szCs w:val="20"/>
          <w:color w:val="auto"/>
        </w:rPr>
      </w:pPr>
    </w:p>
    <w:p>
      <w:pPr>
        <w:ind w:left="620" w:hanging="255"/>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w:t>
      </w:r>
    </w:p>
    <w:p>
      <w:pPr>
        <w:spacing w:after="0" w:line="38" w:lineRule="exact"/>
        <w:rPr>
          <w:rFonts w:ascii="Arial" w:cs="Arial" w:eastAsia="Arial" w:hAnsi="Arial"/>
          <w:sz w:val="18"/>
          <w:szCs w:val="18"/>
          <w:color w:val="auto"/>
        </w:rPr>
      </w:pPr>
    </w:p>
    <w:p>
      <w:pPr>
        <w:ind w:right="60"/>
        <w:spacing w:after="0" w:line="265" w:lineRule="auto"/>
        <w:rPr>
          <w:rFonts w:ascii="Arial" w:cs="Arial" w:eastAsia="Arial" w:hAnsi="Arial"/>
          <w:sz w:val="18"/>
          <w:szCs w:val="18"/>
          <w:color w:val="auto"/>
        </w:rPr>
      </w:pPr>
      <w:r>
        <w:rPr>
          <w:rFonts w:ascii="Arial" w:cs="Arial" w:eastAsia="Arial" w:hAnsi="Arial"/>
          <w:sz w:val="19"/>
          <w:szCs w:val="19"/>
          <w:color w:val="auto"/>
        </w:rPr>
        <w:t>inducement to engage in investment activity (within the meaning of Section 21 of the FSMA) received by it in connection with the issue or sale of the Notes in circumstances in which Section 21(1) of the FSMA does not apply to us; and</w:t>
      </w:r>
    </w:p>
    <w:p>
      <w:pPr>
        <w:spacing w:after="0" w:line="55" w:lineRule="exact"/>
        <w:rPr>
          <w:rFonts w:ascii="Arial" w:cs="Arial" w:eastAsia="Arial" w:hAnsi="Arial"/>
          <w:sz w:val="18"/>
          <w:szCs w:val="18"/>
          <w:color w:val="auto"/>
        </w:rPr>
      </w:pPr>
    </w:p>
    <w:p>
      <w:pPr>
        <w:ind w:right="60" w:firstLine="365"/>
        <w:spacing w:after="0" w:line="283" w:lineRule="auto"/>
        <w:tabs>
          <w:tab w:leader="none" w:pos="632" w:val="left"/>
        </w:tabs>
        <w:numPr>
          <w:ilvl w:val="0"/>
          <w:numId w:val="54"/>
        </w:numPr>
        <w:rPr>
          <w:rFonts w:ascii="Arial" w:cs="Arial" w:eastAsia="Arial" w:hAnsi="Arial"/>
          <w:sz w:val="19"/>
          <w:szCs w:val="19"/>
          <w:color w:val="auto"/>
        </w:rPr>
      </w:pPr>
      <w:r>
        <w:rPr>
          <w:rFonts w:ascii="Arial" w:cs="Arial" w:eastAsia="Arial" w:hAnsi="Arial"/>
          <w:sz w:val="19"/>
          <w:szCs w:val="19"/>
          <w:color w:val="auto"/>
        </w:rPr>
        <w:t>it has complied and will comply with all applicable provisions of the FSMA with respect to anything done by it in relation to the Notes in, from or otherwise involving the United Kingdom.</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Singapore</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67"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are a Bermuda exempted company. Our registered address in Bermuda is Clarendon House, 2 Church Street, Hamilton, HM 11, Bermuda. A majority of our directors and some of the named experts referred to in this prospectus supplement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Certain legal matters, including tax matters, with respect to the laws of Bermuda will be passed upon for us by our special counsel as to Bermuda law, Conyers Dill &amp; Pearman Limited. The validity of the Notes and certain matters with respect to this offering, including tax matters with respect to U.S. law, will be passed upon for us by Cravath, Swaine &amp; Moore LLP, New York, New York. Cravath, Swaine &amp; Moore LLP may rely on the opinion of Conyers Dill &amp; Pearman Limited for all matters of Bermuda law. Certain matters with respect to this offering will be passed upon for the underwriters by Morgan, Lewis &amp; Bockius LLP, New York, New York.</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The consolidated financial statements as of December 31, 2015 and 2016, and for each of the three years in the period ended December 31, 2016, incorporated in this prospectus supplement by reference from the Company’s Annual Report on Form 20-F for the year ended December 31, 2016, and the effectiveness of GasLog Ltd.’s internal control over financial reporting as of December 31, 2016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 xml:space="preserve">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that contains reports, proxy and information statements and other information regarding registrants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60" w:name="page61"/>
    <w:bookmarkEnd w:id="60"/>
    <w:p>
      <w:pPr>
        <w:ind w:right="220"/>
        <w:spacing w:after="0" w:line="283" w:lineRule="auto"/>
        <w:rPr>
          <w:sz w:val="20"/>
          <w:szCs w:val="20"/>
          <w:color w:val="auto"/>
        </w:rPr>
      </w:pPr>
      <w:r>
        <w:rPr>
          <w:rFonts w:ascii="Arial" w:cs="Arial" w:eastAsia="Arial" w:hAnsi="Arial"/>
          <w:sz w:val="19"/>
          <w:szCs w:val="19"/>
          <w:color w:val="auto"/>
        </w:rPr>
        <w:t>that file electronically with the SEC. For further information pertaining to the securities offered by this prospectus supplement and GasLog Ltd., reference is made to the registration statement.</w:t>
      </w:r>
    </w:p>
    <w:p>
      <w:pPr>
        <w:spacing w:after="0" w:line="52"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80" w:firstLine="357"/>
        <w:spacing w:after="0" w:line="297" w:lineRule="auto"/>
        <w:rPr>
          <w:sz w:val="20"/>
          <w:szCs w:val="20"/>
          <w:color w:val="auto"/>
        </w:rPr>
      </w:pPr>
      <w:r>
        <w:rPr>
          <w:rFonts w:ascii="Arial" w:cs="Arial" w:eastAsia="Arial" w:hAnsi="Arial"/>
          <w:sz w:val="17"/>
          <w:szCs w:val="17"/>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prior to the termination of this offering will also be considered to be part of this prospectus supplement and will automatically update and supersede previously filed information, including information contained in this document. We hereby incorporate our Annual Report on Form 20-F for the year ended December 31, 2016, filed with the SEC on March 1, 2017.</w:t>
      </w:r>
    </w:p>
    <w:p>
      <w:pPr>
        <w:spacing w:after="0" w:line="33"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the Notes made by this prospectus supplement has been terminated. In all cases, you should rely on the later information over different information included in this prospectus supplement.</w:t>
      </w:r>
    </w:p>
    <w:p>
      <w:pPr>
        <w:spacing w:after="0" w:line="5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supplement is delivered, a copy of any or all of the information that has been incorporated by reference into this prospectus supplement, but which has not been delivered with the prospectus supplement. Copies of these documents also may be obtained on the “Investor Relations” section of our website at </w:t>
      </w:r>
      <w:r>
        <w:rPr>
          <w:rFonts w:ascii="Arial" w:cs="Arial" w:eastAsia="Arial" w:hAnsi="Arial"/>
          <w:sz w:val="19"/>
          <w:szCs w:val="19"/>
          <w:i w:val="1"/>
          <w:iCs w:val="1"/>
          <w:color w:val="auto"/>
        </w:rPr>
        <w:t>www.gaslogltd.com.</w:t>
      </w:r>
      <w:r>
        <w:rPr>
          <w:rFonts w:ascii="Arial" w:cs="Arial" w:eastAsia="Arial" w:hAnsi="Arial"/>
          <w:sz w:val="19"/>
          <w:szCs w:val="19"/>
          <w:color w:val="auto"/>
        </w:rPr>
        <w:t xml:space="preserve"> Requests for such information should be made to us at the following address: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Nicola Lloyd, General Counsel</w:t>
      </w:r>
    </w:p>
    <w:p>
      <w:pPr>
        <w:spacing w:after="0" w:line="119"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PROSPECTUS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34"/>
          <w:szCs w:val="34"/>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154940</wp:posOffset>
            </wp:positionV>
            <wp:extent cx="1655445" cy="763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554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37"/>
          <w:szCs w:val="37"/>
          <w:b w:val="1"/>
          <w:bCs w:val="1"/>
          <w:color w:val="auto"/>
        </w:rPr>
        <w:t>GasLog Ltd.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Common Shares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Preference Shares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Rights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Units</w:t>
      </w:r>
    </w:p>
    <w:p>
      <w:pPr>
        <w:spacing w:after="0" w:line="102" w:lineRule="exact"/>
        <w:rPr>
          <w:sz w:val="20"/>
          <w:szCs w:val="20"/>
          <w:color w:val="auto"/>
        </w:rPr>
      </w:pPr>
    </w:p>
    <w:p>
      <w:pPr>
        <w:jc w:val="both"/>
        <w:ind w:right="280" w:firstLine="357"/>
        <w:spacing w:after="0" w:line="313" w:lineRule="auto"/>
        <w:rPr>
          <w:sz w:val="20"/>
          <w:szCs w:val="20"/>
          <w:color w:val="auto"/>
        </w:rPr>
      </w:pPr>
      <w:r>
        <w:rPr>
          <w:rFonts w:ascii="Arial" w:cs="Arial" w:eastAsia="Arial" w:hAnsi="Arial"/>
          <w:sz w:val="17"/>
          <w:szCs w:val="17"/>
          <w:color w:val="auto"/>
        </w:rPr>
        <w:t>Through this prospectus, we may offer common shares, preference shares, debt securities, warrants, rights and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3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54" w:lineRule="exact"/>
        <w:rPr>
          <w:sz w:val="20"/>
          <w:szCs w:val="20"/>
          <w:color w:val="auto"/>
        </w:rPr>
      </w:pPr>
    </w:p>
    <w:p>
      <w:pPr>
        <w:ind w:right="120" w:firstLine="357"/>
        <w:spacing w:after="0" w:line="28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shares are traded on the New York Stock Exchange under the symbol “GLOG”.</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8.75% Series A Preference Shares are traded on the New York Stock Exchange under the symbol “GLOG PR A”.</w:t>
      </w:r>
    </w:p>
    <w:p>
      <w:pPr>
        <w:spacing w:after="0" w:line="119"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Our telephone number at such address is +377 97 97 51 15.</w:t>
      </w:r>
    </w:p>
    <w:p>
      <w:pPr>
        <w:spacing w:after="0" w:line="46" w:lineRule="exact"/>
        <w:rPr>
          <w:sz w:val="20"/>
          <w:szCs w:val="20"/>
          <w:color w:val="auto"/>
        </w:rPr>
      </w:pPr>
    </w:p>
    <w:p>
      <w:pPr>
        <w:ind w:firstLine="357"/>
        <w:spacing w:after="0" w:line="289" w:lineRule="auto"/>
        <w:rPr>
          <w:sz w:val="20"/>
          <w:szCs w:val="20"/>
          <w:color w:val="auto"/>
        </w:rPr>
      </w:pPr>
      <w:r>
        <w:rPr>
          <w:rFonts w:ascii="Arial" w:cs="Arial" w:eastAsia="Arial" w:hAnsi="Arial"/>
          <w:sz w:val="19"/>
          <w:szCs w:val="19"/>
          <w:b w:val="1"/>
          <w:bCs w:val="1"/>
          <w:color w:val="auto"/>
        </w:rPr>
        <w:t>Investing in our securities involves risks. Before buying any securities you should carefully read the section entitled “Risk Factors” on page 3 of this prospectus.</w:t>
      </w:r>
    </w:p>
    <w:p>
      <w:pPr>
        <w:spacing w:after="0" w:line="41" w:lineRule="exact"/>
        <w:rPr>
          <w:sz w:val="20"/>
          <w:szCs w:val="20"/>
          <w:color w:val="auto"/>
        </w:rPr>
      </w:pPr>
    </w:p>
    <w:p>
      <w:pPr>
        <w:ind w:right="120" w:firstLine="357"/>
        <w:spacing w:after="0" w:line="319"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3"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Consent under the Bermuda Exchange Control Act 1972 (and its related regulations) has been obtained from the Bermuda Monetary Authority for the issue and transfer of our offered securities to and between residents and non-residents of Bermuda for exchange control purposes provided our common shares remain listed on an appointed stock exchange, which includes the New York Stock Exchange. This prospectus may be filed with the Registrar of Companies in Bermuda in accordance with Bermuda law. In granting such consent and in accepting this prospectus for filing, neither the Bermuda Monetary Authority nor the Registrar of Companies in Bermuda accepts any responsibility for our financial soundness or the correctness of any of the statements made or opinions expressed in this prospectus.</w:t>
      </w:r>
    </w:p>
    <w:p>
      <w:pPr>
        <w:spacing w:after="0" w:line="63" w:lineRule="exact"/>
        <w:rPr>
          <w:sz w:val="20"/>
          <w:szCs w:val="20"/>
          <w:color w:val="auto"/>
        </w:rPr>
      </w:pPr>
    </w:p>
    <w:p>
      <w:pPr>
        <w:jc w:val="center"/>
        <w:ind w:left="360"/>
        <w:spacing w:after="0"/>
        <w:rPr>
          <w:sz w:val="20"/>
          <w:szCs w:val="20"/>
          <w:color w:val="auto"/>
        </w:rPr>
      </w:pPr>
      <w:r>
        <w:rPr>
          <w:rFonts w:ascii="Arial" w:cs="Arial" w:eastAsia="Arial" w:hAnsi="Arial"/>
          <w:sz w:val="19"/>
          <w:szCs w:val="19"/>
          <w:color w:val="auto"/>
        </w:rPr>
        <w:t>The date of this prospectus is 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20" w:type="dxa"/>
            <w:vAlign w:val="bottom"/>
            <w:gridSpan w:val="5"/>
          </w:tcPr>
          <w:p>
            <w:pPr>
              <w:ind w:left="600"/>
              <w:spacing w:after="0"/>
              <w:rPr>
                <w:sz w:val="20"/>
                <w:szCs w:val="20"/>
                <w:color w:val="auto"/>
              </w:rPr>
            </w:pPr>
            <w:r>
              <w:rPr>
                <w:rFonts w:ascii="Arial" w:cs="Arial" w:eastAsia="Arial" w:hAnsi="Arial"/>
                <w:sz w:val="19"/>
                <w:szCs w:val="19"/>
                <w:b w:val="1"/>
                <w:bCs w:val="1"/>
                <w:color w:val="auto"/>
              </w:rPr>
              <w:t>TABLE OF CONTENTS</w:t>
            </w:r>
          </w:p>
        </w:tc>
        <w:tc>
          <w:tcPr>
            <w:tcW w:w="4060" w:type="dxa"/>
            <w:vAlign w:val="bottom"/>
          </w:tcPr>
          <w:p>
            <w:pPr>
              <w:spacing w:after="0"/>
              <w:rPr>
                <w:sz w:val="21"/>
                <w:szCs w:val="21"/>
                <w:color w:val="auto"/>
              </w:rPr>
            </w:pPr>
          </w:p>
        </w:tc>
      </w:tr>
      <w:tr>
        <w:trPr>
          <w:trHeight w:val="226"/>
        </w:trPr>
        <w:tc>
          <w:tcPr>
            <w:tcW w:w="7300" w:type="dxa"/>
            <w:vAlign w:val="bottom"/>
            <w:gridSpan w:val="22"/>
          </w:tcPr>
          <w:p>
            <w:pPr>
              <w:spacing w:after="0"/>
              <w:rPr>
                <w:rFonts w:ascii="Arial" w:cs="Arial" w:eastAsia="Arial" w:hAnsi="Arial"/>
                <w:sz w:val="19"/>
                <w:szCs w:val="19"/>
                <w:color w:val="0000EE"/>
              </w:rPr>
            </w:pPr>
            <w:hyperlink w:anchor="page64">
              <w:r>
                <w:rPr>
                  <w:rFonts w:ascii="Arial" w:cs="Arial" w:eastAsia="Arial" w:hAnsi="Arial"/>
                  <w:sz w:val="19"/>
                  <w:szCs w:val="19"/>
                  <w:color w:val="0000EE"/>
                </w:rPr>
                <w:t>FORWARD-LOOKING STATEMENTS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3"/>
          </w:tcPr>
          <w:p>
            <w:pPr>
              <w:spacing w:after="0"/>
              <w:rPr>
                <w:rFonts w:ascii="Arial" w:cs="Arial" w:eastAsia="Arial" w:hAnsi="Arial"/>
                <w:sz w:val="19"/>
                <w:szCs w:val="19"/>
                <w:color w:val="0000EE"/>
              </w:rPr>
            </w:pPr>
            <w:hyperlink w:anchor="page65">
              <w:r>
                <w:rPr>
                  <w:rFonts w:ascii="Arial" w:cs="Arial" w:eastAsia="Arial" w:hAnsi="Arial"/>
                  <w:sz w:val="19"/>
                  <w:szCs w:val="19"/>
                  <w:color w:val="0000EE"/>
                </w:rPr>
                <w:t>THE COMPANY</w:t>
              </w:r>
            </w:hyperlink>
          </w:p>
        </w:tc>
        <w:tc>
          <w:tcPr>
            <w:tcW w:w="4140" w:type="dxa"/>
            <w:vAlign w:val="bottom"/>
            <w:gridSpan w:val="9"/>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23"/>
        </w:trPr>
        <w:tc>
          <w:tcPr>
            <w:tcW w:w="136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5"/>
              </w:rPr>
            </w:pPr>
            <w:hyperlink w:anchor="page66">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5920" w:type="dxa"/>
            <w:vAlign w:val="bottom"/>
            <w:gridSpan w:val="18"/>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5400" w:type="dxa"/>
            <w:vAlign w:val="bottom"/>
            <w:tcBorders>
              <w:bottom w:val="single" w:sz="8" w:color="0000EE"/>
            </w:tcBorders>
            <w:gridSpan w:val="20"/>
          </w:tcPr>
          <w:p>
            <w:pPr>
              <w:spacing w:after="0"/>
              <w:rPr>
                <w:rFonts w:ascii="Arial" w:cs="Arial" w:eastAsia="Arial" w:hAnsi="Arial"/>
                <w:sz w:val="19"/>
                <w:szCs w:val="19"/>
                <w:color w:val="0000EE"/>
                <w:w w:val="97"/>
              </w:rPr>
            </w:pPr>
            <w:hyperlink w:anchor="page60">
              <w:r>
                <w:rPr>
                  <w:rFonts w:ascii="Arial" w:cs="Arial" w:eastAsia="Arial" w:hAnsi="Arial"/>
                  <w:sz w:val="19"/>
                  <w:szCs w:val="19"/>
                  <w:color w:val="0000EE"/>
                  <w:w w:val="97"/>
                </w:rPr>
                <w:t>SERVICE OF PROCESS AND ENFORCEMENT OF LIABILITIES</w:t>
              </w:r>
            </w:hyperlink>
          </w:p>
        </w:tc>
        <w:tc>
          <w:tcPr>
            <w:tcW w:w="1900" w:type="dxa"/>
            <w:vAlign w:val="bottom"/>
            <w:gridSpan w:val="2"/>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2420" w:type="dxa"/>
            <w:vAlign w:val="bottom"/>
            <w:tcBorders>
              <w:bottom w:val="single" w:sz="8" w:color="0000EE"/>
            </w:tcBorders>
            <w:gridSpan w:val="9"/>
          </w:tcPr>
          <w:p>
            <w:pPr>
              <w:spacing w:after="0"/>
              <w:rPr>
                <w:rFonts w:ascii="Arial" w:cs="Arial" w:eastAsia="Arial" w:hAnsi="Arial"/>
                <w:sz w:val="19"/>
                <w:szCs w:val="19"/>
                <w:color w:val="0000EE"/>
                <w:w w:val="95"/>
              </w:rPr>
            </w:pPr>
            <w:hyperlink w:anchor="page67">
              <w:r>
                <w:rPr>
                  <w:rFonts w:ascii="Arial" w:cs="Arial" w:eastAsia="Arial" w:hAnsi="Arial"/>
                  <w:sz w:val="19"/>
                  <w:szCs w:val="19"/>
                  <w:color w:val="0000EE"/>
                  <w:w w:val="95"/>
                </w:rPr>
                <w:t>ABOUT THIS PROSPECTUS</w:t>
              </w:r>
            </w:hyperlink>
          </w:p>
        </w:tc>
        <w:tc>
          <w:tcPr>
            <w:tcW w:w="4880" w:type="dxa"/>
            <w:vAlign w:val="bottom"/>
            <w:gridSpan w:val="13"/>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67">
              <w:r>
                <w:rPr>
                  <w:rFonts w:ascii="Arial" w:cs="Arial" w:eastAsia="Arial" w:hAnsi="Arial"/>
                  <w:sz w:val="19"/>
                  <w:szCs w:val="19"/>
                  <w:color w:val="0000EE"/>
                </w:rPr>
                <w:t>WHERE YOU CAN FIND ADDITIONAL INFORMATION</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INCORPORATION OF CERTAIN INFORMATION BY REFERENCE</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7300" w:type="dxa"/>
            <w:vAlign w:val="bottom"/>
            <w:tcBorders>
              <w:bottom w:val="single" w:sz="8" w:color="0000EE"/>
            </w:tcBorders>
            <w:gridSpan w:val="22"/>
          </w:tcPr>
          <w:p>
            <w:pPr>
              <w:spacing w:after="0"/>
              <w:rPr>
                <w:rFonts w:ascii="Arial" w:cs="Arial" w:eastAsia="Arial" w:hAnsi="Arial"/>
                <w:sz w:val="19"/>
                <w:szCs w:val="19"/>
                <w:color w:val="0000EE"/>
                <w:w w:val="97"/>
              </w:rPr>
            </w:pPr>
            <w:hyperlink w:anchor="page25">
              <w:r>
                <w:rPr>
                  <w:rFonts w:ascii="Arial" w:cs="Arial" w:eastAsia="Arial" w:hAnsi="Arial"/>
                  <w:sz w:val="19"/>
                  <w:szCs w:val="19"/>
                  <w:color w:val="0000EE"/>
                  <w:w w:val="97"/>
                </w:rPr>
                <w:t>RATIO OF EARNINGS TO FIXED CHARGES AND PREFERENCE SHARE DIVIDENDS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1720" w:type="dxa"/>
            <w:vAlign w:val="bottom"/>
            <w:tcBorders>
              <w:bottom w:val="single" w:sz="8" w:color="0000EE"/>
            </w:tcBorders>
            <w:gridSpan w:val="6"/>
          </w:tcPr>
          <w:p>
            <w:pPr>
              <w:spacing w:after="0"/>
              <w:rPr>
                <w:rFonts w:ascii="Arial" w:cs="Arial" w:eastAsia="Arial" w:hAnsi="Arial"/>
                <w:sz w:val="19"/>
                <w:szCs w:val="19"/>
                <w:color w:val="0000EE"/>
                <w:w w:val="93"/>
              </w:rPr>
            </w:pPr>
            <w:hyperlink w:anchor="page69">
              <w:r>
                <w:rPr>
                  <w:rFonts w:ascii="Arial" w:cs="Arial" w:eastAsia="Arial" w:hAnsi="Arial"/>
                  <w:sz w:val="19"/>
                  <w:szCs w:val="19"/>
                  <w:color w:val="0000EE"/>
                  <w:w w:val="93"/>
                </w:rPr>
                <w:t>USE OF PROCEEDS</w:t>
              </w:r>
            </w:hyperlink>
          </w:p>
        </w:tc>
        <w:tc>
          <w:tcPr>
            <w:tcW w:w="5580" w:type="dxa"/>
            <w:vAlign w:val="bottom"/>
            <w:gridSpan w:val="16"/>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3540" w:type="dxa"/>
            <w:vAlign w:val="bottom"/>
            <w:tcBorders>
              <w:bottom w:val="single" w:sz="8" w:color="0000EE"/>
            </w:tcBorders>
            <w:gridSpan w:val="15"/>
          </w:tcPr>
          <w:p>
            <w:pPr>
              <w:spacing w:after="0"/>
              <w:rPr>
                <w:rFonts w:ascii="Arial" w:cs="Arial" w:eastAsia="Arial" w:hAnsi="Arial"/>
                <w:sz w:val="19"/>
                <w:szCs w:val="19"/>
                <w:color w:val="0000EE"/>
                <w:w w:val="99"/>
              </w:rPr>
            </w:pPr>
            <w:hyperlink w:anchor="page69">
              <w:r>
                <w:rPr>
                  <w:rFonts w:ascii="Arial" w:cs="Arial" w:eastAsia="Arial" w:hAnsi="Arial"/>
                  <w:sz w:val="19"/>
                  <w:szCs w:val="19"/>
                  <w:color w:val="0000EE"/>
                  <w:w w:val="99"/>
                </w:rPr>
                <w:t>CAPITALIZATION AND INDEBTEDNESS</w:t>
              </w:r>
            </w:hyperlink>
          </w:p>
        </w:tc>
        <w:tc>
          <w:tcPr>
            <w:tcW w:w="3760" w:type="dxa"/>
            <w:vAlign w:val="bottom"/>
            <w:gridSpan w:val="7"/>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DESCRIPTION OF SHARE CAPITAL</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PREFERENCE SHARES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3620" w:type="dxa"/>
            <w:vAlign w:val="bottom"/>
            <w:tcBorders>
              <w:top w:val="single" w:sz="8" w:color="0000EE"/>
            </w:tcBorders>
            <w:gridSpan w:val="16"/>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DEBT SECURITIES</w:t>
              </w:r>
            </w:hyperlink>
          </w:p>
        </w:tc>
        <w:tc>
          <w:tcPr>
            <w:tcW w:w="3680" w:type="dxa"/>
            <w:vAlign w:val="bottom"/>
            <w:gridSpan w:val="6"/>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3260" w:type="dxa"/>
            <w:vAlign w:val="bottom"/>
            <w:tcBorders>
              <w:top w:val="single" w:sz="8" w:color="0000EE"/>
            </w:tcBorders>
            <w:gridSpan w:val="14"/>
          </w:tcPr>
          <w:p>
            <w:pPr>
              <w:spacing w:after="0"/>
              <w:rPr>
                <w:rFonts w:ascii="Arial" w:cs="Arial" w:eastAsia="Arial" w:hAnsi="Arial"/>
                <w:sz w:val="19"/>
                <w:szCs w:val="19"/>
                <w:color w:val="0000EE"/>
              </w:rPr>
            </w:pPr>
            <w:hyperlink w:anchor="page78">
              <w:r>
                <w:rPr>
                  <w:rFonts w:ascii="Arial" w:cs="Arial" w:eastAsia="Arial" w:hAnsi="Arial"/>
                  <w:sz w:val="19"/>
                  <w:szCs w:val="19"/>
                  <w:color w:val="0000EE"/>
                </w:rPr>
                <w:t>DESCRIPTION OF WARRANTS</w:t>
              </w:r>
            </w:hyperlink>
          </w:p>
        </w:tc>
        <w:tc>
          <w:tcPr>
            <w:tcW w:w="4040" w:type="dxa"/>
            <w:vAlign w:val="bottom"/>
            <w:gridSpan w:val="8"/>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23"/>
        </w:trPr>
        <w:tc>
          <w:tcPr>
            <w:tcW w:w="23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6"/>
              </w:rPr>
            </w:pPr>
            <w:hyperlink w:anchor="page79">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3"/>
          </w:tcPr>
          <w:p>
            <w:pPr>
              <w:spacing w:after="0"/>
              <w:rPr>
                <w:sz w:val="19"/>
                <w:szCs w:val="19"/>
                <w:color w:val="auto"/>
              </w:rPr>
            </w:pPr>
          </w:p>
        </w:tc>
        <w:tc>
          <w:tcPr>
            <w:tcW w:w="4620" w:type="dxa"/>
            <w:vAlign w:val="bottom"/>
            <w:gridSpan w:val="11"/>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23"/>
        </w:trPr>
        <w:tc>
          <w:tcPr>
            <w:tcW w:w="2620" w:type="dxa"/>
            <w:vAlign w:val="bottom"/>
            <w:tcBorders>
              <w:bottom w:val="single" w:sz="8" w:color="0000EE"/>
            </w:tcBorders>
            <w:gridSpan w:val="10"/>
          </w:tcPr>
          <w:p>
            <w:pPr>
              <w:spacing w:after="0"/>
              <w:rPr>
                <w:rFonts w:ascii="Arial" w:cs="Arial" w:eastAsia="Arial" w:hAnsi="Arial"/>
                <w:sz w:val="19"/>
                <w:szCs w:val="19"/>
                <w:color w:val="0000EE"/>
                <w:w w:val="97"/>
              </w:rPr>
            </w:pPr>
            <w:hyperlink w:anchor="page79">
              <w:r>
                <w:rPr>
                  <w:rFonts w:ascii="Arial" w:cs="Arial" w:eastAsia="Arial" w:hAnsi="Arial"/>
                  <w:sz w:val="19"/>
                  <w:szCs w:val="19"/>
                  <w:color w:val="0000EE"/>
                  <w:w w:val="97"/>
                </w:rPr>
                <w:t>DESCRIPTION OF THE UNITS</w:t>
              </w:r>
            </w:hyperlink>
          </w:p>
        </w:tc>
        <w:tc>
          <w:tcPr>
            <w:tcW w:w="4680" w:type="dxa"/>
            <w:vAlign w:val="bottom"/>
            <w:gridSpan w:val="12"/>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23"/>
        </w:trPr>
        <w:tc>
          <w:tcPr>
            <w:tcW w:w="5260" w:type="dxa"/>
            <w:vAlign w:val="bottom"/>
            <w:tcBorders>
              <w:bottom w:val="single" w:sz="8" w:color="0000EE"/>
            </w:tcBorders>
            <w:gridSpan w:val="19"/>
          </w:tcPr>
          <w:p>
            <w:pPr>
              <w:spacing w:after="0"/>
              <w:rPr>
                <w:rFonts w:ascii="Arial" w:cs="Arial" w:eastAsia="Arial" w:hAnsi="Arial"/>
                <w:sz w:val="19"/>
                <w:szCs w:val="19"/>
                <w:color w:val="0000EE"/>
                <w:w w:val="98"/>
              </w:rPr>
            </w:pPr>
            <w:hyperlink w:anchor="page52">
              <w:r>
                <w:rPr>
                  <w:rFonts w:ascii="Arial" w:cs="Arial" w:eastAsia="Arial" w:hAnsi="Arial"/>
                  <w:sz w:val="19"/>
                  <w:szCs w:val="19"/>
                  <w:color w:val="0000EE"/>
                  <w:w w:val="98"/>
                </w:rPr>
                <w:t>MATERIAL U.S. FEDERAL INCOME TAX CONSIDERATIONS</w:t>
              </w:r>
            </w:hyperlink>
          </w:p>
        </w:tc>
        <w:tc>
          <w:tcPr>
            <w:tcW w:w="2040" w:type="dxa"/>
            <w:vAlign w:val="bottom"/>
            <w:gridSpan w:val="3"/>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3"/>
        </w:trPr>
        <w:tc>
          <w:tcPr>
            <w:tcW w:w="4080" w:type="dxa"/>
            <w:vAlign w:val="bottom"/>
            <w:tcBorders>
              <w:bottom w:val="single" w:sz="8" w:color="0000EE"/>
            </w:tcBorders>
            <w:gridSpan w:val="17"/>
          </w:tcPr>
          <w:p>
            <w:pPr>
              <w:spacing w:after="0"/>
              <w:rPr>
                <w:sz w:val="20"/>
                <w:szCs w:val="20"/>
                <w:color w:val="auto"/>
              </w:rPr>
            </w:pPr>
            <w:r>
              <w:rPr>
                <w:rFonts w:ascii="Arial" w:cs="Arial" w:eastAsia="Arial" w:hAnsi="Arial"/>
                <w:sz w:val="19"/>
                <w:szCs w:val="19"/>
                <w:color w:val="0000EE"/>
                <w:w w:val="97"/>
              </w:rPr>
              <w:t>NON-UNITED STATES TAX CONSIDERATIONS</w:t>
            </w:r>
          </w:p>
        </w:tc>
        <w:tc>
          <w:tcPr>
            <w:tcW w:w="3220" w:type="dxa"/>
            <w:vAlign w:val="bottom"/>
            <w:gridSpan w:val="5"/>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3"/>
        </w:trPr>
        <w:tc>
          <w:tcPr>
            <w:tcW w:w="222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80">
              <w:r>
                <w:rPr>
                  <w:rFonts w:ascii="Arial" w:cs="Arial" w:eastAsia="Arial" w:hAnsi="Arial"/>
                  <w:sz w:val="19"/>
                  <w:szCs w:val="19"/>
                  <w:color w:val="0000EE"/>
                  <w:w w:val="99"/>
                </w:rPr>
                <w:t>PLAN OF DISTRIBUTION</w:t>
              </w:r>
            </w:hyperlink>
          </w:p>
        </w:tc>
        <w:tc>
          <w:tcPr>
            <w:tcW w:w="5080" w:type="dxa"/>
            <w:vAlign w:val="bottom"/>
            <w:gridSpan w:val="15"/>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EXPENSES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720" w:type="dxa"/>
            <w:vAlign w:val="bottom"/>
            <w:gridSpan w:val="17"/>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9"/>
                <w:szCs w:val="19"/>
                <w:color w:val="0000EE"/>
                <w:w w:val="99"/>
              </w:rPr>
            </w:pPr>
            <w:hyperlink w:anchor="page83">
              <w:r>
                <w:rPr>
                  <w:rFonts w:ascii="Arial" w:cs="Arial" w:eastAsia="Arial" w:hAnsi="Arial"/>
                  <w:sz w:val="19"/>
                  <w:szCs w:val="19"/>
                  <w:color w:val="0000EE"/>
                  <w:w w:val="99"/>
                </w:rPr>
                <w:t>LEGAL MATTERS</w:t>
              </w:r>
            </w:hyperlink>
          </w:p>
        </w:tc>
        <w:tc>
          <w:tcPr>
            <w:tcW w:w="5720" w:type="dxa"/>
            <w:vAlign w:val="bottom"/>
            <w:gridSpan w:val="17"/>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83">
              <w:r>
                <w:rPr>
                  <w:rFonts w:ascii="Arial" w:cs="Arial" w:eastAsia="Arial" w:hAnsi="Arial"/>
                  <w:sz w:val="19"/>
                  <w:szCs w:val="19"/>
                  <w:color w:val="0000EE"/>
                  <w:w w:val="92"/>
                </w:rPr>
                <w:t>EXPERTS</w:t>
              </w:r>
            </w:hyperlink>
          </w:p>
        </w:tc>
        <w:tc>
          <w:tcPr>
            <w:tcW w:w="6460" w:type="dxa"/>
            <w:vAlign w:val="bottom"/>
            <w:gridSpan w:val="21"/>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20</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63" w:name="page64"/>
    <w:bookmarkEnd w:id="63"/>
    <w:p>
      <w:pPr>
        <w:jc w:val="center"/>
        <w:ind w:right="-11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All statements in this prospectus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right="26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general liquefied natural gas, or “LNG”, shipping market conditions and trends, including spot and long-term charter rates, ship values, factors affecting supply and demand of LNG and LNG shipping and technological advancements;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38" w:lineRule="exact"/>
        <w:rPr>
          <w:rFonts w:ascii="Arial" w:cs="Arial" w:eastAsia="Arial" w:hAnsi="Arial"/>
          <w:sz w:val="19"/>
          <w:szCs w:val="19"/>
          <w:color w:val="auto"/>
        </w:rPr>
      </w:pPr>
    </w:p>
    <w:p>
      <w:pPr>
        <w:ind w:left="540" w:right="34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05" w:lineRule="exact"/>
        <w:rPr>
          <w:rFonts w:ascii="Arial" w:cs="Arial" w:eastAsia="Arial" w:hAnsi="Arial"/>
          <w:sz w:val="19"/>
          <w:szCs w:val="19"/>
          <w:color w:val="auto"/>
        </w:rPr>
      </w:pPr>
    </w:p>
    <w:p>
      <w:pPr>
        <w:ind w:left="540" w:right="580" w:hanging="168"/>
        <w:spacing w:after="0" w:line="339"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64" w:name="page65"/>
    <w:bookmarkEnd w:id="64"/>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availability of skilled labor, ship crews and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right="500" w:hanging="168"/>
        <w:spacing w:after="0" w:line="283"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other factors discussed in the Company’s Annual Report on Form 20-F filed with the SEC and available at </w:t>
      </w:r>
      <w:r>
        <w:rPr>
          <w:rFonts w:ascii="Arial" w:cs="Arial" w:eastAsia="Arial" w:hAnsi="Arial"/>
          <w:sz w:val="19"/>
          <w:szCs w:val="19"/>
          <w:i w:val="1"/>
          <w:iCs w:val="1"/>
          <w:u w:val="single" w:color="auto"/>
          <w:color w:val="auto"/>
        </w:rPr>
        <w:t>http://www.sec.gov</w:t>
      </w:r>
      <w:r>
        <w:rPr>
          <w:rFonts w:ascii="Arial" w:cs="Arial" w:eastAsia="Arial" w:hAnsi="Arial"/>
          <w:sz w:val="19"/>
          <w:szCs w:val="19"/>
          <w:color w:val="auto"/>
        </w:rPr>
        <w:t>.</w:t>
      </w:r>
    </w:p>
    <w:p>
      <w:pPr>
        <w:spacing w:after="0" w:line="119"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77"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THE COMPANY</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i w:val="1"/>
          <w:iCs w:val="1"/>
          <w:color w:val="auto"/>
        </w:rPr>
        <w:t>Unless otherwise indicated, references in this prospectus to “GasLog”, the “Company”, the “Group”, “we”, “our”, “us” or similar terms refer to GasLog Ltd. or any one or more of its subsidiaries (including GasLog Partners LP) or their predecessors, or to such entities collectively, except that when such terms are used in this prospectus in reference to the common shares or the 8.75% Series A Cumulative Redeemable Perpetual Preference Shares (the “Series A Preference Shares”), they refer to GasLog Ltd; “GasLog Partners” or the “Partnership”, refers to GasLog Partners LP, a master limited partnership formed by GasLog to own, operate and acquire LNG carriers under long-term charters, or any one or more of GasLog Partners’ subsidiaries; “GasLog LNG Services” refers to GasLog LNG Services Ltd., our wholly owned subsidiary; “our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 “BG Group” refers to BG Group plc which was acquired by Royal Dutch Shell plc (“Shell”) on February 15, 2016, “MSL” refers to Methane Services Limited, a subsidiary of Shell, “Hyundai” refers to Hyundai Heavy Industries Co., Ltd., and “Samsung” refers to Samsung Heavy Industries Co., Ltd., or, in each case, one or more of their subsidiaries or to such entities collectively; “NYSE” refers to the New York Stock Exchange; “SEC” refers to the U.S. Securities and Exchange Commission; “dollars” and “$” refers to, and amounts are presented in, U.S. dollars; “Lepta Shipping” refers to Lepta Shipping Co., Ltd.; and “Mitsui” refers to Mitsui Co., Ltd.</w:t>
      </w:r>
    </w:p>
    <w:p>
      <w:pPr>
        <w:spacing w:after="0" w:line="58"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are an international owner, operator and manager of LNG carriers providing support to international energy companies as part of their LNG logistics chain. Our owned fleet consists of 26 owned LNG carriers, including 18 ships on the water and eight LNG carriers on order at two of the world’s leading LNG shipbuilders, Samsung and Hyundai. This includes eight LNG carriers in operation that are owned by our NYSE-listed subsidiary GasLog Partners, with which we have entered into certain agreements governing our relationship, including purchase options for certain of our ships. We currently manage and operate 22 LNG carriers including nine of our wholly owned ships in operation (one is managed by a subsidiary of Shell), the eight ships contributed or sold to the Partnership, three ships owned by MSL, one additional LNG carrier in which we have a 25.0% interest and a vessel secured under a long term bareboat charter from Lepta Shipping (a subsidiary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65" w:name="page66"/>
    <w:bookmarkEnd w:id="65"/>
    <w:p>
      <w:pPr>
        <w:ind w:right="80"/>
        <w:spacing w:after="0" w:line="281" w:lineRule="auto"/>
        <w:rPr>
          <w:sz w:val="20"/>
          <w:szCs w:val="20"/>
          <w:color w:val="auto"/>
        </w:rPr>
      </w:pPr>
      <w:r>
        <w:rPr>
          <w:rFonts w:ascii="Arial" w:cs="Arial" w:eastAsia="Arial" w:hAnsi="Arial"/>
          <w:sz w:val="18"/>
          <w:szCs w:val="18"/>
          <w:color w:val="auto"/>
        </w:rPr>
        <w:t>of Mitsui). We are also supervising the construction of our newbuildings. We have secured multi-year time and seasonal time charter contracts for seven of our operating ships, the one vessel secured under a long term bareboat charter from Lepta Shipping (a subsidiary of Mitsui), the eight ships owned by the Partnership and seven of our eight newbuildings on order. From December 31, 2015, these contracts are expected to provide total contracted revenue of $3.7 billion during their initial terms, which expire between 2016 and 2029.</w:t>
      </w:r>
    </w:p>
    <w:p>
      <w:pPr>
        <w:spacing w:after="0" w:line="57"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management and reporting. As the sole technical manager of BG Group’s owned fleet of LNG carriers for over 15 years, we have established a track record for the efficient, safe and reliable operation of LNG carriers, which is evidenced by our safety performance and the limited off-hire days of the 22 ships currently operating under our management.</w:t>
      </w:r>
    </w:p>
    <w:p>
      <w:pPr>
        <w:spacing w:after="0" w:line="76"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On April 4, 2012, we completed an initial public offering and a concurrent private placement of our common shares. On January 22, 2014, we completed a follow-on public offering and concurrent private placement of our common shares. On April 16, 2014, we completed a second follow-on public offering of our common shares. Our common shares are listed on the NYSE under the ticker symbol “GLOG”. If any securities are to be listed or quoted on any other securities exchange or quotation system, the applicable prospectus supplement will so state.</w:t>
      </w:r>
    </w:p>
    <w:p>
      <w:pPr>
        <w:spacing w:after="0" w:line="57"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On April 7, 2015 we completed a public offering of our Series A Preference Shares, par value $0.01 per share. The Series A Preference Shares are listed on the NYSE under the ticker symbol “GLOG PR A”.</w:t>
      </w:r>
    </w:p>
    <w:p>
      <w:pPr>
        <w:spacing w:after="0" w:line="52" w:lineRule="exact"/>
        <w:rPr>
          <w:sz w:val="20"/>
          <w:szCs w:val="20"/>
          <w:color w:val="auto"/>
        </w:rPr>
      </w:pPr>
    </w:p>
    <w:p>
      <w:pPr>
        <w:jc w:val="both"/>
        <w:ind w:right="420" w:firstLine="357"/>
        <w:spacing w:after="0" w:line="267"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72"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which may reduce our ability to pay dividends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jc w:val="both"/>
        <w:ind w:right="20" w:firstLine="357"/>
        <w:spacing w:after="0" w:line="289" w:lineRule="auto"/>
        <w:rPr>
          <w:sz w:val="20"/>
          <w:szCs w:val="20"/>
          <w:color w:val="auto"/>
        </w:rPr>
      </w:pPr>
      <w:r>
        <w:rPr>
          <w:rFonts w:ascii="Arial" w:cs="Arial" w:eastAsia="Arial" w:hAnsi="Arial"/>
          <w:sz w:val="18"/>
          <w:szCs w:val="18"/>
          <w:color w:val="auto"/>
        </w:rPr>
        <w:t>We are a Bermuda exempted company. Our registered address in Bermuda is Clarendon House, 2 Church Street, Hamilton, HM 11, Bermuda. As a result, the rights of holders of our securities will be governed by Bermuda law and our memorandum of association and bye-laws. The rights of shareholders under Bermuda law may differ from the rights of shareholders of companies incorporated in other jurisdictions.</w:t>
      </w:r>
    </w:p>
    <w:p>
      <w:pPr>
        <w:spacing w:after="0" w:line="49"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A majority of our directors and some of the named experts referred to in this prospectus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66" w:name="page67"/>
    <w:bookmarkEnd w:id="66"/>
    <w:p>
      <w:pPr>
        <w:jc w:val="both"/>
        <w:ind w:right="20"/>
        <w:spacing w:after="0" w:line="267" w:lineRule="auto"/>
        <w:rPr>
          <w:sz w:val="20"/>
          <w:szCs w:val="20"/>
          <w:color w:val="auto"/>
        </w:rPr>
      </w:pPr>
      <w:r>
        <w:rPr>
          <w:rFonts w:ascii="Arial" w:cs="Arial" w:eastAsia="Arial" w:hAnsi="Arial"/>
          <w:sz w:val="19"/>
          <w:szCs w:val="19"/>
          <w:color w:val="auto"/>
        </w:rPr>
        <w:t>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6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ABOUT THIS PROSPECTUS</w:t>
      </w:r>
    </w:p>
    <w:p>
      <w:pPr>
        <w:spacing w:after="0" w:line="125"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in one or more offerings.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right="80" w:firstLine="357"/>
        <w:spacing w:after="0" w:line="269" w:lineRule="auto"/>
        <w:rPr>
          <w:sz w:val="20"/>
          <w:szCs w:val="20"/>
          <w:color w:val="auto"/>
        </w:rPr>
      </w:pPr>
      <w:r>
        <w:rPr>
          <w:rFonts w:ascii="Arial" w:cs="Arial" w:eastAsia="Arial" w:hAnsi="Arial"/>
          <w:sz w:val="18"/>
          <w:szCs w:val="18"/>
          <w:color w:val="auto"/>
        </w:rPr>
        <w:t xml:space="preserve">We have filed with the SEC a registration statement on Form F-3 under the Securities Act of 1933, as amended,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 xml:space="preserve"> that contains reports, proxy and information statements and other information regarding registrants that file electronically with the SEC. For further information pertaining to the securities offered by this prospectus and GasLog Ltd., reference is made to the registration statement.</w:t>
      </w:r>
    </w:p>
    <w:p>
      <w:pPr>
        <w:spacing w:after="0" w:line="74"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7" w:name="page68"/>
    <w:bookmarkEnd w:id="67"/>
    <w:p>
      <w:pPr>
        <w:ind w:right="380"/>
        <w:spacing w:after="0" w:line="283" w:lineRule="auto"/>
        <w:rPr>
          <w:sz w:val="20"/>
          <w:szCs w:val="20"/>
          <w:color w:val="auto"/>
        </w:rPr>
      </w:pPr>
      <w:r>
        <w:rPr>
          <w:rFonts w:ascii="Arial" w:cs="Arial" w:eastAsia="Arial" w:hAnsi="Arial"/>
          <w:sz w:val="19"/>
          <w:szCs w:val="19"/>
          <w:color w:val="auto"/>
        </w:rPr>
        <w:t>Schedule 14A of the proxy rules promulgated under the Exchange Act. In addition, as a “foreign private issuer”, we are exempt from the rules under the Exchange Act relating to short swing profit reporting and liability.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260" w:firstLine="357"/>
        <w:spacing w:after="0" w:line="281"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incorporates by reference the following documents:</w:t>
      </w:r>
    </w:p>
    <w:p>
      <w:pPr>
        <w:spacing w:after="0" w:line="92" w:lineRule="exact"/>
        <w:rPr>
          <w:sz w:val="20"/>
          <w:szCs w:val="20"/>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2015, filed with the SEC on March 14, 2016;</w:t>
      </w:r>
    </w:p>
    <w:p>
      <w:pPr>
        <w:spacing w:after="0" w:line="105" w:lineRule="exact"/>
        <w:rPr>
          <w:rFonts w:ascii="Arial" w:cs="Arial" w:eastAsia="Arial" w:hAnsi="Arial"/>
          <w:sz w:val="19"/>
          <w:szCs w:val="19"/>
          <w:color w:val="auto"/>
        </w:rPr>
      </w:pPr>
    </w:p>
    <w:p>
      <w:pPr>
        <w:ind w:left="540" w:right="340" w:hanging="168"/>
        <w:spacing w:after="0" w:line="312"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description of our common shares which is contained in our registration statement on Form 8-A (File No. 001-35466), filed with the SEC on March 21, 2012, including any amendment or report filed for the purpose of updating such description; and</w:t>
      </w:r>
    </w:p>
    <w:p>
      <w:pPr>
        <w:spacing w:after="0" w:line="15" w:lineRule="exact"/>
        <w:rPr>
          <w:rFonts w:ascii="Arial" w:cs="Arial" w:eastAsia="Arial" w:hAnsi="Arial"/>
          <w:sz w:val="18"/>
          <w:szCs w:val="18"/>
          <w:color w:val="auto"/>
        </w:rPr>
      </w:pPr>
    </w:p>
    <w:p>
      <w:pPr>
        <w:ind w:left="540" w:right="120" w:hanging="168"/>
        <w:spacing w:after="0" w:line="312"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description of our Series A Preference Shares which is contained in our registration statement on Form 8-A (File No. 001-35466), filed with the SEC on March 31, 2015, including any amendment or report filed for the purpose of updating such description.</w:t>
      </w:r>
    </w:p>
    <w:p>
      <w:pPr>
        <w:spacing w:after="0" w:line="29"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 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5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9"/>
          <w:szCs w:val="19"/>
          <w:i w:val="1"/>
          <w:iCs w:val="1"/>
          <w:u w:val="single" w:color="auto"/>
          <w:color w:val="auto"/>
        </w:rPr>
        <w:t>www.gaslogltd.com</w:t>
      </w:r>
      <w:r>
        <w:rPr>
          <w:rFonts w:ascii="Arial" w:cs="Arial" w:eastAsia="Arial" w:hAnsi="Arial"/>
          <w:sz w:val="19"/>
          <w:szCs w:val="19"/>
          <w:color w:val="auto"/>
        </w:rPr>
        <w:t>. The information contained on or connected to our website is not a part of this prospectus. Requests for such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should be made to us at the following address: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 GasLog Monaco S.A.M.</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General Counsel</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9"/>
          <w:szCs w:val="19"/>
          <w:b w:val="1"/>
          <w:bCs w:val="1"/>
          <w:color w:val="auto"/>
        </w:rPr>
        <w:t>RATIO OF EARNINGS TO FIXED CHARGES AND PREFERENCE SHARE DIVIDENDS</w:t>
      </w:r>
    </w:p>
    <w:p>
      <w:pPr>
        <w:spacing w:after="0" w:line="125"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The following table shows our ratio of earnings to fixed charges for the periods indicated, computed using amounts derived from our financial statements prepared in accordance with International Financial Reporting Standards as issued by the International Accounting Standards Board.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w w:val="96"/>
              </w:rPr>
              <w:t>Year Ended December 31</w:t>
            </w: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r>
      <w:tr>
        <w:trPr>
          <w:trHeight w:val="169"/>
        </w:trPr>
        <w:tc>
          <w:tcPr>
            <w:tcW w:w="7860" w:type="dxa"/>
            <w:vAlign w:val="bottom"/>
          </w:tcPr>
          <w:p>
            <w:pPr>
              <w:spacing w:after="0"/>
              <w:rPr>
                <w:sz w:val="14"/>
                <w:szCs w:val="14"/>
                <w:color w:val="auto"/>
              </w:rPr>
            </w:pPr>
          </w:p>
        </w:tc>
        <w:tc>
          <w:tcPr>
            <w:tcW w:w="48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7860" w:type="dxa"/>
            <w:vAlign w:val="bottom"/>
            <w:shd w:val="clear" w:color="auto" w:fill="E5FFFF"/>
          </w:tcPr>
          <w:p>
            <w:pPr>
              <w:spacing w:after="0"/>
              <w:rPr>
                <w:sz w:val="20"/>
                <w:szCs w:val="20"/>
                <w:color w:val="auto"/>
              </w:rPr>
            </w:pPr>
            <w:r>
              <w:rPr>
                <w:rFonts w:ascii="Arial" w:cs="Arial" w:eastAsia="Arial" w:hAnsi="Arial"/>
                <w:sz w:val="19"/>
                <w:szCs w:val="19"/>
                <w:color w:val="auto"/>
              </w:rPr>
              <w:t>Ratio of Earnings to Fixed Charges</w:t>
            </w:r>
            <w:r>
              <w:rPr>
                <w:rFonts w:ascii="Arial" w:cs="Arial" w:eastAsia="Arial" w:hAnsi="Arial"/>
                <w:sz w:val="10"/>
                <w:szCs w:val="10"/>
                <w:color w:val="auto"/>
              </w:rPr>
              <w:t>(1)</w:t>
            </w:r>
          </w:p>
        </w:tc>
        <w:tc>
          <w:tcPr>
            <w:tcW w:w="480" w:type="dxa"/>
            <w:vAlign w:val="bottom"/>
            <w:shd w:val="clear" w:color="auto" w:fill="E5FFFF"/>
          </w:tcPr>
          <w:p>
            <w:pPr>
              <w:ind w:left="80"/>
              <w:spacing w:after="0"/>
              <w:rPr>
                <w:sz w:val="20"/>
                <w:szCs w:val="20"/>
                <w:color w:val="auto"/>
              </w:rPr>
            </w:pPr>
            <w:r>
              <w:rPr>
                <w:rFonts w:ascii="Arial" w:cs="Arial" w:eastAsia="Arial" w:hAnsi="Arial"/>
                <w:sz w:val="19"/>
                <w:szCs w:val="19"/>
                <w:color w:val="auto"/>
              </w:rPr>
              <w:t>2.47</w:t>
            </w:r>
          </w:p>
        </w:tc>
        <w:tc>
          <w:tcPr>
            <w:tcW w:w="7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1.36</w:t>
            </w:r>
          </w:p>
        </w:tc>
        <w:tc>
          <w:tcPr>
            <w:tcW w:w="76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3.09</w:t>
            </w:r>
          </w:p>
        </w:tc>
        <w:tc>
          <w:tcPr>
            <w:tcW w:w="7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1.74</w:t>
            </w:r>
          </w:p>
        </w:tc>
        <w:tc>
          <w:tcPr>
            <w:tcW w:w="76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1.60</w:t>
            </w:r>
          </w:p>
        </w:tc>
      </w:tr>
      <w:tr>
        <w:trPr>
          <w:trHeight w:val="247"/>
        </w:trPr>
        <w:tc>
          <w:tcPr>
            <w:tcW w:w="7860" w:type="dxa"/>
            <w:vAlign w:val="bottom"/>
          </w:tcPr>
          <w:p>
            <w:pPr>
              <w:spacing w:after="0"/>
              <w:rPr>
                <w:sz w:val="20"/>
                <w:szCs w:val="20"/>
                <w:color w:val="auto"/>
              </w:rPr>
            </w:pPr>
            <w:r>
              <w:rPr>
                <w:rFonts w:ascii="Arial" w:cs="Arial" w:eastAsia="Arial" w:hAnsi="Arial"/>
                <w:sz w:val="19"/>
                <w:szCs w:val="19"/>
                <w:color w:val="auto"/>
              </w:rPr>
              <w:t>Ratio of Earnings to Combined Fixed Charges and Preference Dividends</w:t>
            </w:r>
            <w:r>
              <w:rPr>
                <w:rFonts w:ascii="Arial" w:cs="Arial" w:eastAsia="Arial" w:hAnsi="Arial"/>
                <w:sz w:val="10"/>
                <w:szCs w:val="10"/>
                <w:color w:val="auto"/>
              </w:rPr>
              <w:t>(1)</w:t>
            </w:r>
          </w:p>
        </w:tc>
        <w:tc>
          <w:tcPr>
            <w:tcW w:w="480" w:type="dxa"/>
            <w:vAlign w:val="bottom"/>
          </w:tcPr>
          <w:p>
            <w:pPr>
              <w:ind w:left="80"/>
              <w:spacing w:after="0"/>
              <w:rPr>
                <w:sz w:val="20"/>
                <w:szCs w:val="20"/>
                <w:color w:val="auto"/>
              </w:rPr>
            </w:pPr>
            <w:r>
              <w:rPr>
                <w:rFonts w:ascii="Arial" w:cs="Arial" w:eastAsia="Arial" w:hAnsi="Arial"/>
                <w:sz w:val="19"/>
                <w:szCs w:val="19"/>
                <w:color w:val="auto"/>
              </w:rPr>
              <w:t>2.47</w:t>
            </w:r>
          </w:p>
        </w:tc>
        <w:tc>
          <w:tcPr>
            <w:tcW w:w="780" w:type="dxa"/>
            <w:vAlign w:val="bottom"/>
            <w:gridSpan w:val="2"/>
          </w:tcPr>
          <w:p>
            <w:pPr>
              <w:ind w:left="380"/>
              <w:spacing w:after="0"/>
              <w:rPr>
                <w:sz w:val="20"/>
                <w:szCs w:val="20"/>
                <w:color w:val="auto"/>
              </w:rPr>
            </w:pPr>
            <w:r>
              <w:rPr>
                <w:rFonts w:ascii="Arial" w:cs="Arial" w:eastAsia="Arial" w:hAnsi="Arial"/>
                <w:sz w:val="19"/>
                <w:szCs w:val="19"/>
                <w:color w:val="auto"/>
              </w:rPr>
              <w:t>1.36</w:t>
            </w:r>
          </w:p>
        </w:tc>
        <w:tc>
          <w:tcPr>
            <w:tcW w:w="760" w:type="dxa"/>
            <w:vAlign w:val="bottom"/>
            <w:gridSpan w:val="2"/>
          </w:tcPr>
          <w:p>
            <w:pPr>
              <w:ind w:left="360"/>
              <w:spacing w:after="0"/>
              <w:rPr>
                <w:sz w:val="20"/>
                <w:szCs w:val="20"/>
                <w:color w:val="auto"/>
              </w:rPr>
            </w:pPr>
            <w:r>
              <w:rPr>
                <w:rFonts w:ascii="Arial" w:cs="Arial" w:eastAsia="Arial" w:hAnsi="Arial"/>
                <w:sz w:val="19"/>
                <w:szCs w:val="19"/>
                <w:color w:val="auto"/>
              </w:rPr>
              <w:t>3.09</w:t>
            </w:r>
          </w:p>
        </w:tc>
        <w:tc>
          <w:tcPr>
            <w:tcW w:w="780" w:type="dxa"/>
            <w:vAlign w:val="bottom"/>
            <w:gridSpan w:val="2"/>
          </w:tcPr>
          <w:p>
            <w:pPr>
              <w:ind w:left="380"/>
              <w:spacing w:after="0"/>
              <w:rPr>
                <w:sz w:val="20"/>
                <w:szCs w:val="20"/>
                <w:color w:val="auto"/>
              </w:rPr>
            </w:pPr>
            <w:r>
              <w:rPr>
                <w:rFonts w:ascii="Arial" w:cs="Arial" w:eastAsia="Arial" w:hAnsi="Arial"/>
                <w:sz w:val="19"/>
                <w:szCs w:val="19"/>
                <w:color w:val="auto"/>
              </w:rPr>
              <w:t>1.74</w:t>
            </w:r>
          </w:p>
        </w:tc>
        <w:tc>
          <w:tcPr>
            <w:tcW w:w="760" w:type="dxa"/>
            <w:vAlign w:val="bottom"/>
            <w:gridSpan w:val="2"/>
          </w:tcPr>
          <w:p>
            <w:pPr>
              <w:ind w:left="360"/>
              <w:spacing w:after="0"/>
              <w:rPr>
                <w:sz w:val="20"/>
                <w:szCs w:val="20"/>
                <w:color w:val="auto"/>
              </w:rPr>
            </w:pPr>
            <w:r>
              <w:rPr>
                <w:rFonts w:ascii="Arial" w:cs="Arial" w:eastAsia="Arial" w:hAnsi="Arial"/>
                <w:sz w:val="19"/>
                <w:szCs w:val="19"/>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75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300" w:hanging="213"/>
        <w:spacing w:after="0"/>
        <w:tabs>
          <w:tab w:leader="none" w:pos="300" w:val="left"/>
        </w:tabs>
        <w:numPr>
          <w:ilvl w:val="0"/>
          <w:numId w:val="58"/>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2" w:lineRule="exact"/>
        <w:rPr>
          <w:rFonts w:ascii="Arial" w:cs="Arial" w:eastAsia="Arial" w:hAnsi="Arial"/>
          <w:sz w:val="21"/>
          <w:szCs w:val="21"/>
          <w:color w:val="auto"/>
          <w:vertAlign w:val="superscript"/>
        </w:rPr>
      </w:pPr>
    </w:p>
    <w:p>
      <w:pPr>
        <w:ind w:left="540" w:right="520" w:hanging="168"/>
        <w:spacing w:after="0" w:line="262" w:lineRule="auto"/>
        <w:tabs>
          <w:tab w:leader="none" w:pos="540" w:val="left"/>
        </w:tabs>
        <w:numPr>
          <w:ilvl w:val="1"/>
          <w:numId w:val="58"/>
        </w:numPr>
        <w:rPr>
          <w:rFonts w:ascii="Arial" w:cs="Arial" w:eastAsia="Arial" w:hAnsi="Arial"/>
          <w:sz w:val="19"/>
          <w:szCs w:val="19"/>
          <w:color w:val="auto"/>
        </w:rPr>
      </w:pPr>
      <w:r>
        <w:rPr>
          <w:rFonts w:ascii="Arial" w:cs="Arial" w:eastAsia="Arial" w:hAnsi="Arial"/>
          <w:sz w:val="19"/>
          <w:szCs w:val="19"/>
          <w:color w:val="auto"/>
        </w:rPr>
        <w:t>“earnings” is the result of adding (a) pre-tax income from continuing operations before adjustment for non-controlling interests in consolidated subsidiaries or income of equity investees (which includes non-cash unrealized gains and losses on derivative financial instruments), (b) fixed charges, (c) amortization of capitalized interest, and (d) distributed income of equity investees, and subtracting interest capitalized;</w:t>
      </w:r>
    </w:p>
    <w:p>
      <w:pPr>
        <w:spacing w:after="0" w:line="45" w:lineRule="exact"/>
        <w:rPr>
          <w:rFonts w:ascii="Arial" w:cs="Arial" w:eastAsia="Arial" w:hAnsi="Arial"/>
          <w:sz w:val="19"/>
          <w:szCs w:val="19"/>
          <w:color w:val="auto"/>
        </w:rPr>
      </w:pPr>
    </w:p>
    <w:p>
      <w:pPr>
        <w:ind w:left="540" w:right="20" w:hanging="168"/>
        <w:spacing w:after="0" w:line="339" w:lineRule="auto"/>
        <w:tabs>
          <w:tab w:leader="none" w:pos="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“fixed charges” represent (i) interest incurred (whether expensed or capitalized) (ii) amortized premiums and capitalized expenses related to indebtedness, (iii) interest within rental expense, and (iv) preference security dividend requirements of consolidated subsidiaries;</w:t>
      </w:r>
    </w:p>
    <w:p>
      <w:pPr>
        <w:spacing w:after="0" w:line="1" w:lineRule="exact"/>
        <w:rPr>
          <w:rFonts w:ascii="Arial" w:cs="Arial" w:eastAsia="Arial" w:hAnsi="Arial"/>
          <w:sz w:val="17"/>
          <w:szCs w:val="17"/>
          <w:color w:val="auto"/>
        </w:rPr>
      </w:pPr>
    </w:p>
    <w:p>
      <w:pPr>
        <w:ind w:left="540" w:right="680" w:hanging="168"/>
        <w:spacing w:after="0" w:line="259" w:lineRule="auto"/>
        <w:tabs>
          <w:tab w:leader="none" w:pos="540" w:val="left"/>
        </w:tabs>
        <w:numPr>
          <w:ilvl w:val="1"/>
          <w:numId w:val="58"/>
        </w:numPr>
        <w:rPr>
          <w:rFonts w:ascii="Arial" w:cs="Arial" w:eastAsia="Arial" w:hAnsi="Arial"/>
          <w:sz w:val="19"/>
          <w:szCs w:val="19"/>
          <w:color w:val="auto"/>
        </w:rPr>
      </w:pPr>
      <w:r>
        <w:rPr>
          <w:rFonts w:ascii="Arial" w:cs="Arial" w:eastAsia="Arial" w:hAnsi="Arial"/>
          <w:sz w:val="19"/>
          <w:szCs w:val="19"/>
          <w:color w:val="auto"/>
        </w:rPr>
        <w:t>“preference dividends” refers to the amount of pre-tax earnings that is required to pay the cash dividends on outstanding Series A Preference Shares. There is no effective income tax rate applicable to continuing operations. We did not have any preference shares outstanding during the periods from 2011 to 2014 and the ratio of earnings to combined fixed charges and preference dividends is equivalent to the ratio of earnings to fixed charges for these periods. As of March 14, 2016, we had 4,600,000 outstanding Series A Preference Shares.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Unless otherwise set forth in the applicable prospectus supplement, we intend to use the net proceeds received from the sale of the securities we offer by this prospectus for general corporate purposes.</w:t>
      </w:r>
    </w:p>
    <w:p>
      <w:pPr>
        <w:spacing w:after="0" w:line="52" w:lineRule="exact"/>
        <w:rPr>
          <w:sz w:val="20"/>
          <w:szCs w:val="20"/>
          <w:color w:val="auto"/>
        </w:rPr>
      </w:pPr>
    </w:p>
    <w:p>
      <w:pPr>
        <w:ind w:right="260" w:firstLine="357"/>
        <w:spacing w:after="0" w:line="312"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CAPITALIZATION AND INDEBTEDNESS</w:t>
      </w:r>
    </w:p>
    <w:p>
      <w:pPr>
        <w:spacing w:after="0" w:line="125"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Our capitalization and indebtedness will be set forth in a prospectus supplement to this prospectus or in a report on Form 6-K subsequently furnished to the SEC and specifically incorporated herein by reference.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SHARE CAPITAL</w:t>
      </w:r>
    </w:p>
    <w:p>
      <w:pPr>
        <w:spacing w:after="0" w:line="125" w:lineRule="exact"/>
        <w:rPr>
          <w:sz w:val="20"/>
          <w:szCs w:val="20"/>
          <w:color w:val="auto"/>
        </w:rPr>
      </w:pPr>
    </w:p>
    <w:p>
      <w:pPr>
        <w:ind w:right="340" w:firstLine="357"/>
        <w:spacing w:after="0" w:line="283" w:lineRule="auto"/>
        <w:rPr>
          <w:sz w:val="20"/>
          <w:szCs w:val="20"/>
          <w:color w:val="auto"/>
        </w:rPr>
      </w:pPr>
      <w:r>
        <w:rPr>
          <w:rFonts w:ascii="Arial" w:cs="Arial" w:eastAsia="Arial" w:hAnsi="Arial"/>
          <w:sz w:val="19"/>
          <w:szCs w:val="19"/>
          <w:color w:val="auto"/>
        </w:rPr>
        <w:t>More information on our share capital is included under “Item 10. Additional Information” in our annual report on Form 20-F for the year ended December 31, 2015, filed with the SEC on March 14, 2016.</w:t>
      </w:r>
    </w:p>
    <w:p>
      <w:pPr>
        <w:spacing w:after="0" w:line="52"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A description of our common shares can be found in our registration statement on the description of our common shares which is contained in our registration statement on Form 8-A (File No. 001-35466), filed with the SEC on March 21, 2012, including any amendment or report filed for the purpose of updating such description.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ind w:right="140" w:firstLine="357"/>
        <w:spacing w:after="0" w:line="283" w:lineRule="auto"/>
        <w:rPr>
          <w:sz w:val="20"/>
          <w:szCs w:val="20"/>
          <w:color w:val="auto"/>
        </w:rPr>
      </w:pPr>
      <w:r>
        <w:rPr>
          <w:rFonts w:ascii="Arial" w:cs="Arial" w:eastAsia="Arial" w:hAnsi="Arial"/>
          <w:sz w:val="19"/>
          <w:szCs w:val="19"/>
          <w:color w:val="auto"/>
        </w:rPr>
        <w:t>A description of our Series A Preference Shares can be found in our registration statement on Form 8-A (File No. 001-35466), filed with the SEC on March 31, 2015, including any amendment or report filed for the purpose of updating such description.</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DESCRIPTION OF PREFERENCE SHARES</w:t>
      </w:r>
    </w:p>
    <w:p>
      <w:pPr>
        <w:spacing w:after="0" w:line="125" w:lineRule="exact"/>
        <w:rPr>
          <w:sz w:val="20"/>
          <w:szCs w:val="20"/>
          <w:color w:val="auto"/>
        </w:rPr>
      </w:pPr>
    </w:p>
    <w:p>
      <w:pPr>
        <w:ind w:right="40" w:firstLine="357"/>
        <w:spacing w:after="0" w:line="281" w:lineRule="auto"/>
        <w:rPr>
          <w:sz w:val="20"/>
          <w:szCs w:val="20"/>
          <w:color w:val="auto"/>
        </w:rPr>
      </w:pPr>
      <w:r>
        <w:rPr>
          <w:rFonts w:ascii="Arial" w:cs="Arial" w:eastAsia="Arial" w:hAnsi="Arial"/>
          <w:sz w:val="18"/>
          <w:szCs w:val="18"/>
          <w:color w:val="auto"/>
        </w:rPr>
        <w:t>Our bye-laws authorize our board of directors to establish one or more series of preference shares, in addition to the Series A Preference Shares, and to determine, with respect to any series of preference shares, the terms and rights of that series. The issuance of preference shares may have the effect of discouraging, delaying or preventing a change of control of us or the removal of our management. The issuance of preference shares with voting and conversion rights may adversely affect the voting power of the holders of shares of our common shares.</w:t>
      </w:r>
    </w:p>
    <w:p>
      <w:pPr>
        <w:spacing w:after="0" w:line="57"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applicable prospectus supplement will describe the following terms of any series of preference shares in respect of which this prospectus is being delivered:</w:t>
      </w:r>
    </w:p>
    <w:p>
      <w:pPr>
        <w:spacing w:after="0" w:line="25" w:lineRule="exact"/>
        <w:rPr>
          <w:sz w:val="20"/>
          <w:szCs w:val="20"/>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number of shares constituting a series and the distinctive designation of the series;</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dividend rate of the series, whether dividends shall be cumulative and, if so, from which date or dates, and the relative rights of priority, if any, of the payment of dividends on shares of the series;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voting rights, if any, of the holders of the series, in addition to the voting rights provided by law;</w:t>
      </w:r>
    </w:p>
    <w:p>
      <w:pPr>
        <w:spacing w:after="0" w:line="105" w:lineRule="exact"/>
        <w:rPr>
          <w:rFonts w:ascii="Arial" w:cs="Arial" w:eastAsia="Arial" w:hAnsi="Arial"/>
          <w:sz w:val="19"/>
          <w:szCs w:val="19"/>
          <w:color w:val="auto"/>
        </w:rPr>
      </w:pPr>
    </w:p>
    <w:p>
      <w:pPr>
        <w:ind w:left="540" w:right="220" w:hanging="168"/>
        <w:spacing w:after="0" w:line="312"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series will have conversion or exchange privileges (including, without limitation, conversion into common shares), and if so, the terms and conditions of such conversion or exchange, including provision for adjustment of the conversion or exchange rate;</w:t>
      </w:r>
    </w:p>
    <w:p>
      <w:pPr>
        <w:spacing w:after="0" w:line="15" w:lineRule="exact"/>
        <w:rPr>
          <w:rFonts w:ascii="Arial" w:cs="Arial" w:eastAsia="Arial" w:hAnsi="Arial"/>
          <w:sz w:val="18"/>
          <w:szCs w:val="18"/>
          <w:color w:val="auto"/>
        </w:rPr>
      </w:pPr>
    </w:p>
    <w:p>
      <w:pPr>
        <w:ind w:left="540" w:hanging="168"/>
        <w:spacing w:after="0"/>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whether the shares of the series will be redeemable or repurchaseable and, if so, the terms and conditions or such redemption or repurchase;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whether the series will have a sinking fund for the redemption or repurchase of shares of the series;</w:t>
      </w:r>
    </w:p>
    <w:p>
      <w:pPr>
        <w:spacing w:after="0" w:line="105" w:lineRule="exact"/>
        <w:rPr>
          <w:rFonts w:ascii="Arial" w:cs="Arial" w:eastAsia="Arial" w:hAnsi="Arial"/>
          <w:sz w:val="19"/>
          <w:szCs w:val="19"/>
          <w:color w:val="auto"/>
        </w:rPr>
      </w:pPr>
    </w:p>
    <w:p>
      <w:pPr>
        <w:ind w:left="540" w:right="180" w:hanging="168"/>
        <w:spacing w:after="0" w:line="262"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rights of the shares of the series to the benefit of conditions and restrictions upon the creation of indebtedness of the Company or any subsidiary, upon issuance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spacing w:after="0" w:line="58" w:lineRule="exact"/>
        <w:rPr>
          <w:rFonts w:ascii="Arial" w:cs="Arial" w:eastAsia="Arial" w:hAnsi="Arial"/>
          <w:sz w:val="19"/>
          <w:szCs w:val="19"/>
          <w:color w:val="auto"/>
        </w:rPr>
      </w:pPr>
    </w:p>
    <w:p>
      <w:pPr>
        <w:ind w:left="540" w:right="10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rights of the shares of the series in the event of voluntary or involuntary liquidation, dissolution or winding up of the Company, and the relative rights of priority, if any of payment in respect of shares of the series;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other relative participating, optional or other special rights, qualifications, limitations or restrictions of the series.</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description in the applicable prospectus supplement of any preference shares we offer will not necessarily be complete and will be qualified in its entirety by reference to the applicable board resolution, certificate of designations or specimen share certificate, which will be filed with the SEC if we offer preference shares. For more information on how you can obtain copies of any board resolution, certificate of designations or specimen share certificate if we offer preference shares, see “Where You Can Find Additional Information” beginning on page 4 of this prospectus. We urge you to read the applicable board resolution, applicable certificate of designations or the applicable specimen share certificate, and any applicable prospectus supplement in their entirety.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DESCRIPTION OF DEBT SECURITIES</w:t>
      </w:r>
    </w:p>
    <w:p>
      <w:pPr>
        <w:spacing w:after="0" w:line="125"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shares or other securities. The indenture, a form of which is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0" w:name="page71"/>
    <w:bookmarkEnd w:id="70"/>
    <w:p>
      <w:pPr>
        <w:ind w:right="40"/>
        <w:spacing w:after="0" w:line="267" w:lineRule="auto"/>
        <w:rPr>
          <w:sz w:val="20"/>
          <w:szCs w:val="20"/>
          <w:color w:val="auto"/>
        </w:rPr>
      </w:pPr>
      <w:r>
        <w:rPr>
          <w:rFonts w:ascii="Arial" w:cs="Arial" w:eastAsia="Arial" w:hAnsi="Arial"/>
          <w:sz w:val="19"/>
          <w:szCs w:val="19"/>
          <w:color w:val="auto"/>
        </w:rPr>
        <w:t>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72"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1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shares or other securities if specified in the applicable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7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Specified in the Applicable Prospectus Supplement</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applicable prospectus supplement will contain, where applicable, the following terms of, and other information relating to, any offered debt securities:</w:t>
      </w:r>
    </w:p>
    <w:p>
      <w:pPr>
        <w:spacing w:after="0" w:line="38" w:lineRule="exact"/>
        <w:rPr>
          <w:sz w:val="20"/>
          <w:szCs w:val="20"/>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specific designation;</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limit on the aggregate principal amount of the debt securities, their purchase price and denomination;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currency in which the debt securities are denominated and/or in which principal, premium, if any, and/or interest, if any, is payable;</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date of maturity;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interest rate or rates or the method by which the calculation agent will determine the interest rate or rates,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interest payment dates, if 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1" w:name="page72"/>
    <w:bookmarkEnd w:id="71"/>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place or places for payment of the principal of and any premium and/or interest on the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repayment, redemption, prepayment or sinking fund provisions, including any redemption notice provisions;</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whether we will issue the debt securities in definitive form and under what terms and conditions;</w:t>
      </w:r>
    </w:p>
    <w:p>
      <w:pPr>
        <w:spacing w:after="0" w:line="105" w:lineRule="exact"/>
        <w:rPr>
          <w:rFonts w:ascii="Arial" w:cs="Arial" w:eastAsia="Arial" w:hAnsi="Arial"/>
          <w:sz w:val="19"/>
          <w:szCs w:val="19"/>
          <w:color w:val="auto"/>
        </w:rPr>
      </w:pPr>
    </w:p>
    <w:p>
      <w:pPr>
        <w:ind w:left="540" w:right="200" w:hanging="168"/>
        <w:spacing w:after="0" w:line="267"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terms on which holders of the debt securities may convert or exchange these securities into or for common shares or other securities, any specific terms relating to the adjustment of the conversion or exchange feature and the period during which the holders may make the conversion or exchange;</w:t>
      </w:r>
    </w:p>
    <w:p>
      <w:pPr>
        <w:spacing w:after="0" w:line="54" w:lineRule="exact"/>
        <w:rPr>
          <w:rFonts w:ascii="Arial" w:cs="Arial" w:eastAsia="Arial" w:hAnsi="Arial"/>
          <w:sz w:val="19"/>
          <w:szCs w:val="19"/>
          <w:color w:val="auto"/>
        </w:rPr>
      </w:pPr>
    </w:p>
    <w:p>
      <w:pPr>
        <w:ind w:left="540" w:right="30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agents for the debt securities, including trustees, depositaries, authenticating or paying agents, transfer agents or registrars;</w:t>
      </w:r>
    </w:p>
    <w:p>
      <w:pPr>
        <w:spacing w:after="0" w:line="105" w:lineRule="exact"/>
        <w:rPr>
          <w:rFonts w:ascii="Arial" w:cs="Arial" w:eastAsia="Arial" w:hAnsi="Arial"/>
          <w:sz w:val="19"/>
          <w:szCs w:val="19"/>
          <w:color w:val="auto"/>
        </w:rPr>
      </w:pPr>
    </w:p>
    <w:p>
      <w:pPr>
        <w:ind w:left="540" w:right="240" w:hanging="168"/>
        <w:spacing w:after="0" w:line="339"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material United States federal income tax or other income tax consequences, including, but not limited to:</w:t>
      </w:r>
    </w:p>
    <w:p>
      <w:pPr>
        <w:spacing w:after="0" w:line="105" w:lineRule="exact"/>
        <w:rPr>
          <w:rFonts w:ascii="Arial" w:cs="Arial" w:eastAsia="Arial" w:hAnsi="Arial"/>
          <w:sz w:val="19"/>
          <w:szCs w:val="19"/>
          <w:color w:val="auto"/>
        </w:rPr>
      </w:pPr>
    </w:p>
    <w:p>
      <w:pPr>
        <w:ind w:left="900" w:right="160" w:hanging="163"/>
        <w:spacing w:after="0" w:line="283" w:lineRule="auto"/>
        <w:tabs>
          <w:tab w:leader="none" w:pos="9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tax considerations applicable to any discounted debt securities or to debt securities issued at par that are treated as having been issued at a discount for United States federal income tax purposes; and</w:t>
      </w:r>
    </w:p>
    <w:p>
      <w:pPr>
        <w:spacing w:after="0" w:line="38" w:lineRule="exact"/>
        <w:rPr>
          <w:rFonts w:ascii="Arial" w:cs="Arial" w:eastAsia="Arial" w:hAnsi="Arial"/>
          <w:sz w:val="19"/>
          <w:szCs w:val="19"/>
          <w:color w:val="auto"/>
        </w:rPr>
      </w:pPr>
    </w:p>
    <w:p>
      <w:pPr>
        <w:ind w:left="900" w:hanging="163"/>
        <w:spacing w:after="0"/>
        <w:tabs>
          <w:tab w:leader="none" w:pos="9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tax considerations applicable to any debt securities denominated and payable in non-United States currencies;</w:t>
      </w:r>
    </w:p>
    <w:p>
      <w:pPr>
        <w:spacing w:after="0" w:line="105" w:lineRule="exact"/>
        <w:rPr>
          <w:rFonts w:ascii="Arial" w:cs="Arial" w:eastAsia="Arial" w:hAnsi="Arial"/>
          <w:sz w:val="19"/>
          <w:szCs w:val="19"/>
          <w:color w:val="auto"/>
        </w:rPr>
      </w:pPr>
    </w:p>
    <w:p>
      <w:pPr>
        <w:ind w:left="540" w:right="60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whether certain payments on the debt securities will be guaranteed under a financial insurance guarantee policy and the terms of that guarantee;</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whether the debt securities will be secured;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applicable selling restrictions; and</w:t>
      </w:r>
    </w:p>
    <w:p>
      <w:pPr>
        <w:spacing w:after="0" w:line="105" w:lineRule="exact"/>
        <w:rPr>
          <w:rFonts w:ascii="Arial" w:cs="Arial" w:eastAsia="Arial" w:hAnsi="Arial"/>
          <w:sz w:val="19"/>
          <w:szCs w:val="19"/>
          <w:color w:val="auto"/>
        </w:rPr>
      </w:pPr>
    </w:p>
    <w:p>
      <w:pPr>
        <w:ind w:left="540" w:right="48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65" w:lineRule="exact"/>
        <w:rPr>
          <w:sz w:val="20"/>
          <w:szCs w:val="20"/>
          <w:color w:val="auto"/>
        </w:rPr>
      </w:pPr>
    </w:p>
    <w:p>
      <w:pPr>
        <w:jc w:val="both"/>
        <w:ind w:right="520" w:firstLine="357"/>
        <w:spacing w:after="0" w:line="313" w:lineRule="auto"/>
        <w:rPr>
          <w:sz w:val="20"/>
          <w:szCs w:val="20"/>
          <w:color w:val="auto"/>
        </w:rPr>
      </w:pPr>
      <w:r>
        <w:rPr>
          <w:rFonts w:ascii="Arial" w:cs="Arial" w:eastAsia="Arial" w:hAnsi="Arial"/>
          <w:sz w:val="17"/>
          <w:szCs w:val="17"/>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and Transfer of Debt Securities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72" w:name="page73"/>
    <w:bookmarkEnd w:id="72"/>
    <w:p>
      <w:pPr>
        <w:ind w:right="800"/>
        <w:spacing w:after="0" w:line="283" w:lineRule="auto"/>
        <w:rPr>
          <w:sz w:val="20"/>
          <w:szCs w:val="20"/>
          <w:color w:val="auto"/>
        </w:rPr>
      </w:pPr>
      <w:r>
        <w:rPr>
          <w:rFonts w:ascii="Arial" w:cs="Arial" w:eastAsia="Arial" w:hAnsi="Arial"/>
          <w:sz w:val="19"/>
          <w:szCs w:val="19"/>
          <w:color w:val="auto"/>
        </w:rPr>
        <w:t>transferee. If any of the securities are held in global form, the procedures for transfer of interests in those securities will depend upon the procedures of the depositary for those global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7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41" w:lineRule="exact"/>
        <w:rPr>
          <w:sz w:val="20"/>
          <w:szCs w:val="20"/>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default is made for more than 30 days in the payment of interest, premium or principal in respect of the securities;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we fail to perform or observe any of our other obligations under the securities and this failure has continued for the period of 60 days next following the service on us of notice requiring the same to be remedied;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 order is made or an effective resolution is passed for the winding up or liquidation of us; or</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other event of default provided in the supplemental indenture or resolution of the board of directors, if any, under which that series of debt securities is issued.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Acceleration of Debt Securities Upon an Event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provides that, unless otherwise set forth in a supplemental indenture:</w:t>
      </w:r>
    </w:p>
    <w:p>
      <w:pPr>
        <w:spacing w:after="0" w:line="106" w:lineRule="exact"/>
        <w:rPr>
          <w:sz w:val="20"/>
          <w:szCs w:val="20"/>
          <w:color w:val="auto"/>
        </w:rPr>
      </w:pPr>
    </w:p>
    <w:p>
      <w:pPr>
        <w:ind w:left="540" w:right="20" w:hanging="168"/>
        <w:spacing w:after="0" w:line="275"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49" w:lineRule="exact"/>
        <w:rPr>
          <w:rFonts w:ascii="Arial" w:cs="Arial" w:eastAsia="Arial" w:hAnsi="Arial"/>
          <w:sz w:val="18"/>
          <w:szCs w:val="18"/>
          <w:color w:val="auto"/>
        </w:rPr>
      </w:pPr>
    </w:p>
    <w:p>
      <w:pPr>
        <w:ind w:left="540" w:hanging="168"/>
        <w:spacing w:after="0" w:line="283" w:lineRule="auto"/>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38" w:lineRule="exact"/>
        <w:rPr>
          <w:rFonts w:ascii="Arial" w:cs="Arial" w:eastAsia="Arial" w:hAnsi="Arial"/>
          <w:sz w:val="19"/>
          <w:szCs w:val="19"/>
          <w:color w:val="auto"/>
        </w:rPr>
      </w:pPr>
    </w:p>
    <w:p>
      <w:pPr>
        <w:ind w:left="540" w:right="180" w:hanging="168"/>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Annulment of Acceleration and Waiver of Defaults</w:t>
      </w:r>
    </w:p>
    <w:p>
      <w:pPr>
        <w:spacing w:after="0" w:line="125"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In some circumstances, if any and all events of default under the indenture, other than the non-payment of the principal of the securities that has become due as a result of an acceleration, have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3" w:name="page74"/>
    <w:bookmarkEnd w:id="73"/>
    <w:p>
      <w:pPr>
        <w:ind w:right="100"/>
        <w:spacing w:after="0" w:line="283" w:lineRule="auto"/>
        <w:rPr>
          <w:sz w:val="20"/>
          <w:szCs w:val="20"/>
          <w:color w:val="auto"/>
        </w:rPr>
      </w:pPr>
      <w:r>
        <w:rPr>
          <w:rFonts w:ascii="Arial" w:cs="Arial" w:eastAsia="Arial" w:hAnsi="Arial"/>
          <w:sz w:val="19"/>
          <w:szCs w:val="19"/>
          <w:color w:val="auto"/>
        </w:rPr>
        <w:t>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Trustee for Actions Taken on Your Behalf</w:t>
      </w:r>
    </w:p>
    <w:p>
      <w:pPr>
        <w:spacing w:after="0" w:line="125"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Actions by You as an Individual Holder</w:t>
      </w:r>
    </w:p>
    <w:p>
      <w:pPr>
        <w:spacing w:after="0" w:line="12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38" w:lineRule="exact"/>
        <w:rPr>
          <w:sz w:val="20"/>
          <w:szCs w:val="20"/>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holder must have previously given written notice to the trustee of the continuing default;</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outstanding debt securities of each affected series, treated as one class, must have:</w:t>
      </w:r>
    </w:p>
    <w:p>
      <w:pPr>
        <w:spacing w:after="0" w:line="38" w:lineRule="exact"/>
        <w:rPr>
          <w:rFonts w:ascii="Arial" w:cs="Arial" w:eastAsia="Arial" w:hAnsi="Arial"/>
          <w:sz w:val="19"/>
          <w:szCs w:val="19"/>
          <w:color w:val="auto"/>
        </w:rPr>
      </w:pPr>
    </w:p>
    <w:p>
      <w:pPr>
        <w:ind w:left="900" w:hanging="163"/>
        <w:spacing w:after="0"/>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requested the trustee to institute that action; and</w:t>
      </w:r>
    </w:p>
    <w:p>
      <w:pPr>
        <w:spacing w:after="0" w:line="105" w:lineRule="exact"/>
        <w:rPr>
          <w:rFonts w:ascii="Arial" w:cs="Arial" w:eastAsia="Arial" w:hAnsi="Arial"/>
          <w:sz w:val="19"/>
          <w:szCs w:val="19"/>
          <w:color w:val="auto"/>
        </w:rPr>
      </w:pPr>
    </w:p>
    <w:p>
      <w:pPr>
        <w:ind w:left="900" w:hanging="163"/>
        <w:spacing w:after="0"/>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offered the trustee indemnity satisfactory to it;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trustee must have failed to institute that action within 60 days after receipt of the request referred to above; and</w:t>
      </w:r>
    </w:p>
    <w:p>
      <w:pPr>
        <w:spacing w:after="0" w:line="105" w:lineRule="exact"/>
        <w:rPr>
          <w:rFonts w:ascii="Arial" w:cs="Arial" w:eastAsia="Arial" w:hAnsi="Arial"/>
          <w:sz w:val="19"/>
          <w:szCs w:val="19"/>
          <w:color w:val="auto"/>
        </w:rPr>
      </w:pPr>
    </w:p>
    <w:p>
      <w:pPr>
        <w:ind w:left="540" w:right="28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5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indenture contains a covenant that we will file annually with the trustee a certificate of no default or a certificate specifying any default that exists.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 Defeasance and Covenant Defeasance</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We have the ability to eliminate most or all of our obligations on any series of debt securities prior to maturity if we comply with the following provisions: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Discharge of Indenture. </w:t>
      </w:r>
      <w:r>
        <w:rPr>
          <w:rFonts w:ascii="Arial" w:cs="Arial" w:eastAsia="Arial" w:hAnsi="Arial"/>
          <w:sz w:val="17"/>
          <w:szCs w:val="17"/>
          <w:color w:val="auto"/>
        </w:rPr>
        <w:t>We may discharge all of our obligations, other than as to transfers and exchanges, under the indenture after we have:</w:t>
      </w:r>
    </w:p>
    <w:p>
      <w:pPr>
        <w:spacing w:after="0" w:line="129" w:lineRule="exact"/>
        <w:rPr>
          <w:sz w:val="20"/>
          <w:szCs w:val="20"/>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paid or caused to be paid the principal of and interest on all of the outstanding debt securities in accordance with their terms;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delivered to the trustee for cancellation all of the outstanding debt securities; or</w:t>
      </w:r>
    </w:p>
    <w:p>
      <w:pPr>
        <w:spacing w:after="0" w:line="105" w:lineRule="exact"/>
        <w:rPr>
          <w:rFonts w:ascii="Arial" w:cs="Arial" w:eastAsia="Arial" w:hAnsi="Arial"/>
          <w:sz w:val="19"/>
          <w:szCs w:val="19"/>
          <w:color w:val="auto"/>
        </w:rPr>
      </w:pPr>
    </w:p>
    <w:p>
      <w:pPr>
        <w:ind w:left="540" w:right="120" w:hanging="168"/>
        <w:spacing w:after="0" w:line="302"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4" w:name="page75"/>
    <w:bookmarkEnd w:id="74"/>
    <w:p>
      <w:pPr>
        <w:ind w:left="520" w:right="100"/>
        <w:spacing w:after="0" w:line="267" w:lineRule="auto"/>
        <w:rPr>
          <w:sz w:val="20"/>
          <w:szCs w:val="20"/>
          <w:color w:val="auto"/>
        </w:rPr>
      </w:pPr>
      <w:r>
        <w:rPr>
          <w:rFonts w:ascii="Arial" w:cs="Arial" w:eastAsia="Arial" w:hAnsi="Arial"/>
          <w:sz w:val="19"/>
          <w:szCs w:val="19"/>
          <w:color w:val="auto"/>
        </w:rPr>
        <w:t>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9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b w:val="1"/>
          <w:bCs w:val="1"/>
          <w:i w:val="1"/>
          <w:iCs w:val="1"/>
          <w:color w:val="auto"/>
        </w:rPr>
        <w:t xml:space="preserve">Defeasance of a Series of Securities at Any Time. </w:t>
      </w:r>
      <w:r>
        <w:rPr>
          <w:rFonts w:ascii="Arial" w:cs="Arial" w:eastAsia="Arial" w:hAnsi="Arial"/>
          <w:sz w:val="19"/>
          <w:szCs w:val="19"/>
          <w:color w:val="auto"/>
        </w:rPr>
        <w:t>We may also discharge all of our obligations, other than as to transfers and exchanges,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any 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Defeasance or covenant defeasance may be effected only if, among other things:</w:t>
      </w:r>
    </w:p>
    <w:p>
      <w:pPr>
        <w:spacing w:after="0" w:line="106" w:lineRule="exact"/>
        <w:rPr>
          <w:sz w:val="20"/>
          <w:szCs w:val="20"/>
          <w:color w:val="auto"/>
        </w:rPr>
      </w:pPr>
    </w:p>
    <w:p>
      <w:pPr>
        <w:ind w:left="540" w:hanging="168"/>
        <w:spacing w:after="0" w:line="289"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22" w:lineRule="exact"/>
        <w:rPr>
          <w:rFonts w:ascii="Arial" w:cs="Arial" w:eastAsia="Arial" w:hAnsi="Arial"/>
          <w:sz w:val="18"/>
          <w:szCs w:val="18"/>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we deliver to the trustee an opinion of counsel to the effect that:</w:t>
      </w:r>
    </w:p>
    <w:p>
      <w:pPr>
        <w:spacing w:after="0" w:line="105" w:lineRule="exact"/>
        <w:rPr>
          <w:rFonts w:ascii="Arial" w:cs="Arial" w:eastAsia="Arial" w:hAnsi="Arial"/>
          <w:sz w:val="19"/>
          <w:szCs w:val="19"/>
          <w:color w:val="auto"/>
        </w:rPr>
      </w:pPr>
    </w:p>
    <w:p>
      <w:pPr>
        <w:ind w:left="900" w:right="160" w:hanging="163"/>
        <w:spacing w:after="0" w:line="283" w:lineRule="auto"/>
        <w:tabs>
          <w:tab w:leader="none" w:pos="9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holders of the series of debt securities being defeased will not recognize income, gain or loss for United States federal income tax purposes as a result of the defeasance or covenant defeasance;</w:t>
      </w:r>
    </w:p>
    <w:p>
      <w:pPr>
        <w:spacing w:after="0" w:line="38" w:lineRule="exact"/>
        <w:rPr>
          <w:rFonts w:ascii="Arial" w:cs="Arial" w:eastAsia="Arial" w:hAnsi="Arial"/>
          <w:sz w:val="19"/>
          <w:szCs w:val="19"/>
          <w:color w:val="auto"/>
        </w:rPr>
      </w:pPr>
    </w:p>
    <w:p>
      <w:pPr>
        <w:ind w:left="900" w:right="220" w:hanging="163"/>
        <w:spacing w:after="0" w:line="283" w:lineRule="auto"/>
        <w:tabs>
          <w:tab w:leader="none" w:pos="9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defeasance or covenant defeasance will not otherwise alter those holders’ United States federal income tax treatment of principal and interest payments on the series of debt securities being defeased; and</w:t>
      </w:r>
    </w:p>
    <w:p>
      <w:pPr>
        <w:spacing w:after="0" w:line="38" w:lineRule="exact"/>
        <w:rPr>
          <w:rFonts w:ascii="Arial" w:cs="Arial" w:eastAsia="Arial" w:hAnsi="Arial"/>
          <w:sz w:val="19"/>
          <w:szCs w:val="19"/>
          <w:color w:val="auto"/>
        </w:rPr>
      </w:pPr>
    </w:p>
    <w:p>
      <w:pPr>
        <w:ind w:left="900" w:right="60" w:hanging="163"/>
        <w:spacing w:after="0" w:line="312"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the Indenture</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b w:val="1"/>
          <w:bCs w:val="1"/>
          <w:i w:val="1"/>
          <w:iCs w:val="1"/>
          <w:color w:val="auto"/>
        </w:rPr>
        <w:t xml:space="preserve">Modification without Consent of Holders. </w:t>
      </w:r>
      <w:r>
        <w:rPr>
          <w:rFonts w:ascii="Arial" w:cs="Arial" w:eastAsia="Arial" w:hAnsi="Arial"/>
          <w:sz w:val="19"/>
          <w:szCs w:val="19"/>
          <w:color w:val="auto"/>
        </w:rPr>
        <w:t>We and the trustee may enter into supplemental indentures without the consent of the holders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debt securities issued under the indenture to:</w:t>
      </w:r>
    </w:p>
    <w:p>
      <w:pPr>
        <w:spacing w:after="0" w:line="38" w:lineRule="exact"/>
        <w:rPr>
          <w:sz w:val="20"/>
          <w:szCs w:val="20"/>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secure any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evidence the assumption by a successor corporation of our obligations;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add covenants for the protection of the holders of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cure any ambiguity or correct any inconsistency;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establish the forms or terms of debt securities of any series;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evidence the acceptance of appointment by a successor trustee; or</w:t>
      </w:r>
    </w:p>
    <w:p>
      <w:pPr>
        <w:spacing w:after="0" w:line="105" w:lineRule="exact"/>
        <w:rPr>
          <w:rFonts w:ascii="Arial" w:cs="Arial" w:eastAsia="Arial" w:hAnsi="Arial"/>
          <w:sz w:val="19"/>
          <w:szCs w:val="19"/>
          <w:color w:val="auto"/>
        </w:rPr>
      </w:pPr>
    </w:p>
    <w:p>
      <w:pPr>
        <w:ind w:left="540" w:right="60" w:hanging="168"/>
        <w:spacing w:after="0" w:line="267"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68"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b w:val="1"/>
          <w:bCs w:val="1"/>
          <w:i w:val="1"/>
          <w:iCs w:val="1"/>
          <w:color w:val="auto"/>
        </w:rPr>
        <w:t xml:space="preserve">Modification with Consent of Holders. </w:t>
      </w:r>
      <w:r>
        <w:rPr>
          <w:rFonts w:ascii="Arial" w:cs="Arial" w:eastAsia="Arial" w:hAnsi="Arial"/>
          <w:sz w:val="17"/>
          <w:szCs w:val="17"/>
          <w:color w:val="auto"/>
        </w:rPr>
        <w:t>We and the trustee, with the consent of the holders of not less than a majority in aggregate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29" w:lineRule="exact"/>
        <w:rPr>
          <w:sz w:val="20"/>
          <w:szCs w:val="20"/>
          <w:color w:val="auto"/>
        </w:rPr>
      </w:pPr>
    </w:p>
    <w:p>
      <w:pPr>
        <w:ind w:left="540" w:hanging="168"/>
        <w:spacing w:after="0"/>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extend the final maturity of the security;</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reduce the principal amount;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40" w:right="259" w:bottom="1440" w:gutter="0" w:footer="0" w:header="0"/>
        </w:sectPr>
      </w:pPr>
    </w:p>
    <w:bookmarkStart w:id="75" w:name="page76"/>
    <w:bookmarkEnd w:id="75"/>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reduce the rate or extend the time of payment of interest;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reduce any amount payable on redemption;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change the currency in which the principal, including any amount of original issue discount, premium, or interest on the security is payable;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modify or amend the provisions for conversion of any currency into another currency;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reduce the amount of any original issue discount security payable upon acceleration or provable in bankruptcy;</w:t>
      </w:r>
    </w:p>
    <w:p>
      <w:pPr>
        <w:spacing w:after="0" w:line="105" w:lineRule="exact"/>
        <w:rPr>
          <w:rFonts w:ascii="Arial" w:cs="Arial" w:eastAsia="Arial" w:hAnsi="Arial"/>
          <w:sz w:val="19"/>
          <w:szCs w:val="19"/>
          <w:color w:val="auto"/>
        </w:rPr>
      </w:pPr>
    </w:p>
    <w:p>
      <w:pPr>
        <w:ind w:left="540" w:right="60" w:hanging="168"/>
        <w:spacing w:after="0" w:line="339"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alter the terms on which holders of the debt securities may convert or exchange debt securities for common shares or other securities, other than in accordance with the antidilution provisions or other similar adjustment provisions included in the terms of the debt securities;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any debt security when due;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reduce the percentage of debt securities the consent of whose holders is required for modification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Debt Security</w:t>
      </w:r>
    </w:p>
    <w:p>
      <w:pPr>
        <w:spacing w:after="0" w:line="125" w:lineRule="exact"/>
        <w:rPr>
          <w:sz w:val="20"/>
          <w:szCs w:val="20"/>
          <w:color w:val="auto"/>
        </w:rPr>
      </w:pPr>
    </w:p>
    <w:p>
      <w:pPr>
        <w:ind w:right="240" w:firstLine="357"/>
        <w:spacing w:after="0" w:line="339" w:lineRule="auto"/>
        <w:rPr>
          <w:sz w:val="20"/>
          <w:szCs w:val="20"/>
          <w:color w:val="auto"/>
        </w:rPr>
      </w:pPr>
      <w:r>
        <w:rPr>
          <w:rFonts w:ascii="Arial" w:cs="Arial" w:eastAsia="Arial" w:hAnsi="Arial"/>
          <w:sz w:val="17"/>
          <w:szCs w:val="17"/>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2" w:lineRule="exact"/>
        <w:rPr>
          <w:sz w:val="20"/>
          <w:szCs w:val="20"/>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registered form, where our obligation runs to the holder of the security named on the face of the security; or</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bearer form, where our obligation runs to the bearer of the security.</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4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Securities</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b w:val="1"/>
          <w:bCs w:val="1"/>
          <w:i w:val="1"/>
          <w:iCs w:val="1"/>
          <w:color w:val="auto"/>
        </w:rPr>
        <w:t xml:space="preserve">Registered Global Securities. </w:t>
      </w:r>
      <w:r>
        <w:rPr>
          <w:rFonts w:ascii="Arial" w:cs="Arial" w:eastAsia="Arial" w:hAnsi="Arial"/>
          <w:sz w:val="19"/>
          <w:szCs w:val="19"/>
          <w:color w:val="auto"/>
        </w:rPr>
        <w:t>We may issue the debt securities in the form of one or more fully registered global securities that will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77"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76" w:name="page77"/>
    <w:bookmarkEnd w:id="76"/>
    <w:p>
      <w:pPr>
        <w:ind w:right="20"/>
        <w:spacing w:after="0" w:line="256" w:lineRule="auto"/>
        <w:rPr>
          <w:sz w:val="20"/>
          <w:szCs w:val="20"/>
          <w:color w:val="auto"/>
        </w:rPr>
      </w:pPr>
      <w:r>
        <w:rPr>
          <w:rFonts w:ascii="Arial" w:cs="Arial" w:eastAsia="Arial" w:hAnsi="Arial"/>
          <w:sz w:val="19"/>
          <w:szCs w:val="19"/>
          <w:color w:val="auto"/>
        </w:rPr>
        <w:t>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77"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0"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7" w:name="page78"/>
    <w:bookmarkEnd w:id="77"/>
    <w:p>
      <w:pPr>
        <w:ind w:right="680"/>
        <w:spacing w:after="0" w:line="283" w:lineRule="auto"/>
        <w:rPr>
          <w:sz w:val="20"/>
          <w:szCs w:val="20"/>
          <w:color w:val="auto"/>
        </w:rPr>
      </w:pPr>
      <w:r>
        <w:rPr>
          <w:rFonts w:ascii="Arial" w:cs="Arial" w:eastAsia="Arial" w:hAnsi="Arial"/>
          <w:sz w:val="19"/>
          <w:szCs w:val="19"/>
          <w:color w:val="auto"/>
        </w:rPr>
        <w:t>the depositary from participants with respect to ownership of beneficial interests in the registered global security that had been held by the depositary.</w:t>
      </w:r>
    </w:p>
    <w:p>
      <w:pPr>
        <w:spacing w:after="0" w:line="52"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b w:val="1"/>
          <w:bCs w:val="1"/>
          <w:i w:val="1"/>
          <w:iCs w:val="1"/>
          <w:color w:val="auto"/>
        </w:rPr>
        <w:t xml:space="preserve">Bearer Global Securities. </w:t>
      </w:r>
      <w:r>
        <w:rPr>
          <w:rFonts w:ascii="Arial" w:cs="Arial" w:eastAsia="Arial" w:hAnsi="Arial"/>
          <w:sz w:val="19"/>
          <w:szCs w:val="19"/>
          <w:color w:val="auto"/>
        </w:rPr>
        <w:t>The securities may also be issued in the form of one or more bearer global securities that will be deposited with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common depositary for the Euroclear System and Clearstream Banking,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York Law to Govern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and the debt securities will be governed by the laws of the State of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WARRANTS</w:t>
      </w:r>
    </w:p>
    <w:p>
      <w:pPr>
        <w:spacing w:after="0" w:line="125"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title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aggregate number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price or prices at which such warrants will be issued;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currency or currencies, in which the price of such warrants will be payable;</w:t>
      </w:r>
    </w:p>
    <w:p>
      <w:pPr>
        <w:spacing w:after="0" w:line="105" w:lineRule="exact"/>
        <w:rPr>
          <w:rFonts w:ascii="Arial" w:cs="Arial" w:eastAsia="Arial" w:hAnsi="Arial"/>
          <w:sz w:val="19"/>
          <w:szCs w:val="19"/>
          <w:color w:val="auto"/>
        </w:rPr>
      </w:pPr>
    </w:p>
    <w:p>
      <w:pPr>
        <w:ind w:left="540" w:right="180" w:hanging="168"/>
        <w:spacing w:after="0" w:line="339"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 w:lineRule="exact"/>
        <w:rPr>
          <w:rFonts w:ascii="Arial" w:cs="Arial" w:eastAsia="Arial" w:hAnsi="Arial"/>
          <w:sz w:val="17"/>
          <w:szCs w:val="17"/>
          <w:color w:val="auto"/>
        </w:rPr>
      </w:pPr>
    </w:p>
    <w:p>
      <w:pPr>
        <w:ind w:left="540" w:right="8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price at which and the currency or currencies, in which the securities or other rights purchasable upon exercise of such warrants may be purchased;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date on which the right to exercise such warrants shall commence and the date on which such right shall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amount of warrants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applicable, the minimum or maximum amount of such warrants which may be exercised at any one time;</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applicable, the designation and terms of the securities with which such warrants are issued and the number of such warrants issued with each such security;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applicable, the date on and after which such warrants and the related securities will be separately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information with respect to book-entry procedures,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applicable, a discussion of any material United States federal income tax considerations;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31"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8" w:name="page79"/>
    <w:bookmarkEnd w:id="78"/>
    <w:p>
      <w:pPr>
        <w:ind w:right="380"/>
        <w:spacing w:after="0" w:line="267" w:lineRule="auto"/>
        <w:rPr>
          <w:sz w:val="20"/>
          <w:szCs w:val="20"/>
          <w:color w:val="auto"/>
        </w:rPr>
      </w:pPr>
      <w:r>
        <w:rPr>
          <w:rFonts w:ascii="Arial" w:cs="Arial" w:eastAsia="Arial" w:hAnsi="Arial"/>
          <w:sz w:val="19"/>
          <w:szCs w:val="19"/>
          <w:color w:val="auto"/>
        </w:rPr>
        <w:t>information on how you can obtain copies of any warrant certificate or warrant agreement if we offer warrants, see “Where You Can Find Additional Information” beginning on page 4 of this prospectus. We urge you to read the applicable warrant certificate, the applicable warrant agreement and any applicable prospectus supplement in their entirety.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RIGHTS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72"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applicable prospectus supplement relating to any rights will describe the terms of the offered rights, including, where applicable, the following:</w:t>
      </w:r>
    </w:p>
    <w:p>
      <w:pPr>
        <w:spacing w:after="0" w:line="25" w:lineRule="exact"/>
        <w:rPr>
          <w:sz w:val="20"/>
          <w:szCs w:val="20"/>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exercise price for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number of rights issued to each shareholder;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extent to which the rights are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other terms of the rights, including terms, procedures and limitations relating to the exchange and exercise of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date on which the right to exercise the rights will commence and the date on which the right will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amount of rights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extent to which the rights include an over-subscription privilege with respect to unsubscribed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material terms of any standby underwriting arrangement entered into by us in connection with the rights offering.</w:t>
      </w:r>
    </w:p>
    <w:p>
      <w:pPr>
        <w:spacing w:after="0" w:line="11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4 of this prospectus. We urge you to read the applicable rights certificate, the applicable rights agreement and any applicable prospectus supplement in their entirety.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THE UNITS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may issue units consisting of any combination of common shares, preference shares, debt securities, warrants and rights.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72"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The applicable prospectus supplement relating to any series of units will describe the terms of the units, including, where applicable, the following:</w:t>
      </w:r>
    </w:p>
    <w:p>
      <w:pPr>
        <w:spacing w:after="0" w:line="38" w:lineRule="exact"/>
        <w:rPr>
          <w:sz w:val="20"/>
          <w:szCs w:val="20"/>
          <w:color w:val="auto"/>
        </w:rPr>
      </w:pPr>
    </w:p>
    <w:p>
      <w:pPr>
        <w:ind w:left="540" w:right="360" w:hanging="168"/>
        <w:spacing w:after="0" w:line="283" w:lineRule="auto"/>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designation and terms of the units and of the securities comprising the units, including whether and under what circumstances those securities may be held or transferred separately;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provisions of the governing unit agreement;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provisions for the issuance, payment, settlement, transfer, or exchange of the units or of the securities comprising the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9" w:name="page80"/>
    <w:bookmarkEnd w:id="79"/>
    <w:p>
      <w:pPr>
        <w:ind w:right="18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units we offer will not necessarily be complete and will be qualified in its entirety by reference to the applicable unit certificate or unit agreement, which will be filed with the SEC if we offer units. For more information on how you can obtain copies of any unit certificate or unit agreement if we offer units, see “Where You Can Find Additional Information” beginning on page 4 of this prospectus. We urge you to read the applicable unit certificate, the applicable unit agreement and any applicable prospectus supplement in their entirety.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the material U.S. federal income tax considerations that may be relevant to prospective investors in our securities. The applicable prospectus supplement may also contain information about any material U.S. federal income tax considerations relating to the securities covered by such prospectus supplement.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Bermuda tax consequences that may be relevant to prospective investors in our securities. The applicable prospectus supplement may also contain information about any non-U.S. tax considerations relating to the securities covered by such prospectus supplement.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PLAN OF DISTRIBUTION</w:t>
      </w:r>
    </w:p>
    <w:p>
      <w:pPr>
        <w:spacing w:after="0" w:line="125" w:lineRule="exact"/>
        <w:rPr>
          <w:sz w:val="20"/>
          <w:szCs w:val="20"/>
          <w:color w:val="auto"/>
        </w:rPr>
      </w:pPr>
    </w:p>
    <w:p>
      <w:pPr>
        <w:ind w:right="260" w:firstLine="357"/>
        <w:spacing w:after="0" w:line="28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49"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54" w:lineRule="exact"/>
        <w:rPr>
          <w:sz w:val="20"/>
          <w:szCs w:val="20"/>
          <w:color w:val="auto"/>
        </w:rPr>
      </w:pPr>
    </w:p>
    <w:p>
      <w:pPr>
        <w:ind w:left="540" w:right="220" w:hanging="168"/>
        <w:spacing w:after="0" w:line="283"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on the NYSE or any other national securities exchange or U.S. inter-dealer system of a registered national securities association on which our common shares may be listed or quoted at the time of sale;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the over-the-counter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privately negotiated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an exchange distribution in accordance with the rules of the applicable exchange;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as settlement of short sales entered into after the date of the prospectus;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through broker-dealers, who may act as agents or principals;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through sales “at the market” to or through a market-maker;</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a block trade, in which a broker-dealer will attempt to sell a block as agent but may position and resell a portion of the block as principal to facilitate the transaction;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through one or more underwriters on a firm commitment or best-efforts basis;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directly to one or more purchasers;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through agents;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options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over the Internet;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0" w:name="page81"/>
    <w:bookmarkEnd w:id="80"/>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any combination of the above.</w:t>
      </w:r>
    </w:p>
    <w:p>
      <w:pPr>
        <w:spacing w:after="0" w:line="119"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In effecting sales, brokers or dealers engaged by us may arrange for other brokers or dealers to participate. Broker-dealer transactions may include:</w:t>
      </w:r>
    </w:p>
    <w:p>
      <w:pPr>
        <w:spacing w:after="0" w:line="38" w:lineRule="exact"/>
        <w:rPr>
          <w:sz w:val="20"/>
          <w:szCs w:val="20"/>
          <w:color w:val="auto"/>
        </w:rPr>
      </w:pPr>
    </w:p>
    <w:p>
      <w:pPr>
        <w:ind w:left="540" w:right="240" w:hanging="168"/>
        <w:spacing w:after="0" w:line="283" w:lineRule="auto"/>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purchases of the securities by a broker-dealer as principal and resales of the securities by the broker-dealer for its account pursuant to this prospectus;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ordinary brokerage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transactions in which the broker-dealer solicits purchasers.</w:t>
      </w:r>
    </w:p>
    <w:p>
      <w:pPr>
        <w:spacing w:after="0" w:line="119"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In addition, we may sell any securities covered by this prospectus in private transactions or under Rule 144 of the Securities Act of 1933, as amended, rather than pursuant to this prospectus.</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45"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77" w:lineRule="exact"/>
        <w:rPr>
          <w:sz w:val="20"/>
          <w:szCs w:val="20"/>
          <w:color w:val="auto"/>
        </w:rPr>
      </w:pPr>
    </w:p>
    <w:p>
      <w:pPr>
        <w:ind w:right="100" w:firstLine="357"/>
        <w:spacing w:after="0" w:line="271"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81" w:name="page82"/>
    <w:bookmarkEnd w:id="81"/>
    <w:p>
      <w:pPr>
        <w:ind w:right="140"/>
        <w:spacing w:after="0" w:line="283" w:lineRule="auto"/>
        <w:rPr>
          <w:sz w:val="20"/>
          <w:szCs w:val="20"/>
          <w:color w:val="auto"/>
        </w:rPr>
      </w:pPr>
      <w:r>
        <w:rPr>
          <w:rFonts w:ascii="Arial" w:cs="Arial" w:eastAsia="Arial" w:hAnsi="Arial"/>
          <w:sz w:val="19"/>
          <w:szCs w:val="19"/>
          <w:color w:val="auto"/>
        </w:rPr>
        <w:t>registered or qualified for sale in the applicable state or an exemption from registration or qualification requirements is available and is complied with.</w:t>
      </w:r>
    </w:p>
    <w:p>
      <w:pPr>
        <w:spacing w:after="0" w:line="52"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7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72" w:lineRule="exact"/>
        <w:rPr>
          <w:sz w:val="20"/>
          <w:szCs w:val="20"/>
          <w:color w:val="auto"/>
        </w:rPr>
      </w:pPr>
    </w:p>
    <w:p>
      <w:pPr>
        <w:ind w:right="300" w:firstLine="357"/>
        <w:spacing w:after="0" w:line="259" w:lineRule="auto"/>
        <w:rPr>
          <w:sz w:val="20"/>
          <w:szCs w:val="20"/>
          <w:color w:val="auto"/>
        </w:rPr>
      </w:pPr>
      <w:r>
        <w:rPr>
          <w:rFonts w:ascii="Arial" w:cs="Arial" w:eastAsia="Arial" w:hAnsi="Arial"/>
          <w:sz w:val="19"/>
          <w:szCs w:val="19"/>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77" w:lineRule="exact"/>
        <w:rPr>
          <w:sz w:val="20"/>
          <w:szCs w:val="20"/>
          <w:color w:val="auto"/>
        </w:rPr>
      </w:pPr>
    </w:p>
    <w:p>
      <w:pPr>
        <w:jc w:val="center"/>
        <w:ind w:right="200"/>
        <w:spacing w:after="0" w:line="401" w:lineRule="auto"/>
        <w:rPr>
          <w:sz w:val="20"/>
          <w:szCs w:val="20"/>
          <w:color w:val="auto"/>
        </w:rPr>
      </w:pPr>
      <w:r>
        <w:rPr>
          <w:rFonts w:ascii="Arial" w:cs="Arial" w:eastAsia="Arial" w:hAnsi="Arial"/>
          <w:sz w:val="19"/>
          <w:szCs w:val="19"/>
          <w:color w:val="auto"/>
        </w:rPr>
        <w:t>We will bear all costs relating to all of the securities being registered under the registration statement of which this prospectus is a part.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9"/>
          <w:szCs w:val="19"/>
          <w:b w:val="1"/>
          <w:bCs w:val="1"/>
          <w:color w:val="auto"/>
        </w:rPr>
        <w:t>EXPENSES</w:t>
      </w:r>
    </w:p>
    <w:p>
      <w:pPr>
        <w:spacing w:after="0" w:line="125"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The following are the expenses estimated to be incurred by us in connection with a possible offering of the securities registered under this registration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24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50,666.90</w:t>
            </w:r>
          </w:p>
        </w:tc>
      </w:tr>
      <w:tr>
        <w:trPr>
          <w:trHeight w:val="243"/>
        </w:trPr>
        <w:tc>
          <w:tcPr>
            <w:tcW w:w="9000" w:type="dxa"/>
            <w:vAlign w:val="bottom"/>
            <w:gridSpan w:val="3"/>
          </w:tcPr>
          <w:p>
            <w:pPr>
              <w:ind w:left="1200"/>
              <w:spacing w:after="0"/>
              <w:rPr>
                <w:sz w:val="20"/>
                <w:szCs w:val="20"/>
                <w:color w:val="auto"/>
              </w:rPr>
            </w:pPr>
            <w:r>
              <w:rPr>
                <w:rFonts w:ascii="Arial" w:cs="Arial" w:eastAsia="Arial" w:hAnsi="Arial"/>
                <w:sz w:val="19"/>
                <w:szCs w:val="19"/>
                <w:color w:val="auto"/>
              </w:rPr>
              <w:t>Printing</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9000" w:type="dxa"/>
            <w:vAlign w:val="bottom"/>
            <w:gridSpan w:val="3"/>
          </w:tcPr>
          <w:p>
            <w:pPr>
              <w:ind w:left="1200"/>
              <w:spacing w:after="0"/>
              <w:rPr>
                <w:sz w:val="20"/>
                <w:szCs w:val="20"/>
                <w:color w:val="auto"/>
              </w:rPr>
            </w:pPr>
            <w:r>
              <w:rPr>
                <w:rFonts w:ascii="Arial" w:cs="Arial" w:eastAsia="Arial" w:hAnsi="Arial"/>
                <w:sz w:val="19"/>
                <w:szCs w:val="19"/>
                <w:color w:val="auto"/>
              </w:rPr>
              <w:t>Accountants’ Fees and Expenses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NYSE Fees</w:t>
            </w: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9000" w:type="dxa"/>
            <w:vAlign w:val="bottom"/>
            <w:gridSpan w:val="3"/>
          </w:tcPr>
          <w:p>
            <w:pPr>
              <w:ind w:left="1200"/>
              <w:spacing w:after="0"/>
              <w:rPr>
                <w:sz w:val="20"/>
                <w:szCs w:val="20"/>
                <w:color w:val="auto"/>
              </w:rPr>
            </w:pPr>
            <w:r>
              <w:rPr>
                <w:rFonts w:ascii="Arial" w:cs="Arial" w:eastAsia="Arial" w:hAnsi="Arial"/>
                <w:sz w:val="19"/>
                <w:szCs w:val="19"/>
                <w:color w:val="auto"/>
              </w:rPr>
              <w:t>Miscellaneous Costs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w:t>
            </w:r>
          </w:p>
        </w:tc>
        <w:tc>
          <w:tcPr>
            <w:tcW w:w="24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w w:val="94"/>
              </w:rPr>
              <w:t>$</w:t>
            </w: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3"/>
        </w:trPr>
        <w:tc>
          <w:tcPr>
            <w:tcW w:w="1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To be provided by a prospectus supplement or as an exhibit to a Report on Form 6-K that is incorporated by reference into this prospectus.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The validity of the securities that may be offered by this prospectus and certain other matters relating to Bermuda law will be passed upon for us by Conyers Dill &amp; Pearman Limited, Bermuda. Certain other legal matters relating to United States law will be passed upon for us by Cravath, Swaine &amp; Moore LLP, New York, New York.</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consolidated financial statements of GasLog Ltd. for the year ended December 31, 2013, incorporated in this prospectus by reference from the Company’s Annual Report on Form 20-F for the year ended December 31, 2015, have been audited by Deloitte Hadjipavlou, Sofianos &amp; Cambanis S.A.,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77"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offices of Deloitte Hadjipavlou, Sofianos &amp; Cambanis S.A. are located at Fragoklissias 3a &amp; Granikou Street, Maroussi, Athens 151 25, Greece.</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consolidated financial statements of GasLog Ltd. as of December 31, 2015 and December 31, 2014, and for each of the years in the two year period ended December 31, 2015, incorporated in this prospectus by reference from the Company’s Annual Report on Form 20-F for the year ended December 31, 2015 and the effectiveness of GasLog Ltd’s internal control over financial reporting as of December 31, 2015, have been audited by Deloitte LLP, an independent registered public accounting firm, as stated in their reports, which are incorporated herein by reference. Such consolidated financial statements have been so incorporated in reliance upon the report of such firm, given upon their authority as experts in accounting and auditing.</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83" w:name="page84"/>
    <w:bookmarkEnd w:id="83"/>
    <w:p>
      <w:pPr>
        <w:jc w:val="cente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$250,000,000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8.875% Senior Notes due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55"/>
          <w:szCs w:val="55"/>
          <w:b w:val="1"/>
          <w:bCs w:val="1"/>
          <w:color w:val="auto"/>
        </w:rPr>
        <w:t>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1417320</wp:posOffset>
            </wp:positionV>
            <wp:extent cx="1878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516890</wp:posOffset>
            </wp:positionV>
            <wp:extent cx="1655445" cy="763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554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PROSPECTUS SUPPLEMENT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March 17,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40" w:type="dxa"/>
            <w:vAlign w:val="bottom"/>
            <w:vMerge w:val="restart"/>
          </w:tcPr>
          <w:p>
            <w:pPr>
              <w:spacing w:after="0"/>
              <w:rPr>
                <w:sz w:val="20"/>
                <w:szCs w:val="20"/>
                <w:color w:val="auto"/>
              </w:rPr>
            </w:pPr>
            <w:r>
              <w:rPr>
                <w:rFonts w:ascii="Arial" w:cs="Arial" w:eastAsia="Arial" w:hAnsi="Arial"/>
                <w:sz w:val="34"/>
                <w:szCs w:val="34"/>
                <w:b w:val="1"/>
                <w:bCs w:val="1"/>
                <w:color w:val="auto"/>
              </w:rPr>
              <w:t>Stifel</w:t>
            </w:r>
          </w:p>
        </w:tc>
        <w:tc>
          <w:tcPr>
            <w:tcW w:w="4960" w:type="dxa"/>
            <w:vAlign w:val="bottom"/>
          </w:tcPr>
          <w:p>
            <w:pPr>
              <w:jc w:val="center"/>
              <w:ind w:left="97"/>
              <w:spacing w:after="0"/>
              <w:rPr>
                <w:sz w:val="20"/>
                <w:szCs w:val="20"/>
                <w:color w:val="auto"/>
              </w:rPr>
            </w:pPr>
            <w:r>
              <w:rPr>
                <w:rFonts w:ascii="Arial" w:cs="Arial" w:eastAsia="Arial" w:hAnsi="Arial"/>
                <w:sz w:val="19"/>
                <w:szCs w:val="19"/>
                <w:i w:val="1"/>
                <w:iCs w:val="1"/>
                <w:color w:val="auto"/>
                <w:w w:val="94"/>
              </w:rPr>
              <w:t>Joint Bookrunners</w:t>
            </w:r>
          </w:p>
        </w:tc>
        <w:tc>
          <w:tcPr>
            <w:tcW w:w="3320" w:type="dxa"/>
            <w:vAlign w:val="bottom"/>
            <w:vMerge w:val="restart"/>
          </w:tcPr>
          <w:p>
            <w:pPr>
              <w:jc w:val="right"/>
              <w:spacing w:after="0"/>
              <w:rPr>
                <w:sz w:val="20"/>
                <w:szCs w:val="20"/>
                <w:color w:val="auto"/>
              </w:rPr>
            </w:pPr>
            <w:r>
              <w:rPr>
                <w:rFonts w:ascii="Arial" w:cs="Arial" w:eastAsia="Arial" w:hAnsi="Arial"/>
                <w:sz w:val="34"/>
                <w:szCs w:val="34"/>
                <w:b w:val="1"/>
                <w:bCs w:val="1"/>
                <w:color w:val="auto"/>
              </w:rPr>
              <w:t>DNB Markets</w:t>
            </w:r>
          </w:p>
        </w:tc>
        <w:tc>
          <w:tcPr>
            <w:tcW w:w="0" w:type="dxa"/>
            <w:vAlign w:val="bottom"/>
          </w:tcPr>
          <w:p>
            <w:pPr>
              <w:spacing w:after="0"/>
              <w:rPr>
                <w:sz w:val="1"/>
                <w:szCs w:val="1"/>
                <w:color w:val="auto"/>
              </w:rPr>
            </w:pPr>
          </w:p>
        </w:tc>
      </w:tr>
      <w:tr>
        <w:trPr>
          <w:trHeight w:val="420"/>
        </w:trPr>
        <w:tc>
          <w:tcPr>
            <w:tcW w:w="3140" w:type="dxa"/>
            <w:vAlign w:val="bottom"/>
            <w:vMerge w:val="continue"/>
          </w:tcPr>
          <w:p>
            <w:pPr>
              <w:spacing w:after="0"/>
              <w:rPr>
                <w:sz w:val="24"/>
                <w:szCs w:val="24"/>
                <w:color w:val="auto"/>
              </w:rPr>
            </w:pPr>
          </w:p>
        </w:tc>
        <w:tc>
          <w:tcPr>
            <w:tcW w:w="49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140" w:type="dxa"/>
            <w:vAlign w:val="bottom"/>
          </w:tcPr>
          <w:p>
            <w:pPr>
              <w:spacing w:after="0"/>
              <w:rPr>
                <w:sz w:val="24"/>
                <w:szCs w:val="24"/>
                <w:color w:val="auto"/>
              </w:rPr>
            </w:pPr>
          </w:p>
        </w:tc>
        <w:tc>
          <w:tcPr>
            <w:tcW w:w="4960" w:type="dxa"/>
            <w:vAlign w:val="bottom"/>
          </w:tcPr>
          <w:p>
            <w:pPr>
              <w:jc w:val="center"/>
              <w:ind w:left="97"/>
              <w:spacing w:after="0"/>
              <w:rPr>
                <w:sz w:val="20"/>
                <w:szCs w:val="20"/>
                <w:color w:val="auto"/>
              </w:rPr>
            </w:pPr>
            <w:r>
              <w:rPr>
                <w:rFonts w:ascii="Arial" w:cs="Arial" w:eastAsia="Arial" w:hAnsi="Arial"/>
                <w:sz w:val="19"/>
                <w:szCs w:val="19"/>
                <w:i w:val="1"/>
                <w:iCs w:val="1"/>
                <w:color w:val="auto"/>
                <w:w w:val="93"/>
              </w:rPr>
              <w:t>Co-Managers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40" w:type="dxa"/>
            <w:vAlign w:val="bottom"/>
          </w:tcPr>
          <w:p>
            <w:pPr>
              <w:spacing w:after="0"/>
              <w:rPr>
                <w:sz w:val="20"/>
                <w:szCs w:val="20"/>
                <w:color w:val="auto"/>
              </w:rPr>
            </w:pPr>
            <w:r>
              <w:rPr>
                <w:rFonts w:ascii="Arial" w:cs="Arial" w:eastAsia="Arial" w:hAnsi="Arial"/>
                <w:sz w:val="23"/>
                <w:szCs w:val="23"/>
                <w:b w:val="1"/>
                <w:bCs w:val="1"/>
                <w:color w:val="auto"/>
              </w:rPr>
              <w:t>Arctic Securities</w:t>
            </w:r>
          </w:p>
        </w:tc>
        <w:tc>
          <w:tcPr>
            <w:tcW w:w="4960" w:type="dxa"/>
            <w:vAlign w:val="bottom"/>
          </w:tcPr>
          <w:p>
            <w:pPr>
              <w:jc w:val="center"/>
              <w:ind w:left="97"/>
              <w:spacing w:after="0"/>
              <w:rPr>
                <w:sz w:val="20"/>
                <w:szCs w:val="20"/>
                <w:color w:val="auto"/>
              </w:rPr>
            </w:pPr>
            <w:r>
              <w:rPr>
                <w:rFonts w:ascii="Arial" w:cs="Arial" w:eastAsia="Arial" w:hAnsi="Arial"/>
                <w:sz w:val="23"/>
                <w:szCs w:val="23"/>
                <w:b w:val="1"/>
                <w:bCs w:val="1"/>
                <w:color w:val="auto"/>
                <w:w w:val="96"/>
              </w:rPr>
              <w:t>DVB Capital Markets</w:t>
            </w:r>
          </w:p>
        </w:tc>
        <w:tc>
          <w:tcPr>
            <w:tcW w:w="3320" w:type="dxa"/>
            <w:vAlign w:val="bottom"/>
          </w:tcPr>
          <w:p>
            <w:pPr>
              <w:jc w:val="right"/>
              <w:spacing w:after="0"/>
              <w:rPr>
                <w:sz w:val="20"/>
                <w:szCs w:val="20"/>
                <w:color w:val="auto"/>
              </w:rPr>
            </w:pPr>
            <w:r>
              <w:rPr>
                <w:rFonts w:ascii="Arial" w:cs="Arial" w:eastAsia="Arial" w:hAnsi="Arial"/>
                <w:sz w:val="23"/>
                <w:szCs w:val="23"/>
                <w:b w:val="1"/>
                <w:bCs w:val="1"/>
                <w:color w:val="auto"/>
              </w:rPr>
              <w:t>Pareto Securities</w:t>
            </w:r>
          </w:p>
        </w:tc>
        <w:tc>
          <w:tcPr>
            <w:tcW w:w="0" w:type="dxa"/>
            <w:vAlign w:val="bottom"/>
          </w:tcPr>
          <w:p>
            <w:pPr>
              <w:spacing w:after="0"/>
              <w:rPr>
                <w:sz w:val="1"/>
                <w:szCs w:val="1"/>
                <w:color w:val="auto"/>
              </w:rPr>
            </w:pPr>
          </w:p>
        </w:tc>
      </w:tr>
      <w:tr>
        <w:trPr>
          <w:trHeight w:val="108"/>
        </w:trPr>
        <w:tc>
          <w:tcPr>
            <w:tcW w:w="314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140" w:type="dxa"/>
            <w:vAlign w:val="bottom"/>
            <w:tcBorders>
              <w:bottom w:val="single" w:sz="8" w:color="auto"/>
            </w:tcBorders>
          </w:tcPr>
          <w:p>
            <w:pPr>
              <w:spacing w:after="0"/>
              <w:rPr>
                <w:sz w:val="5"/>
                <w:szCs w:val="5"/>
                <w:color w:val="auto"/>
              </w:rPr>
            </w:pPr>
          </w:p>
        </w:tc>
        <w:tc>
          <w:tcPr>
            <w:tcW w:w="49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14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9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decimal"/>
      <w:start w:val="3"/>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5">
    <w:nsid w:val="4B588F54"/>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lowerLetter"/>
      <w:start w:val="1"/>
    </w:lvl>
  </w:abstractNum>
  <w:abstractNum w:abstractNumId="20">
    <w:nsid w:val="32FFF902"/>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1">
    <w:nsid w:val="684A481A"/>
    <w:multiLevelType w:val="hybridMultilevel"/>
    <w:lvl w:ilvl="0">
      <w:lvlJc w:val="left"/>
      <w:lvlText w:val="(%1)"/>
      <w:numFmt w:val="decimal"/>
      <w:start w:val="7"/>
    </w:lvl>
  </w:abstractNum>
  <w:abstractNum w:abstractNumId="22">
    <w:nsid w:val="579478FE"/>
    <w:multiLevelType w:val="hybridMultilevel"/>
    <w:lvl w:ilvl="0">
      <w:lvlJc w:val="left"/>
      <w:lvlText w:val="(%1)"/>
      <w:numFmt w:val="lowerRoman"/>
      <w:start w:val="8"/>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3"/>
    </w:lvl>
    <w:lvl w:ilvl="1">
      <w:lvlJc w:val="left"/>
      <w:lvlText w:val="(%2)"/>
      <w:numFmt w:val="lowerLetter"/>
      <w:start w:val="1"/>
    </w:lvl>
  </w:abstractNum>
  <w:abstractNum w:abstractNumId="38">
    <w:nsid w:val="180115BE"/>
    <w:multiLevelType w:val="hybridMultilevel"/>
    <w:lvl w:ilvl="0">
      <w:lvlJc w:val="left"/>
      <w:lvlText w:val="(%1)"/>
      <w:numFmt w:val="decimal"/>
      <w:start w:val="5"/>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lowerRoman"/>
      <w:start w:val="1"/>
    </w:lvl>
  </w:abstractNum>
  <w:abstractNum w:abstractNumId="46">
    <w:nsid w:val="3F6AB60F"/>
    <w:multiLevelType w:val="hybridMultilevel"/>
    <w:lvl w:ilvl="0">
      <w:lvlJc w:val="left"/>
      <w:lvlText w:val="(%1)"/>
      <w:numFmt w:val="lowerRoman"/>
      <w:start w:val="1"/>
    </w:lvl>
    <w:lvl w:ilvl="1">
      <w:lvlJc w:val="left"/>
      <w:lvlText w:val="(%2)"/>
      <w:numFmt w:val="lowerLetter"/>
      <w:start w:val="1"/>
    </w:lvl>
  </w:abstractNum>
  <w:abstractNum w:abstractNumId="47">
    <w:nsid w:val="61574095"/>
    <w:multiLevelType w:val="hybridMultilevel"/>
    <w:lvl w:ilvl="0">
      <w:lvlJc w:val="left"/>
      <w:lvlText w:val="(%1)"/>
      <w:numFmt w:val="lowerRoman"/>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1)"/>
      <w:numFmt w:val="decimal"/>
      <w:start w:val="1"/>
    </w:lvl>
    <w:lvl w:ilvl="1">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lvl w:ilvl="1">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lvl w:ilvl="1">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lvl w:ilvl="1">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2019-12-07T16:50:26Z</dcterms:created>
  <dcterms:modified xsi:type="dcterms:W3CDTF">2019-12-07T16:50:26Z</dcterms:modified>
</cp:coreProperties>
</file>