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For the month of June 2017</w:t>
            </w:r>
          </w:p>
        </w:tc>
        <w:tc>
          <w:tcPr>
            <w:tcW w:w="1520" w:type="dxa"/>
            <w:vAlign w:val="bottom"/>
          </w:tcPr>
          <w:p>
            <w:pPr>
              <w:spacing w:after="0"/>
              <w:rPr>
                <w:sz w:val="20"/>
                <w:szCs w:val="20"/>
                <w:color w:val="auto"/>
              </w:rPr>
            </w:pPr>
          </w:p>
        </w:tc>
      </w:tr>
      <w:tr>
        <w:trPr>
          <w:trHeight w:val="432"/>
        </w:trPr>
        <w:tc>
          <w:tcPr>
            <w:tcW w:w="990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520" w:type="dxa"/>
            <w:vAlign w:val="bottom"/>
          </w:tcPr>
          <w:p>
            <w:pPr>
              <w:spacing w:after="0"/>
              <w:rPr>
                <w:sz w:val="24"/>
                <w:szCs w:val="24"/>
                <w:color w:val="auto"/>
              </w:rPr>
            </w:pPr>
          </w:p>
        </w:tc>
      </w:tr>
      <w:tr>
        <w:trPr>
          <w:trHeight w:val="418"/>
        </w:trPr>
        <w:tc>
          <w:tcPr>
            <w:tcW w:w="9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GasLog Ltd</w:t>
            </w:r>
          </w:p>
        </w:tc>
        <w:tc>
          <w:tcPr>
            <w:tcW w:w="1520" w:type="dxa"/>
            <w:vAlign w:val="bottom"/>
          </w:tcPr>
          <w:p>
            <w:pPr>
              <w:spacing w:after="0"/>
              <w:rPr>
                <w:sz w:val="24"/>
                <w:szCs w:val="24"/>
                <w:color w:val="auto"/>
              </w:rPr>
            </w:pPr>
          </w:p>
        </w:tc>
      </w:tr>
      <w:tr>
        <w:trPr>
          <w:trHeight w:val="230"/>
        </w:trPr>
        <w:tc>
          <w:tcPr>
            <w:tcW w:w="9900" w:type="dxa"/>
            <w:vAlign w:val="bottom"/>
          </w:tcPr>
          <w:p>
            <w:pPr>
              <w:jc w:val="center"/>
              <w:ind w:left="1450"/>
              <w:spacing w:after="0"/>
              <w:rPr>
                <w:sz w:val="20"/>
                <w:szCs w:val="20"/>
                <w:color w:val="auto"/>
              </w:rPr>
            </w:pPr>
            <w:r>
              <w:rPr>
                <w:rFonts w:ascii="Arial" w:cs="Arial" w:eastAsia="Arial" w:hAnsi="Arial"/>
                <w:sz w:val="18"/>
                <w:szCs w:val="18"/>
                <w:color w:val="auto"/>
                <w:w w:val="91"/>
              </w:rPr>
              <w:t>(Translation of registrant’s name into English)</w:t>
            </w:r>
          </w:p>
        </w:tc>
        <w:tc>
          <w:tcPr>
            <w:tcW w:w="1520" w:type="dxa"/>
            <w:vAlign w:val="bottom"/>
          </w:tcPr>
          <w:p>
            <w:pPr>
              <w:spacing w:after="0"/>
              <w:rPr>
                <w:sz w:val="20"/>
                <w:szCs w:val="20"/>
                <w:color w:val="auto"/>
              </w:rPr>
            </w:pPr>
          </w:p>
        </w:tc>
      </w:tr>
      <w:tr>
        <w:trPr>
          <w:trHeight w:val="418"/>
        </w:trPr>
        <w:tc>
          <w:tcPr>
            <w:tcW w:w="9900" w:type="dxa"/>
            <w:vAlign w:val="bottom"/>
          </w:tcPr>
          <w:p>
            <w:pPr>
              <w:jc w:val="center"/>
              <w:ind w:left="1430"/>
              <w:spacing w:after="0"/>
              <w:rPr>
                <w:sz w:val="20"/>
                <w:szCs w:val="20"/>
                <w:color w:val="auto"/>
              </w:rPr>
            </w:pPr>
            <w:r>
              <w:rPr>
                <w:rFonts w:ascii="Arial" w:cs="Arial" w:eastAsia="Arial" w:hAnsi="Arial"/>
                <w:sz w:val="18"/>
                <w:szCs w:val="18"/>
                <w:color w:val="auto"/>
                <w:w w:val="89"/>
              </w:rPr>
              <w:t>Gildo Pastor Center</w:t>
            </w:r>
          </w:p>
        </w:tc>
        <w:tc>
          <w:tcPr>
            <w:tcW w:w="1520" w:type="dxa"/>
            <w:vAlign w:val="bottom"/>
          </w:tcPr>
          <w:p>
            <w:pPr>
              <w:spacing w:after="0"/>
              <w:rPr>
                <w:sz w:val="24"/>
                <w:szCs w:val="24"/>
                <w:color w:val="auto"/>
              </w:rPr>
            </w:pPr>
          </w:p>
        </w:tc>
      </w:tr>
      <w:tr>
        <w:trPr>
          <w:trHeight w:val="216"/>
        </w:trPr>
        <w:tc>
          <w:tcPr>
            <w:tcW w:w="9900" w:type="dxa"/>
            <w:vAlign w:val="bottom"/>
          </w:tcPr>
          <w:p>
            <w:pPr>
              <w:jc w:val="center"/>
              <w:ind w:left="1430"/>
              <w:spacing w:after="0"/>
              <w:rPr>
                <w:sz w:val="20"/>
                <w:szCs w:val="20"/>
                <w:color w:val="auto"/>
              </w:rPr>
            </w:pPr>
            <w:r>
              <w:rPr>
                <w:rFonts w:ascii="Arial" w:cs="Arial" w:eastAsia="Arial" w:hAnsi="Arial"/>
                <w:sz w:val="18"/>
                <w:szCs w:val="18"/>
                <w:color w:val="auto"/>
                <w:w w:val="89"/>
              </w:rPr>
              <w:t>7 Rue du Gabian</w:t>
            </w:r>
          </w:p>
        </w:tc>
        <w:tc>
          <w:tcPr>
            <w:tcW w:w="1520" w:type="dxa"/>
            <w:vAlign w:val="bottom"/>
          </w:tcPr>
          <w:p>
            <w:pPr>
              <w:spacing w:after="0"/>
              <w:rPr>
                <w:sz w:val="18"/>
                <w:szCs w:val="18"/>
                <w:color w:val="auto"/>
              </w:rPr>
            </w:pPr>
          </w:p>
        </w:tc>
      </w:tr>
      <w:tr>
        <w:trPr>
          <w:trHeight w:val="216"/>
        </w:trPr>
        <w:tc>
          <w:tcPr>
            <w:tcW w:w="9900" w:type="dxa"/>
            <w:vAlign w:val="bottom"/>
          </w:tcPr>
          <w:p>
            <w:pPr>
              <w:jc w:val="center"/>
              <w:ind w:left="1430"/>
              <w:spacing w:after="0"/>
              <w:rPr>
                <w:sz w:val="20"/>
                <w:szCs w:val="20"/>
                <w:color w:val="auto"/>
              </w:rPr>
            </w:pPr>
            <w:r>
              <w:rPr>
                <w:rFonts w:ascii="Arial" w:cs="Arial" w:eastAsia="Arial" w:hAnsi="Arial"/>
                <w:sz w:val="18"/>
                <w:szCs w:val="18"/>
                <w:color w:val="auto"/>
                <w:w w:val="92"/>
              </w:rPr>
              <w:t>MC 98000, Monaco</w:t>
            </w:r>
          </w:p>
        </w:tc>
        <w:tc>
          <w:tcPr>
            <w:tcW w:w="1520" w:type="dxa"/>
            <w:vAlign w:val="bottom"/>
          </w:tcPr>
          <w:p>
            <w:pPr>
              <w:spacing w:after="0"/>
              <w:rPr>
                <w:sz w:val="18"/>
                <w:szCs w:val="18"/>
                <w:color w:val="auto"/>
              </w:rPr>
            </w:pPr>
          </w:p>
        </w:tc>
      </w:tr>
      <w:tr>
        <w:trPr>
          <w:trHeight w:val="230"/>
        </w:trPr>
        <w:tc>
          <w:tcPr>
            <w:tcW w:w="9900" w:type="dxa"/>
            <w:vAlign w:val="bottom"/>
          </w:tcPr>
          <w:p>
            <w:pPr>
              <w:jc w:val="center"/>
              <w:ind w:left="1430"/>
              <w:spacing w:after="0"/>
              <w:rPr>
                <w:sz w:val="20"/>
                <w:szCs w:val="20"/>
                <w:color w:val="auto"/>
              </w:rPr>
            </w:pPr>
            <w:r>
              <w:rPr>
                <w:rFonts w:ascii="Arial" w:cs="Arial" w:eastAsia="Arial" w:hAnsi="Arial"/>
                <w:sz w:val="18"/>
                <w:szCs w:val="18"/>
                <w:color w:val="auto"/>
                <w:w w:val="92"/>
              </w:rPr>
              <w:t>(Address of principal executive office)</w:t>
            </w:r>
          </w:p>
        </w:tc>
        <w:tc>
          <w:tcPr>
            <w:tcW w:w="1520" w:type="dxa"/>
            <w:vAlign w:val="bottom"/>
          </w:tcPr>
          <w:p>
            <w:pPr>
              <w:spacing w:after="0"/>
              <w:rPr>
                <w:sz w:val="20"/>
                <w:szCs w:val="20"/>
                <w:color w:val="auto"/>
              </w:rPr>
            </w:pPr>
          </w:p>
        </w:tc>
      </w:tr>
      <w:tr>
        <w:trPr>
          <w:trHeight w:val="432"/>
        </w:trPr>
        <w:tc>
          <w:tcPr>
            <w:tcW w:w="990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520" w:type="dxa"/>
            <w:vAlign w:val="bottom"/>
          </w:tcPr>
          <w:p>
            <w:pPr>
              <w:spacing w:after="0"/>
              <w:rPr>
                <w:sz w:val="24"/>
                <w:szCs w:val="24"/>
                <w:color w:val="auto"/>
              </w:rPr>
            </w:pPr>
          </w:p>
        </w:tc>
      </w:tr>
      <w:tr>
        <w:trPr>
          <w:trHeight w:val="452"/>
        </w:trPr>
        <w:tc>
          <w:tcPr>
            <w:tcW w:w="990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520" w:type="dxa"/>
            <w:vAlign w:val="bottom"/>
          </w:tcPr>
          <w:p>
            <w:pPr>
              <w:spacing w:after="0"/>
              <w:rPr>
                <w:sz w:val="24"/>
                <w:szCs w:val="24"/>
                <w:color w:val="auto"/>
              </w:rPr>
            </w:pPr>
          </w:p>
        </w:tc>
      </w:tr>
      <w:tr>
        <w:trPr>
          <w:trHeight w:val="412"/>
        </w:trPr>
        <w:tc>
          <w:tcPr>
            <w:tcW w:w="99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520" w:type="dxa"/>
            <w:vAlign w:val="bottom"/>
          </w:tcPr>
          <w:p>
            <w:pPr>
              <w:ind w:left="960"/>
              <w:spacing w:after="0"/>
              <w:rPr>
                <w:sz w:val="20"/>
                <w:szCs w:val="20"/>
                <w:color w:val="auto"/>
              </w:rPr>
            </w:pPr>
            <w:r>
              <w:rPr>
                <w:rFonts w:ascii="Arial" w:cs="Arial" w:eastAsia="Arial" w:hAnsi="Arial"/>
                <w:sz w:val="18"/>
                <w:szCs w:val="18"/>
                <w:color w:val="auto"/>
              </w:rPr>
              <w:t>o</w:t>
            </w:r>
          </w:p>
        </w:tc>
      </w:tr>
      <w:tr>
        <w:trPr>
          <w:trHeight w:val="432"/>
        </w:trPr>
        <w:tc>
          <w:tcPr>
            <w:tcW w:w="99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520" w:type="dxa"/>
            <w:vAlign w:val="bottom"/>
          </w:tcPr>
          <w:p>
            <w:pPr>
              <w:ind w:left="960"/>
              <w:spacing w:after="0"/>
              <w:rPr>
                <w:sz w:val="20"/>
                <w:szCs w:val="20"/>
                <w:color w:val="auto"/>
              </w:rPr>
            </w:pPr>
            <w:r>
              <w:rPr>
                <w:rFonts w:ascii="Arial" w:cs="Arial" w:eastAsia="Arial" w:hAnsi="Arial"/>
                <w:sz w:val="18"/>
                <w:szCs w:val="18"/>
                <w:color w:val="auto"/>
              </w:rPr>
              <w:t>o</w:t>
            </w:r>
          </w:p>
        </w:tc>
      </w:tr>
      <w:tr>
        <w:trPr>
          <w:trHeight w:val="277"/>
        </w:trPr>
        <w:tc>
          <w:tcPr>
            <w:tcW w:w="9900" w:type="dxa"/>
            <w:vAlign w:val="bottom"/>
            <w:tcBorders>
              <w:bottom w:val="single" w:sz="8" w:color="C0C0C0"/>
            </w:tcBorders>
          </w:tcPr>
          <w:p>
            <w:pPr>
              <w:spacing w:after="0"/>
              <w:rPr>
                <w:sz w:val="24"/>
                <w:szCs w:val="24"/>
                <w:color w:val="auto"/>
              </w:rPr>
            </w:pPr>
          </w:p>
        </w:tc>
        <w:tc>
          <w:tcPr>
            <w:tcW w:w="15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firstLine="376"/>
        <w:spacing w:after="0" w:line="277" w:lineRule="auto"/>
        <w:rPr>
          <w:sz w:val="20"/>
          <w:szCs w:val="20"/>
          <w:color w:val="auto"/>
        </w:rPr>
      </w:pPr>
      <w:r>
        <w:rPr>
          <w:rFonts w:ascii="Arial" w:cs="Arial" w:eastAsia="Arial" w:hAnsi="Arial"/>
          <w:sz w:val="18"/>
          <w:szCs w:val="18"/>
          <w:color w:val="auto"/>
        </w:rPr>
        <w:t>The press release issued by GasLog Ltd and GasLog Partners LP on June 1, 2017 announcing the acquisition of GasLog Geneva from GasLog Ltd for $211 million is attached hereto as Exhibit 99.1.</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firstLine="772"/>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00"/>
          </w:cols>
          <w:pgMar w:left="240" w:top="409" w:right="45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 2017</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Wogan</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409" w:right="99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 xml:space="preserve">GasLog Partners LP Announces Acquisition Of </w:t>
      </w:r>
      <w:r>
        <w:rPr>
          <w:rFonts w:ascii="Arial" w:cs="Arial" w:eastAsia="Arial" w:hAnsi="Arial"/>
          <w:sz w:val="24"/>
          <w:szCs w:val="24"/>
          <w:b w:val="1"/>
          <w:bCs w:val="1"/>
          <w:i w:val="1"/>
          <w:iCs w:val="1"/>
          <w:color w:val="auto"/>
        </w:rPr>
        <w:t>GasLog Geneva</w:t>
      </w:r>
      <w:r>
        <w:rPr>
          <w:rFonts w:ascii="Arial" w:cs="Arial" w:eastAsia="Arial" w:hAnsi="Arial"/>
          <w:sz w:val="24"/>
          <w:szCs w:val="24"/>
          <w:b w:val="1"/>
          <w:bCs w:val="1"/>
          <w:color w:val="auto"/>
        </w:rPr>
        <w:t xml:space="preserve"> From GasLog Ltd. For $211 Million</w:t>
      </w:r>
    </w:p>
    <w:p>
      <w:pPr>
        <w:spacing w:after="0" w:line="24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MONACO — June 1, 2017 — </w:t>
      </w:r>
      <w:r>
        <w:rPr>
          <w:rFonts w:ascii="Arial" w:cs="Arial" w:eastAsia="Arial" w:hAnsi="Arial"/>
          <w:sz w:val="17"/>
          <w:szCs w:val="17"/>
          <w:color w:val="auto"/>
        </w:rPr>
        <w:t>GasLog Partners LP (NYSE:GLOP) (“GasLog Partners” or the “Partnership”) and GasLog Ltd. (NYSE:GLOG) (“GasLog”)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announced today that they have approved entering into an agreement for the Partnership to purchase from GasLog 100% of the shares in the entity that owns and charters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(the “Acquisition”). The aggregate purchase price for the Acquisition will be $211 million, which includes $1 million for positive net working capital balances to be transferred with the vessel. GasLog Partners expects to finance the acquisition with cash on hand, including proceeds from its recent preference unit offering, and the assumption of $155 million of </w:t>
      </w:r>
      <w:r>
        <w:rPr>
          <w:rFonts w:ascii="Arial" w:cs="Arial" w:eastAsia="Arial" w:hAnsi="Arial"/>
          <w:sz w:val="17"/>
          <w:szCs w:val="17"/>
          <w:i w:val="1"/>
          <w:iCs w:val="1"/>
          <w:color w:val="auto"/>
        </w:rPr>
        <w:t>GasLog Geneva</w:t>
      </w:r>
      <w:r>
        <w:rPr>
          <w:rFonts w:ascii="Arial" w:cs="Arial" w:eastAsia="Arial" w:hAnsi="Arial"/>
          <w:sz w:val="17"/>
          <w:szCs w:val="17"/>
          <w:color w:val="auto"/>
        </w:rPr>
        <w:t>’s existing debt. The Acquisition is expected to close in the third quarter of 2017 and is subject to satisfaction of certain customary closing conditions. The Board of Directors of GasLog, the Board of Directors of GasLog Partners (the “Board”), and the Conflicts Committee of the Board have approved the Acquisition.</w:t>
      </w:r>
    </w:p>
    <w:p>
      <w:pPr>
        <w:spacing w:after="0" w:line="17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GasLog Geneva </w:t>
      </w:r>
      <w:r>
        <w:rPr>
          <w:rFonts w:ascii="Arial" w:cs="Arial" w:eastAsia="Arial" w:hAnsi="Arial"/>
          <w:sz w:val="17"/>
          <w:szCs w:val="17"/>
          <w:color w:val="auto"/>
        </w:rPr>
        <w:t>is a 174,000 cubic meter tri-fuel diesel electric liquefied natural gas (“LNG”) carrier built in 2016 and operated by GasLog since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The vessel is currently on a long-term time charter with a wholly owned subsidiary of Royal Dutch Shell plc (“Shell”) through September 2023. Shell has two consecutive extension options which, if exercised, would extend the charter for a period of either five or eight years.</w:t>
      </w:r>
    </w:p>
    <w:p>
      <w:pPr>
        <w:spacing w:after="0" w:line="166" w:lineRule="exact"/>
        <w:rPr>
          <w:sz w:val="20"/>
          <w:szCs w:val="20"/>
          <w:color w:val="auto"/>
        </w:rPr>
      </w:pPr>
    </w:p>
    <w:p>
      <w:pPr>
        <w:ind w:right="680"/>
        <w:spacing w:after="0" w:line="291" w:lineRule="auto"/>
        <w:rPr>
          <w:sz w:val="20"/>
          <w:szCs w:val="20"/>
          <w:color w:val="auto"/>
        </w:rPr>
      </w:pPr>
      <w:r>
        <w:rPr>
          <w:rFonts w:ascii="Arial" w:cs="Arial" w:eastAsia="Arial" w:hAnsi="Arial"/>
          <w:sz w:val="16"/>
          <w:szCs w:val="16"/>
          <w:color w:val="auto"/>
        </w:rPr>
        <w:t xml:space="preserve">The Partnership believes that the Acquisition will be immediately accretive to unitholder distributions and is consistent with its strategy to grow cash distributions through dropdown and third-party acquisitions. GasLog Partners estimates that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will add approximately $23 million to</w:t>
      </w:r>
    </w:p>
    <w:p>
      <w:pPr>
        <w:ind w:right="700"/>
        <w:spacing w:after="0" w:line="219" w:lineRule="auto"/>
        <w:rPr>
          <w:sz w:val="20"/>
          <w:szCs w:val="20"/>
          <w:color w:val="auto"/>
        </w:rPr>
      </w:pPr>
      <w:r>
        <w:rPr>
          <w:rFonts w:ascii="Arial" w:cs="Arial" w:eastAsia="Arial" w:hAnsi="Arial"/>
          <w:sz w:val="17"/>
          <w:szCs w:val="17"/>
          <w:color w:val="auto"/>
        </w:rPr>
        <w:t>EBITDA</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in the first 12 months after closing. Accordingly, the Acquisition purchase price represents a multiple of approximately 9.1x</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estimated EBITDA.</w:t>
      </w:r>
    </w:p>
    <w:p>
      <w:pPr>
        <w:spacing w:after="0" w:line="20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Upon closing, the Acquisition will be supportive of GasLog Partners’ guidance to grow unitholder distributions at a 10% to 15% compound annual rate from IPO through 2017. The Partnership intends to recommend an annualized distribution of greater than $2.09 per unit by the fourth quarter of 2017.</w:t>
      </w:r>
    </w:p>
    <w:p>
      <w:pPr>
        <w:spacing w:after="0" w:line="14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Andy Orekar, Chief Executive Officer of GasLog Partners, stated, “I am very pleased to continue executing our growth strategy with this accretive dropdown transaction.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represents the eighth LNG carrier the Partnership will have acquired from GasLog since our IPO, and this strategically attractive vessel plus its charter to Shell provide over six years of stable cash flows. The Acquisition expands the Partnership’s fleet to eleven wholly owned LNG carriers, extends our average remaining charter duration and significantly increases our revenues and EBITDA.”</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Paul Wogan, Chief Executive Officer of GasLog, stated, “We continue to execute on our strategy of dropping vessels into GasLog Partners and recycling the capital to GasLog. This transaction values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at a premium to book value, allowing us to strengthen our balance sheet and providing further funding for future profitable growth. Through our unit ownership and incentive distribution rights, we will benefit from future increases in GasLog Partners’ distributions, which should continue to enhance our cash flow, growth prospects and valuation. Based on the Partnership’s growth guidance, GasLog’s annualized distributions received from GasLog Partners are expected to equal approximately $26 million by the fourth quarter of 2017, an increase of approximately 13% compared to the annualized distributions received in the fourth quarter of 2016.”</w:t>
      </w:r>
    </w:p>
    <w:p>
      <w:pPr>
        <w:spacing w:after="0" w:line="182"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EBITDA is a non-GAAP financial measure. Please refer to Exhibit I for guidance on the underlying assumptions used to derive EBITDA.</w:t>
      </w:r>
    </w:p>
    <w:p>
      <w:pPr>
        <w:spacing w:after="0" w:line="128"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Acquisition multiple is calculated using net purchase price of $210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 xml:space="preserve">GasLog Partners is a growth-oriented master limited partnership focused on owning, operating and acquiring LNG carriers under multi-year charters. Upon closing of the Acquisition, GasLog Partners’ fleet will consist of eleven LNG carriers with an average carrying capacity of approximately 154,000 cbm. GasLog Partners’ principal executive offices are located at Gildo Pastor Center, 7 Rue du Gabian, MC 98000, Monaco. Visit GasLog Partners’ website at </w:t>
      </w:r>
      <w:r>
        <w:rPr>
          <w:rFonts w:ascii="Arial" w:cs="Arial" w:eastAsia="Arial" w:hAnsi="Arial"/>
          <w:sz w:val="18"/>
          <w:szCs w:val="18"/>
          <w:u w:val="single" w:color="auto"/>
          <w:color w:val="auto"/>
        </w:rPr>
        <w:t>http://www.gaslogmlp.com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Upon closing of the Acquisition, GasLog’s consolidated fleet will include eleven LNG carriers in operation owned by GasLog’s subsidiary, GasLog Partners. GasLog’s principal executive offices are at Gildo Pastor Center, 7 Rue du Gabian, MC 98000, Monaco. Visit GasLog’s website at </w:t>
      </w:r>
      <w:r>
        <w:rPr>
          <w:rFonts w:ascii="Arial" w:cs="Arial" w:eastAsia="Arial" w:hAnsi="Arial"/>
          <w:sz w:val="17"/>
          <w:szCs w:val="17"/>
          <w:u w:val="single" w:color="auto"/>
          <w:color w:val="auto"/>
        </w:rPr>
        <w:t>http://www.gaslogltd.com</w:t>
      </w:r>
      <w:r>
        <w:rPr>
          <w:rFonts w:ascii="Arial" w:cs="Arial" w:eastAsia="Arial" w:hAnsi="Arial"/>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0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5" w:name="page6"/>
    <w:bookmarkEnd w:id="5"/>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3"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0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13, 2017, available at http://www.sec.gov.</w:t>
      </w:r>
    </w:p>
    <w:p>
      <w:pPr>
        <w:spacing w:after="0" w:line="18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GasLog and GasLog Partners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EBITDA is defined as earnings before interest income and expense, gain/loss on interest rate swaps, taxes, depreciation and amortization. EBITDA, which is a non-GAAP financial measure, is used as a supplemental financial measure by management and external users of financial statements, such as investors, to assess our financial and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units. This increased comparability is achieved by excluding the potentially disparate effects between periods of interest, gain/loss on interest rate swaps,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8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EBITDA has limitations as an analytical tool and should not be considered as an alternative to, or as a substitute for, or superior to profit, profit from operations, earnings per unit or any other measure of financial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w:t>
      </w:r>
    </w:p>
    <w:p>
      <w:pPr>
        <w:spacing w:after="0" w:line="1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For the entity owning </w:t>
      </w:r>
      <w:r>
        <w:rPr>
          <w:rFonts w:ascii="Arial" w:cs="Arial" w:eastAsia="Arial" w:hAnsi="Arial"/>
          <w:sz w:val="18"/>
          <w:szCs w:val="18"/>
          <w:i w:val="1"/>
          <w:iCs w:val="1"/>
          <w:color w:val="auto"/>
        </w:rPr>
        <w:t>GasLog Geneva</w:t>
      </w:r>
      <w:r>
        <w:rPr>
          <w:rFonts w:ascii="Arial" w:cs="Arial" w:eastAsia="Arial" w:hAnsi="Arial"/>
          <w:sz w:val="18"/>
          <w:szCs w:val="18"/>
          <w:color w:val="auto"/>
        </w:rPr>
        <w:t>, estimated EBITDA for the first 12 months of operation following the completion of the Acquisition is based on the following assumptions:</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closing of the Acquisition in the third quarter of 2017 and timely receipt of charter hire specified in the charter contracts;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utilization of 363 days and no drydocking;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vessel operating and supervision costs and charter commissions per current internal estimates;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and administrative expenses based on management’s current internal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6" w:name="page7"/>
    <w:bookmarkEnd w:id="6"/>
    <w:p>
      <w:pPr>
        <w:spacing w:after="0" w:line="290" w:lineRule="auto"/>
        <w:rPr>
          <w:sz w:val="20"/>
          <w:szCs w:val="20"/>
          <w:color w:val="auto"/>
        </w:rPr>
      </w:pPr>
      <w:r>
        <w:rPr>
          <w:rFonts w:ascii="Arial" w:cs="Arial" w:eastAsia="Arial" w:hAnsi="Arial"/>
          <w:sz w:val="16"/>
          <w:szCs w:val="16"/>
          <w:color w:val="auto"/>
        </w:rPr>
        <w:t>GasLog and GasLog Partners consider the above assumptions to be reasonable as of June 1, 2017, but if these assumptions prove to be incorrect, actual EBITDA for the entity owning the vessel could differ materially from our estimates. The prospective financial information was not prepared with a view toward public disclosure or with a view toward complying with the guidelines established by the American Institute of Certified Public Accountants, but, in the view of management, was prepared on a reasonable basis and reflects the best currently available estimates and judgments. However, this information is not fact and should not be relied upon as being necessarily indicative of future results, and readers of this document are cautioned not to place undue reliance on the prospective financial information. 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Samaan Aziz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2019-12-07T16:48:36Z</dcterms:created>
  <dcterms:modified xsi:type="dcterms:W3CDTF">2019-12-07T16:48:36Z</dcterms:modified>
</cp:coreProperties>
</file>