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left="340" w:right="1120"/>
        <w:spacing w:after="0" w:line="286"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 the month of November 2022</w:t>
            </w:r>
          </w:p>
        </w:tc>
        <w:tc>
          <w:tcPr>
            <w:tcW w:w="1320" w:type="dxa"/>
            <w:vAlign w:val="bottom"/>
          </w:tcPr>
          <w:p>
            <w:pPr>
              <w:spacing w:after="0"/>
              <w:rPr>
                <w:sz w:val="20"/>
                <w:szCs w:val="20"/>
                <w:color w:val="auto"/>
              </w:rPr>
            </w:pPr>
          </w:p>
        </w:tc>
      </w:tr>
      <w:tr>
        <w:trPr>
          <w:trHeight w:val="432"/>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 001-35466</w:t>
            </w:r>
          </w:p>
        </w:tc>
        <w:tc>
          <w:tcPr>
            <w:tcW w:w="1320" w:type="dxa"/>
            <w:vAlign w:val="bottom"/>
          </w:tcPr>
          <w:p>
            <w:pPr>
              <w:spacing w:after="0"/>
              <w:rPr>
                <w:sz w:val="24"/>
                <w:szCs w:val="24"/>
                <w:color w:val="auto"/>
              </w:rPr>
            </w:pPr>
          </w:p>
        </w:tc>
      </w:tr>
      <w:tr>
        <w:trPr>
          <w:trHeight w:val="414"/>
        </w:trPr>
        <w:tc>
          <w:tcPr>
            <w:tcW w:w="9920" w:type="dxa"/>
            <w:vAlign w:val="bottom"/>
          </w:tcPr>
          <w:p>
            <w:pPr>
              <w:jc w:val="center"/>
              <w:ind w:left="1236"/>
              <w:spacing w:after="0"/>
              <w:rPr>
                <w:sz w:val="20"/>
                <w:szCs w:val="20"/>
                <w:color w:val="auto"/>
              </w:rPr>
            </w:pPr>
            <w:r>
              <w:rPr>
                <w:rFonts w:ascii="Times New Roman" w:cs="Times New Roman" w:eastAsia="Times New Roman" w:hAnsi="Times New Roman"/>
                <w:sz w:val="18"/>
                <w:szCs w:val="18"/>
                <w:b w:val="1"/>
                <w:bCs w:val="1"/>
                <w:color w:val="auto"/>
                <w:w w:val="98"/>
              </w:rPr>
              <w:t>GasLog Ltd.</w:t>
            </w:r>
          </w:p>
        </w:tc>
        <w:tc>
          <w:tcPr>
            <w:tcW w:w="1320" w:type="dxa"/>
            <w:vAlign w:val="bottom"/>
          </w:tcPr>
          <w:p>
            <w:pPr>
              <w:spacing w:after="0"/>
              <w:rPr>
                <w:sz w:val="24"/>
                <w:szCs w:val="24"/>
                <w:color w:val="auto"/>
              </w:rPr>
            </w:pPr>
          </w:p>
        </w:tc>
      </w:tr>
      <w:tr>
        <w:trPr>
          <w:trHeight w:val="234"/>
        </w:trPr>
        <w:tc>
          <w:tcPr>
            <w:tcW w:w="9920" w:type="dxa"/>
            <w:vAlign w:val="bottom"/>
          </w:tcPr>
          <w:p>
            <w:pPr>
              <w:jc w:val="center"/>
              <w:ind w:left="1236"/>
              <w:spacing w:after="0"/>
              <w:rPr>
                <w:sz w:val="20"/>
                <w:szCs w:val="20"/>
                <w:color w:val="auto"/>
              </w:rPr>
            </w:pPr>
            <w:r>
              <w:rPr>
                <w:rFonts w:ascii="Times New Roman" w:cs="Times New Roman" w:eastAsia="Times New Roman" w:hAnsi="Times New Roman"/>
                <w:sz w:val="18"/>
                <w:szCs w:val="18"/>
                <w:color w:val="auto"/>
                <w:w w:val="99"/>
              </w:rPr>
              <w:t>(Translation of registrant’s name into English)</w:t>
            </w:r>
          </w:p>
        </w:tc>
        <w:tc>
          <w:tcPr>
            <w:tcW w:w="1320" w:type="dxa"/>
            <w:vAlign w:val="bottom"/>
          </w:tcPr>
          <w:p>
            <w:pPr>
              <w:spacing w:after="0"/>
              <w:rPr>
                <w:sz w:val="20"/>
                <w:szCs w:val="20"/>
                <w:color w:val="auto"/>
              </w:rPr>
            </w:pPr>
          </w:p>
        </w:tc>
      </w:tr>
      <w:tr>
        <w:trPr>
          <w:trHeight w:val="414"/>
        </w:trPr>
        <w:tc>
          <w:tcPr>
            <w:tcW w:w="9920" w:type="dxa"/>
            <w:vAlign w:val="bottom"/>
          </w:tcPr>
          <w:p>
            <w:pPr>
              <w:jc w:val="center"/>
              <w:ind w:left="1236"/>
              <w:spacing w:after="0"/>
              <w:rPr>
                <w:sz w:val="20"/>
                <w:szCs w:val="20"/>
                <w:color w:val="auto"/>
              </w:rPr>
            </w:pPr>
            <w:r>
              <w:rPr>
                <w:rFonts w:ascii="Times New Roman" w:cs="Times New Roman" w:eastAsia="Times New Roman" w:hAnsi="Times New Roman"/>
                <w:sz w:val="18"/>
                <w:szCs w:val="18"/>
                <w:color w:val="auto"/>
                <w:w w:val="99"/>
              </w:rPr>
              <w:t>c/o GasLog LNG Services Ltd.</w:t>
            </w:r>
          </w:p>
        </w:tc>
        <w:tc>
          <w:tcPr>
            <w:tcW w:w="1320" w:type="dxa"/>
            <w:vAlign w:val="bottom"/>
          </w:tcPr>
          <w:p>
            <w:pPr>
              <w:spacing w:after="0"/>
              <w:rPr>
                <w:sz w:val="24"/>
                <w:szCs w:val="24"/>
                <w:color w:val="auto"/>
              </w:rPr>
            </w:pPr>
          </w:p>
        </w:tc>
      </w:tr>
      <w:tr>
        <w:trPr>
          <w:trHeight w:val="216"/>
        </w:trPr>
        <w:tc>
          <w:tcPr>
            <w:tcW w:w="9920" w:type="dxa"/>
            <w:vAlign w:val="bottom"/>
          </w:tcPr>
          <w:p>
            <w:pPr>
              <w:jc w:val="center"/>
              <w:ind w:left="1256"/>
              <w:spacing w:after="0"/>
              <w:rPr>
                <w:sz w:val="20"/>
                <w:szCs w:val="20"/>
                <w:color w:val="auto"/>
              </w:rPr>
            </w:pPr>
            <w:r>
              <w:rPr>
                <w:rFonts w:ascii="Times New Roman" w:cs="Times New Roman" w:eastAsia="Times New Roman" w:hAnsi="Times New Roman"/>
                <w:sz w:val="18"/>
                <w:szCs w:val="18"/>
                <w:color w:val="auto"/>
                <w:w w:val="99"/>
              </w:rPr>
              <w:t>69 Akti Miaouli, 18537</w:t>
            </w:r>
          </w:p>
        </w:tc>
        <w:tc>
          <w:tcPr>
            <w:tcW w:w="1320" w:type="dxa"/>
            <w:vAlign w:val="bottom"/>
          </w:tcPr>
          <w:p>
            <w:pPr>
              <w:spacing w:after="0"/>
              <w:rPr>
                <w:sz w:val="18"/>
                <w:szCs w:val="18"/>
                <w:color w:val="auto"/>
              </w:rPr>
            </w:pPr>
          </w:p>
        </w:tc>
      </w:tr>
      <w:tr>
        <w:trPr>
          <w:trHeight w:val="216"/>
        </w:trPr>
        <w:tc>
          <w:tcPr>
            <w:tcW w:w="9920" w:type="dxa"/>
            <w:vAlign w:val="bottom"/>
          </w:tcPr>
          <w:p>
            <w:pPr>
              <w:jc w:val="center"/>
              <w:ind w:left="1236"/>
              <w:spacing w:after="0"/>
              <w:rPr>
                <w:sz w:val="20"/>
                <w:szCs w:val="20"/>
                <w:color w:val="auto"/>
              </w:rPr>
            </w:pPr>
            <w:r>
              <w:rPr>
                <w:rFonts w:ascii="Times New Roman" w:cs="Times New Roman" w:eastAsia="Times New Roman" w:hAnsi="Times New Roman"/>
                <w:sz w:val="18"/>
                <w:szCs w:val="18"/>
                <w:color w:val="auto"/>
                <w:w w:val="99"/>
              </w:rPr>
              <w:t>Piraeus, Greece</w:t>
            </w:r>
          </w:p>
        </w:tc>
        <w:tc>
          <w:tcPr>
            <w:tcW w:w="1320" w:type="dxa"/>
            <w:vAlign w:val="bottom"/>
          </w:tcPr>
          <w:p>
            <w:pPr>
              <w:spacing w:after="0"/>
              <w:rPr>
                <w:sz w:val="18"/>
                <w:szCs w:val="18"/>
                <w:color w:val="auto"/>
              </w:rPr>
            </w:pPr>
          </w:p>
        </w:tc>
      </w:tr>
      <w:tr>
        <w:trPr>
          <w:trHeight w:val="234"/>
        </w:trPr>
        <w:tc>
          <w:tcPr>
            <w:tcW w:w="9920" w:type="dxa"/>
            <w:vAlign w:val="bottom"/>
          </w:tcPr>
          <w:p>
            <w:pPr>
              <w:jc w:val="center"/>
              <w:ind w:left="1256"/>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1320" w:type="dxa"/>
            <w:vAlign w:val="bottom"/>
          </w:tcPr>
          <w:p>
            <w:pPr>
              <w:spacing w:after="0"/>
              <w:rPr>
                <w:sz w:val="20"/>
                <w:szCs w:val="20"/>
                <w:color w:val="auto"/>
              </w:rPr>
            </w:pPr>
          </w:p>
        </w:tc>
      </w:tr>
      <w:tr>
        <w:trPr>
          <w:trHeight w:val="432"/>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tc>
        <w:tc>
          <w:tcPr>
            <w:tcW w:w="1320" w:type="dxa"/>
            <w:vAlign w:val="bottom"/>
          </w:tcPr>
          <w:p>
            <w:pPr>
              <w:spacing w:after="0"/>
              <w:rPr>
                <w:sz w:val="24"/>
                <w:szCs w:val="24"/>
                <w:color w:val="auto"/>
              </w:rPr>
            </w:pPr>
          </w:p>
        </w:tc>
      </w:tr>
      <w:tr>
        <w:trPr>
          <w:trHeight w:val="517"/>
        </w:trPr>
        <w:tc>
          <w:tcPr>
            <w:tcW w:w="99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20-FForm 40-F </w:t>
            </w:r>
            <w:r>
              <w:rPr>
                <w:rFonts w:ascii="MS PGothic" w:cs="MS PGothic" w:eastAsia="MS PGothic" w:hAnsi="MS PGothic"/>
                <w:sz w:val="18"/>
                <w:szCs w:val="18"/>
                <w:color w:val="auto"/>
              </w:rPr>
              <w:t>☐</w:t>
            </w:r>
          </w:p>
        </w:tc>
        <w:tc>
          <w:tcPr>
            <w:tcW w:w="1320" w:type="dxa"/>
            <w:vAlign w:val="bottom"/>
          </w:tcPr>
          <w:p>
            <w:pPr>
              <w:spacing w:after="0"/>
              <w:rPr>
                <w:sz w:val="24"/>
                <w:szCs w:val="24"/>
                <w:color w:val="auto"/>
              </w:rPr>
            </w:pPr>
          </w:p>
        </w:tc>
      </w:tr>
      <w:tr>
        <w:trPr>
          <w:trHeight w:val="448"/>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tc>
        <w:tc>
          <w:tcPr>
            <w:tcW w:w="13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tc>
        <w:tc>
          <w:tcPr>
            <w:tcW w:w="13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r>
      <w:tr>
        <w:trPr>
          <w:trHeight w:val="655"/>
        </w:trPr>
        <w:tc>
          <w:tcPr>
            <w:tcW w:w="9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68" w:right="339" w:bottom="1440" w:gutter="0" w:footer="0" w:header="0"/>
        </w:sectPr>
      </w:pPr>
    </w:p>
    <w:bookmarkStart w:id="1" w:name="page2"/>
    <w:bookmarkEnd w:id="1"/>
    <w:p>
      <w:pPr>
        <w:ind w:firstLine="324"/>
        <w:spacing w:after="0" w:line="298" w:lineRule="auto"/>
        <w:rPr>
          <w:sz w:val="20"/>
          <w:szCs w:val="20"/>
          <w:color w:val="auto"/>
        </w:rPr>
      </w:pPr>
      <w:r>
        <w:rPr>
          <w:rFonts w:ascii="Times New Roman" w:cs="Times New Roman" w:eastAsia="Times New Roman" w:hAnsi="Times New Roman"/>
          <w:sz w:val="16"/>
          <w:szCs w:val="16"/>
          <w:color w:val="auto"/>
        </w:rPr>
        <w:t>The press release issued by GasLog Ltd. on November 10, 2022, relating to its results for the three month period ended September 30, 2022, is attached hereto as Exhibit 99.1.</w:t>
      </w:r>
    </w:p>
    <w:p>
      <w:pPr>
        <w:spacing w:after="0" w:line="16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color w:val="auto"/>
        </w:rPr>
        <w:t>EXHIBIT LIST</w:t>
      </w:r>
    </w:p>
    <w:p>
      <w:pPr>
        <w:spacing w:after="0" w:line="23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color w:val="auto"/>
        </w:rPr>
        <w:t>Exhibit</w:t>
      </w:r>
      <w:r>
        <w:rPr>
          <w:sz w:val="20"/>
          <w:szCs w:val="20"/>
          <w:color w:val="auto"/>
        </w:rPr>
        <w:tab/>
      </w:r>
      <w:r>
        <w:rPr>
          <w:rFonts w:ascii="Times New Roman" w:cs="Times New Roman" w:eastAsia="Times New Roman" w:hAnsi="Times New Roman"/>
          <w:sz w:val="16"/>
          <w:szCs w:val="16"/>
          <w:color w:val="auto"/>
        </w:rPr>
        <w:t>Description</w:t>
      </w:r>
    </w:p>
    <w:p>
      <w:pPr>
        <w:spacing w:after="0" w:line="24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u w:val="single" w:color="auto"/>
          <w:color w:val="0000EE"/>
        </w:rPr>
        <w:t>99.1</w:t>
      </w:r>
      <w:r>
        <w:rPr>
          <w:sz w:val="20"/>
          <w:szCs w:val="20"/>
          <w:color w:val="auto"/>
        </w:rPr>
        <w:tab/>
      </w:r>
      <w:r>
        <w:rPr>
          <w:rFonts w:ascii="Times New Roman" w:cs="Times New Roman" w:eastAsia="Times New Roman" w:hAnsi="Times New Roman"/>
          <w:sz w:val="16"/>
          <w:szCs w:val="16"/>
          <w:u w:val="single" w:color="auto"/>
          <w:color w:val="0000EE"/>
        </w:rPr>
        <w:t>Press Release dated November 10, 2022</w:t>
      </w:r>
    </w:p>
    <w:p>
      <w:pPr>
        <w:spacing w:after="0" w:line="200" w:lineRule="exact"/>
        <w:rPr>
          <w:sz w:val="20"/>
          <w:szCs w:val="20"/>
          <w:color w:val="auto"/>
        </w:rPr>
      </w:pPr>
    </w:p>
    <w:p>
      <w:pPr>
        <w:spacing w:after="0" w:line="25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0"/>
          </w:cols>
          <w:pgMar w:left="320" w:top="909" w:right="79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6"/>
          <w:szCs w:val="16"/>
          <w:color w:val="auto"/>
        </w:rPr>
        <w:t>SIGNATURES</w:t>
      </w:r>
    </w:p>
    <w:p>
      <w:pPr>
        <w:spacing w:after="0" w:line="235" w:lineRule="exact"/>
        <w:rPr>
          <w:sz w:val="20"/>
          <w:szCs w:val="20"/>
          <w:color w:val="auto"/>
        </w:rPr>
      </w:pPr>
    </w:p>
    <w:p>
      <w:pPr>
        <w:ind w:firstLine="324"/>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10, 2022</w:t>
      </w:r>
    </w:p>
    <w:p>
      <w:pPr>
        <w:spacing w:after="0" w:line="24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GASLOG LTD.,</w:t>
      </w:r>
    </w:p>
    <w:p>
      <w:pPr>
        <w:spacing w:after="0" w:line="248" w:lineRule="exact"/>
        <w:rPr>
          <w:sz w:val="20"/>
          <w:szCs w:val="20"/>
          <w:color w:val="auto"/>
        </w:rPr>
      </w:pPr>
    </w:p>
    <w:p>
      <w:pPr>
        <w:ind w:left="6320"/>
        <w:spacing w:after="0"/>
        <w:tabs>
          <w:tab w:leader="none" w:pos="6640" w:val="left"/>
        </w:tabs>
        <w:rPr>
          <w:sz w:val="20"/>
          <w:szCs w:val="20"/>
          <w:color w:val="auto"/>
        </w:rPr>
      </w:pPr>
      <w:r>
        <w:rPr>
          <w:rFonts w:ascii="Times New Roman" w:cs="Times New Roman" w:eastAsia="Times New Roman" w:hAnsi="Times New Roman"/>
          <w:sz w:val="16"/>
          <w:szCs w:val="16"/>
          <w:color w:val="auto"/>
        </w:rPr>
        <w:t>by</w:t>
        <w:tab/>
        <w:t>/s/ Paolo Enoizi</w:t>
      </w:r>
    </w:p>
    <w:p>
      <w:pPr>
        <w:spacing w:after="0" w:line="26" w:lineRule="exact"/>
        <w:rPr>
          <w:sz w:val="20"/>
          <w:szCs w:val="20"/>
          <w:color w:val="auto"/>
        </w:rPr>
      </w:pPr>
    </w:p>
    <w:tbl>
      <w:tblPr>
        <w:tblLayout w:type="fixed"/>
        <w:tblInd w:w="6640" w:type="dxa"/>
        <w:tblCellMar>
          <w:top w:w="0" w:type="dxa"/>
          <w:left w:w="0" w:type="dxa"/>
          <w:bottom w:w="0" w:type="dxa"/>
          <w:right w:w="0" w:type="dxa"/>
        </w:tblCellMar>
      </w:tblPr>
      <w:tr>
        <w:trPr>
          <w:trHeight w:val="202"/>
        </w:trPr>
        <w:tc>
          <w:tcPr>
            <w:tcW w:w="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Name:</w:t>
            </w:r>
          </w:p>
        </w:tc>
        <w:tc>
          <w:tcPr>
            <w:tcW w:w="34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Paolo Enoizi</w:t>
            </w:r>
          </w:p>
        </w:tc>
      </w:tr>
      <w:tr>
        <w:trPr>
          <w:trHeight w:val="210"/>
        </w:trPr>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Title:</w:t>
            </w:r>
          </w:p>
        </w:tc>
        <w:tc>
          <w:tcPr>
            <w:tcW w:w="3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909" w:right="4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Press Release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GasLog Ltd. Reports Financial Results for the Three-Month Period Ended September 30, 2022</w:t>
      </w:r>
    </w:p>
    <w:p>
      <w:pPr>
        <w:spacing w:after="0" w:line="235" w:lineRule="exact"/>
        <w:rPr>
          <w:sz w:val="20"/>
          <w:szCs w:val="20"/>
          <w:color w:val="auto"/>
        </w:rPr>
      </w:pPr>
    </w:p>
    <w:p>
      <w:pPr>
        <w:ind w:right="520"/>
        <w:spacing w:after="0" w:line="301" w:lineRule="auto"/>
        <w:rPr>
          <w:sz w:val="20"/>
          <w:szCs w:val="20"/>
          <w:color w:val="auto"/>
        </w:rPr>
      </w:pPr>
      <w:r>
        <w:rPr>
          <w:rFonts w:ascii="Times New Roman" w:cs="Times New Roman" w:eastAsia="Times New Roman" w:hAnsi="Times New Roman"/>
          <w:sz w:val="16"/>
          <w:szCs w:val="16"/>
          <w:b w:val="1"/>
          <w:bCs w:val="1"/>
          <w:color w:val="auto"/>
        </w:rPr>
        <w:t>Hamilton, Bermuda, November 10, 2022, GasLog Ltd. and its subsidiaries (“GasLog”, “Group” or “Company”) (NYSE: GLOG-PA)</w:t>
      </w:r>
      <w:r>
        <w:rPr>
          <w:rFonts w:ascii="Times New Roman" w:cs="Times New Roman" w:eastAsia="Times New Roman" w:hAnsi="Times New Roman"/>
          <w:sz w:val="16"/>
          <w:szCs w:val="16"/>
          <w:color w:val="auto"/>
        </w:rPr>
        <w:t>, an international owner,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operator and manager of liquefied natural gas (“LNG”) carriers, today reported its financial results for the quarter ended September 30,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Steam Vessel Transactions</w:t>
      </w:r>
    </w:p>
    <w:p>
      <w:pPr>
        <w:spacing w:after="0" w:line="235"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6"/>
          <w:szCs w:val="16"/>
          <w:color w:val="auto"/>
        </w:rPr>
        <w:t xml:space="preserve">In September 2022, GasLog Partners LP (“GasLog Partners” or the “Partnership”) completed the previously announced sale of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a 145,000 cubic meter (“cbm”) steam turbine propulsion (“Steam”) LNG carrier built in 2007, to an unrelated third party for a gross sale price of approximately $54.0 million. The sale resulted in the recognition of a loss on disposal of $0.2 million. The outstanding indebtedness of $32.2 million associated with the vessel was prepaid pursuant to its sale.</w:t>
      </w:r>
    </w:p>
    <w:p>
      <w:pPr>
        <w:spacing w:after="0" w:line="380" w:lineRule="exact"/>
        <w:rPr>
          <w:sz w:val="20"/>
          <w:szCs w:val="20"/>
          <w:color w:val="auto"/>
        </w:rPr>
      </w:pPr>
    </w:p>
    <w:p>
      <w:pPr>
        <w:ind w:right="100" w:firstLine="324"/>
        <w:spacing w:after="0" w:line="276" w:lineRule="auto"/>
        <w:rPr>
          <w:sz w:val="20"/>
          <w:szCs w:val="20"/>
          <w:color w:val="auto"/>
        </w:rPr>
      </w:pPr>
      <w:r>
        <w:rPr>
          <w:rFonts w:ascii="Times New Roman" w:cs="Times New Roman" w:eastAsia="Times New Roman" w:hAnsi="Times New Roman"/>
          <w:sz w:val="16"/>
          <w:szCs w:val="16"/>
          <w:color w:val="auto"/>
        </w:rPr>
        <w:t xml:space="preserve">Οn October 31, 2022, GasLog Partners completed the sale and lease-back of the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a 145,000 cbm Steam LNG carrier built in 2007, for $50.0 million. The vessel was sold to an unrelated third party and leased back under a bareboat charter until the middle of 2025 with no repurchase option or obligation. The completion of the transaction released approximately $17.0 million of incremental net liquidity (net sale proceeds less debt prepayment) to the Partnership, while the vessel remains on its new three-year charter with a Southeast Asian charterer (“SEA Charterer”).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New Charter Agreements</w:t>
      </w:r>
    </w:p>
    <w:p>
      <w:pPr>
        <w:spacing w:after="0" w:line="235"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6"/>
          <w:szCs w:val="16"/>
          <w:color w:val="auto"/>
        </w:rPr>
        <w:t xml:space="preserve">During the third quarter of 2022, GasLog signed a two-year agreement with Tokyo LNG Tanker Co. Ltd. (“Tokyo LNG”) for the </w:t>
      </w:r>
      <w:r>
        <w:rPr>
          <w:rFonts w:ascii="Times New Roman" w:cs="Times New Roman" w:eastAsia="Times New Roman" w:hAnsi="Times New Roman"/>
          <w:sz w:val="16"/>
          <w:szCs w:val="16"/>
          <w:i w:val="1"/>
          <w:iCs w:val="1"/>
          <w:color w:val="auto"/>
        </w:rPr>
        <w:t>GasLog Skagen</w:t>
      </w:r>
      <w:r>
        <w:rPr>
          <w:rFonts w:ascii="Times New Roman" w:cs="Times New Roman" w:eastAsia="Times New Roman" w:hAnsi="Times New Roman"/>
          <w:sz w:val="16"/>
          <w:szCs w:val="16"/>
          <w:color w:val="auto"/>
        </w:rPr>
        <w:t xml:space="preserve">, a tri-fuel diesel electric (“TFDE”) LNG carrier. In addition, GasLog extended its current charter with Clearlake Shipping Pte Ltd., a wholly owned subsidiary of Gunvor Group Ltd. (“Gunvor”) for a period of three years for the </w:t>
      </w:r>
      <w:r>
        <w:rPr>
          <w:rFonts w:ascii="Times New Roman" w:cs="Times New Roman" w:eastAsia="Times New Roman" w:hAnsi="Times New Roman"/>
          <w:sz w:val="16"/>
          <w:szCs w:val="16"/>
          <w:i w:val="1"/>
          <w:iCs w:val="1"/>
          <w:color w:val="auto"/>
        </w:rPr>
        <w:t>GasLog Salem</w:t>
      </w:r>
      <w:r>
        <w:rPr>
          <w:rFonts w:ascii="Times New Roman" w:cs="Times New Roman" w:eastAsia="Times New Roman" w:hAnsi="Times New Roman"/>
          <w:sz w:val="16"/>
          <w:szCs w:val="16"/>
          <w:color w:val="auto"/>
        </w:rPr>
        <w:t>, a TFDE LNG carrier.</w:t>
      </w:r>
    </w:p>
    <w:p>
      <w:pPr>
        <w:spacing w:after="0" w:line="17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6"/>
          <w:szCs w:val="16"/>
          <w:color w:val="auto"/>
        </w:rPr>
        <w:t xml:space="preserve">The Partnership also entered into three additional charter agreements, including: (1) a two-year time charter agreement for the </w:t>
      </w:r>
      <w:r>
        <w:rPr>
          <w:rFonts w:ascii="Times New Roman" w:cs="Times New Roman" w:eastAsia="Times New Roman" w:hAnsi="Times New Roman"/>
          <w:sz w:val="16"/>
          <w:szCs w:val="16"/>
          <w:i w:val="1"/>
          <w:iCs w:val="1"/>
          <w:color w:val="auto"/>
        </w:rPr>
        <w:t>GasLog Shanghai</w:t>
      </w:r>
      <w:r>
        <w:rPr>
          <w:rFonts w:ascii="Times New Roman" w:cs="Times New Roman" w:eastAsia="Times New Roman" w:hAnsi="Times New Roman"/>
          <w:sz w:val="16"/>
          <w:szCs w:val="16"/>
          <w:color w:val="auto"/>
        </w:rPr>
        <w:t xml:space="preserve">, a TFDE LNG carrier, with Woodside Energy Shipping Singapore Pte. Ltd. (“Woodside”), (2) a one-year time charter agreement for the </w:t>
      </w:r>
      <w:r>
        <w:rPr>
          <w:rFonts w:ascii="Times New Roman" w:cs="Times New Roman" w:eastAsia="Times New Roman" w:hAnsi="Times New Roman"/>
          <w:sz w:val="16"/>
          <w:szCs w:val="16"/>
          <w:i w:val="1"/>
          <w:iCs w:val="1"/>
          <w:color w:val="auto"/>
        </w:rPr>
        <w:t>Solaris</w:t>
      </w:r>
      <w:r>
        <w:rPr>
          <w:rFonts w:ascii="Times New Roman" w:cs="Times New Roman" w:eastAsia="Times New Roman" w:hAnsi="Times New Roman"/>
          <w:sz w:val="16"/>
          <w:szCs w:val="16"/>
          <w:color w:val="auto"/>
        </w:rPr>
        <w:t xml:space="preserve">, a TFDE LNG carrier, with an energy major and (3) a one-year time charter agreement for the </w:t>
      </w:r>
      <w:r>
        <w:rPr>
          <w:rFonts w:ascii="Times New Roman" w:cs="Times New Roman" w:eastAsia="Times New Roman" w:hAnsi="Times New Roman"/>
          <w:sz w:val="16"/>
          <w:szCs w:val="16"/>
          <w:i w:val="1"/>
          <w:iCs w:val="1"/>
          <w:color w:val="auto"/>
        </w:rPr>
        <w:t>GasLog Seattle</w:t>
      </w:r>
      <w:r>
        <w:rPr>
          <w:rFonts w:ascii="Times New Roman" w:cs="Times New Roman" w:eastAsia="Times New Roman" w:hAnsi="Times New Roman"/>
          <w:sz w:val="16"/>
          <w:szCs w:val="16"/>
          <w:color w:val="auto"/>
        </w:rPr>
        <w:t>, a TFDE LNG carrier, with a Swiss-headquartered energy trading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Dividend Declarations</w:t>
      </w:r>
    </w:p>
    <w:p>
      <w:pPr>
        <w:spacing w:after="0" w:line="237" w:lineRule="exact"/>
        <w:rPr>
          <w:sz w:val="20"/>
          <w:szCs w:val="20"/>
          <w:color w:val="auto"/>
        </w:rPr>
      </w:pPr>
    </w:p>
    <w:p>
      <w:pPr>
        <w:ind w:right="920" w:firstLine="324"/>
        <w:spacing w:after="0" w:line="298" w:lineRule="auto"/>
        <w:rPr>
          <w:sz w:val="20"/>
          <w:szCs w:val="20"/>
          <w:color w:val="auto"/>
        </w:rPr>
      </w:pPr>
      <w:r>
        <w:rPr>
          <w:rFonts w:ascii="Times New Roman" w:cs="Times New Roman" w:eastAsia="Times New Roman" w:hAnsi="Times New Roman"/>
          <w:sz w:val="16"/>
          <w:szCs w:val="16"/>
          <w:color w:val="auto"/>
        </w:rPr>
        <w:t>On November 9, 2022, the board of directors declared a quarterly cash dividend of $0.15 per common share, or $14.3 million in the aggregate, payable on November 11, 2022, to shareholders of record as of November 10,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Financial Summary</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9"/>
        </w:trPr>
        <w:tc>
          <w:tcPr>
            <w:tcW w:w="54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in thousands of U.S. dollars</w:t>
            </w: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03"/>
        </w:trPr>
        <w:tc>
          <w:tcPr>
            <w:tcW w:w="54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5"/>
        </w:trPr>
        <w:tc>
          <w:tcPr>
            <w:tcW w:w="5420" w:type="dxa"/>
            <w:vAlign w:val="bottom"/>
            <w:tcBorders>
              <w:bottom w:val="single" w:sz="8" w:color="E5FFFF"/>
            </w:tcBorders>
          </w:tcPr>
          <w:p>
            <w:pPr>
              <w:spacing w:after="0"/>
              <w:rPr>
                <w:sz w:val="18"/>
                <w:szCs w:val="18"/>
                <w:color w:val="auto"/>
              </w:rPr>
            </w:pPr>
          </w:p>
        </w:tc>
        <w:tc>
          <w:tcPr>
            <w:tcW w:w="2920" w:type="dxa"/>
            <w:vAlign w:val="bottom"/>
            <w:tcBorders>
              <w:bottom w:val="single" w:sz="8" w:color="E5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320" w:type="dxa"/>
            <w:vAlign w:val="bottom"/>
            <w:tcBorders>
              <w:bottom w:val="single" w:sz="8" w:color="E5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5FFFF"/>
            </w:tcBorders>
          </w:tcPr>
          <w:p>
            <w:pPr>
              <w:spacing w:after="0"/>
              <w:rPr>
                <w:sz w:val="18"/>
                <w:szCs w:val="18"/>
                <w:color w:val="auto"/>
              </w:rPr>
            </w:pPr>
          </w:p>
        </w:tc>
      </w:tr>
      <w:tr>
        <w:trPr>
          <w:trHeight w:val="199"/>
        </w:trPr>
        <w:tc>
          <w:tcPr>
            <w:tcW w:w="54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Revenues</w:t>
            </w:r>
          </w:p>
        </w:tc>
        <w:tc>
          <w:tcPr>
            <w:tcW w:w="2920" w:type="dxa"/>
            <w:vAlign w:val="bottom"/>
            <w:shd w:val="clear" w:color="auto" w:fill="E5FFFF"/>
          </w:tcPr>
          <w:p>
            <w:pPr>
              <w:spacing w:after="0"/>
              <w:rPr>
                <w:sz w:val="17"/>
                <w:szCs w:val="17"/>
                <w:color w:val="auto"/>
              </w:rPr>
            </w:pP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208,162</w:t>
            </w:r>
          </w:p>
        </w:tc>
        <w:tc>
          <w:tcPr>
            <w:tcW w:w="320" w:type="dxa"/>
            <w:vAlign w:val="bottom"/>
            <w:shd w:val="clear" w:color="auto" w:fill="E5FFFF"/>
          </w:tcPr>
          <w:p>
            <w:pPr>
              <w:spacing w:after="0"/>
              <w:rPr>
                <w:sz w:val="17"/>
                <w:szCs w:val="17"/>
                <w:color w:val="auto"/>
              </w:rPr>
            </w:pP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241,918</w:t>
            </w:r>
          </w:p>
        </w:tc>
        <w:tc>
          <w:tcPr>
            <w:tcW w:w="100" w:type="dxa"/>
            <w:vAlign w:val="bottom"/>
            <w:shd w:val="clear" w:color="auto" w:fill="E5FFFF"/>
          </w:tcPr>
          <w:p>
            <w:pPr>
              <w:spacing w:after="0"/>
              <w:rPr>
                <w:sz w:val="17"/>
                <w:szCs w:val="17"/>
                <w:color w:val="auto"/>
              </w:rPr>
            </w:pP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Profit for the period</w:t>
            </w: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48,542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109,123</w:t>
            </w:r>
          </w:p>
        </w:tc>
      </w:tr>
      <w:tr>
        <w:trPr>
          <w:trHeight w:val="243"/>
        </w:trPr>
        <w:tc>
          <w:tcPr>
            <w:tcW w:w="54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6"/>
                <w:szCs w:val="26"/>
                <w:color w:val="auto"/>
                <w:vertAlign w:val="superscript"/>
              </w:rPr>
              <w:t>1</w:t>
            </w:r>
          </w:p>
        </w:tc>
        <w:tc>
          <w:tcPr>
            <w:tcW w:w="30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157,722</w:t>
            </w:r>
          </w:p>
        </w:tc>
        <w:tc>
          <w:tcPr>
            <w:tcW w:w="4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192,861</w:t>
            </w:r>
          </w:p>
        </w:tc>
      </w:tr>
      <w:tr>
        <w:trPr>
          <w:trHeight w:val="244"/>
        </w:trPr>
        <w:tc>
          <w:tcPr>
            <w:tcW w:w="5420" w:type="dxa"/>
            <w:vAlign w:val="bottom"/>
          </w:tcPr>
          <w:p>
            <w:pPr>
              <w:spacing w:after="0" w:line="245" w:lineRule="exact"/>
              <w:rPr>
                <w:sz w:val="20"/>
                <w:szCs w:val="20"/>
                <w:color w:val="auto"/>
              </w:rPr>
            </w:pPr>
            <w:r>
              <w:rPr>
                <w:rFonts w:ascii="Times New Roman" w:cs="Times New Roman" w:eastAsia="Times New Roman" w:hAnsi="Times New Roman"/>
                <w:sz w:val="16"/>
                <w:szCs w:val="16"/>
                <w:color w:val="auto"/>
              </w:rPr>
              <w:t>Adjusted Profit</w:t>
            </w:r>
            <w:r>
              <w:rPr>
                <w:rFonts w:ascii="Times New Roman" w:cs="Times New Roman" w:eastAsia="Times New Roman" w:hAnsi="Times New Roman"/>
                <w:sz w:val="26"/>
                <w:szCs w:val="26"/>
                <w:color w:val="auto"/>
                <w:vertAlign w:val="superscript"/>
              </w:rPr>
              <w:t>1</w:t>
            </w: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60,183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84,762</w:t>
            </w:r>
          </w:p>
        </w:tc>
      </w:tr>
    </w:tbl>
    <w:p>
      <w:pPr>
        <w:spacing w:after="0" w:line="62" w:lineRule="exact"/>
        <w:rPr>
          <w:sz w:val="20"/>
          <w:szCs w:val="20"/>
          <w:color w:val="auto"/>
        </w:rPr>
      </w:pPr>
    </w:p>
    <w:p>
      <w:pPr>
        <w:jc w:val="both"/>
        <w:ind w:right="20" w:firstLine="48"/>
        <w:spacing w:after="0" w:line="181" w:lineRule="auto"/>
        <w:tabs>
          <w:tab w:leader="none" w:pos="142" w:val="left"/>
        </w:tabs>
        <w:numPr>
          <w:ilvl w:val="0"/>
          <w:numId w:val="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3"/>
          <w:szCs w:val="13"/>
          <w:color w:val="auto"/>
        </w:rPr>
        <w:t>Adjusted EBITDA and Adjusted Profit are non-GAAP financial measures and should not be used in isolation or as substitutes for GasLog’s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 at the end of this press release.</w:t>
      </w:r>
    </w:p>
    <w:p>
      <w:pPr>
        <w:spacing w:after="0" w:line="193" w:lineRule="exact"/>
        <w:rPr>
          <w:sz w:val="20"/>
          <w:szCs w:val="20"/>
          <w:color w:val="auto"/>
        </w:rPr>
      </w:pPr>
    </w:p>
    <w:p>
      <w:pPr>
        <w:ind w:right="60" w:firstLine="324"/>
        <w:spacing w:after="0" w:line="271" w:lineRule="auto"/>
        <w:rPr>
          <w:sz w:val="20"/>
          <w:szCs w:val="20"/>
          <w:color w:val="auto"/>
        </w:rPr>
      </w:pPr>
      <w:r>
        <w:rPr>
          <w:rFonts w:ascii="Times New Roman" w:cs="Times New Roman" w:eastAsia="Times New Roman" w:hAnsi="Times New Roman"/>
          <w:sz w:val="16"/>
          <w:szCs w:val="16"/>
          <w:color w:val="auto"/>
        </w:rPr>
        <w:t xml:space="preserve">There were 3,199 available days for the quarter ended September 30, 2022, as compared to 3,096 available days for the quarter ended September 30, 2021. Available days represent total calendar days in the period after deducting off-hire days where vessels are undergoing dry-dockings and unavailable days (for example, days before and after a dry-docking where the vessel has limited practical ability for chartering opportunities). The increase in available days was mainly driven by the decrease in off-hire days for scheduled dry-dockings (65 dry-docking off-hire days in the three-month period ended September 30, 2021 compared to nil dry-docking off-hire days in the three-month period ended September 30, 2022) and the delivery of the GasLog wholly owned vessel, the </w:t>
      </w:r>
      <w:r>
        <w:rPr>
          <w:rFonts w:ascii="Times New Roman" w:cs="Times New Roman" w:eastAsia="Times New Roman" w:hAnsi="Times New Roman"/>
          <w:sz w:val="16"/>
          <w:szCs w:val="16"/>
          <w:i w:val="1"/>
          <w:iCs w:val="1"/>
          <w:color w:val="auto"/>
        </w:rPr>
        <w:t>GasLog Winchester</w:t>
      </w:r>
      <w:r>
        <w:rPr>
          <w:rFonts w:ascii="Times New Roman" w:cs="Times New Roman" w:eastAsia="Times New Roman" w:hAnsi="Times New Roman"/>
          <w:sz w:val="16"/>
          <w:szCs w:val="16"/>
          <w:color w:val="auto"/>
        </w:rPr>
        <w:t xml:space="preserve"> on August 24, 2021, partially offset by a decrease of available days due to the sale of the </w:t>
      </w:r>
      <w:r>
        <w:rPr>
          <w:rFonts w:ascii="Times New Roman" w:cs="Times New Roman" w:eastAsia="Times New Roman" w:hAnsi="Times New Roman"/>
          <w:sz w:val="16"/>
          <w:szCs w:val="16"/>
          <w:i w:val="1"/>
          <w:iCs w:val="1"/>
          <w:color w:val="auto"/>
        </w:rPr>
        <w:t>Methane Shirley Elizabeth</w:t>
      </w:r>
      <w:r>
        <w:rPr>
          <w:rFonts w:ascii="Times New Roman" w:cs="Times New Roman" w:eastAsia="Times New Roman" w:hAnsi="Times New Roman"/>
          <w:sz w:val="16"/>
          <w:szCs w:val="16"/>
          <w:color w:val="auto"/>
        </w:rPr>
        <w:t xml:space="preserve"> in September 2022.</w:t>
      </w:r>
    </w:p>
    <w:p>
      <w:pPr>
        <w:spacing w:after="0" w:line="184" w:lineRule="exact"/>
        <w:rPr>
          <w:sz w:val="20"/>
          <w:szCs w:val="20"/>
          <w:color w:val="auto"/>
        </w:rPr>
      </w:pPr>
    </w:p>
    <w:p>
      <w:pPr>
        <w:ind w:right="20" w:firstLine="324"/>
        <w:spacing w:after="0" w:line="275" w:lineRule="auto"/>
        <w:rPr>
          <w:sz w:val="20"/>
          <w:szCs w:val="20"/>
          <w:color w:val="auto"/>
        </w:rPr>
      </w:pPr>
      <w:r>
        <w:rPr>
          <w:rFonts w:ascii="Times New Roman" w:cs="Times New Roman" w:eastAsia="Times New Roman" w:hAnsi="Times New Roman"/>
          <w:sz w:val="16"/>
          <w:szCs w:val="16"/>
          <w:color w:val="auto"/>
        </w:rPr>
        <w:t xml:space="preserve">Revenues were $241.9 million for the quarter ended September 30, 2022 ($208.2 million for the quarter ended September 30, 2021). The increase in revenues is mainly attributable to our vessels operating in the spot market in the third quarter of 2022, in line with the improvement of the LNG shipping spot and term market. There was also an increase from the aforementioned delivery of the </w:t>
      </w:r>
      <w:r>
        <w:rPr>
          <w:rFonts w:ascii="Times New Roman" w:cs="Times New Roman" w:eastAsia="Times New Roman" w:hAnsi="Times New Roman"/>
          <w:sz w:val="16"/>
          <w:szCs w:val="16"/>
          <w:i w:val="1"/>
          <w:iCs w:val="1"/>
          <w:color w:val="auto"/>
        </w:rPr>
        <w:t>GasLog Winchester</w:t>
      </w:r>
      <w:r>
        <w:rPr>
          <w:rFonts w:ascii="Times New Roman" w:cs="Times New Roman" w:eastAsia="Times New Roman" w:hAnsi="Times New Roman"/>
          <w:sz w:val="16"/>
          <w:szCs w:val="16"/>
          <w:color w:val="auto"/>
        </w:rPr>
        <w:t>, combined with 65 fewer off-hire days due to the scheduled dry-dockings of four of our vessels in the third quarter of 2021 (compared to nil in the same period in 2022).</w:t>
      </w:r>
    </w:p>
    <w:p>
      <w:pPr>
        <w:spacing w:after="0" w:line="183" w:lineRule="exact"/>
        <w:rPr>
          <w:sz w:val="20"/>
          <w:szCs w:val="20"/>
          <w:color w:val="auto"/>
        </w:rPr>
      </w:pPr>
    </w:p>
    <w:p>
      <w:pPr>
        <w:ind w:right="220" w:firstLine="324"/>
        <w:spacing w:after="0" w:line="298" w:lineRule="auto"/>
        <w:rPr>
          <w:sz w:val="20"/>
          <w:szCs w:val="20"/>
          <w:color w:val="auto"/>
        </w:rPr>
      </w:pPr>
      <w:r>
        <w:rPr>
          <w:rFonts w:ascii="Times New Roman" w:cs="Times New Roman" w:eastAsia="Times New Roman" w:hAnsi="Times New Roman"/>
          <w:sz w:val="16"/>
          <w:szCs w:val="16"/>
          <w:color w:val="auto"/>
        </w:rPr>
        <w:t>Profit for the period was $109.1 million for the quarter ended September 30, 2022 ($48.5 million for the quarter ended September 30, 2021). The increase in profit is mainly attributable to the increase in revenues, as discussed above, the increase in gain on derivatives, mainly due to the</w:t>
      </w: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4" w:name="page5"/>
    <w:bookmarkEnd w:id="4"/>
    <w:p>
      <w:pPr>
        <w:ind w:right="240"/>
        <w:spacing w:after="0" w:line="281" w:lineRule="auto"/>
        <w:rPr>
          <w:sz w:val="20"/>
          <w:szCs w:val="20"/>
          <w:color w:val="auto"/>
        </w:rPr>
      </w:pPr>
      <w:r>
        <w:rPr>
          <w:rFonts w:ascii="Times New Roman" w:cs="Times New Roman" w:eastAsia="Times New Roman" w:hAnsi="Times New Roman"/>
          <w:sz w:val="16"/>
          <w:szCs w:val="16"/>
          <w:color w:val="auto"/>
        </w:rPr>
        <w:t>increase in the mark-to-market valuation of derivatives held for trading which were carried at fair value through profit or loss and the impairment loss recognized in September 2021, partially offset by an increase in financial costs which is mainly attributable to the increase in interest expense on loans, mainly due to an increase in the London Interbank Offered Rate (“LIBOR”) rates in the third quarter of 2022 as compared to the same period in 2021.</w:t>
      </w:r>
    </w:p>
    <w:p>
      <w:pPr>
        <w:spacing w:after="0" w:line="177" w:lineRule="exact"/>
        <w:rPr>
          <w:sz w:val="20"/>
          <w:szCs w:val="20"/>
          <w:color w:val="auto"/>
        </w:rPr>
      </w:pPr>
    </w:p>
    <w:p>
      <w:pPr>
        <w:ind w:right="40" w:firstLine="324"/>
        <w:spacing w:after="0" w:line="271" w:lineRule="auto"/>
        <w:rPr>
          <w:sz w:val="20"/>
          <w:szCs w:val="20"/>
          <w:color w:val="auto"/>
        </w:rPr>
      </w:pPr>
      <w:r>
        <w:rPr>
          <w:rFonts w:ascii="Times New Roman" w:cs="Times New Roman" w:eastAsia="Times New Roman" w:hAnsi="Times New Roman"/>
          <w:sz w:val="16"/>
          <w:szCs w:val="16"/>
          <w:color w:val="auto"/>
        </w:rPr>
        <w:t xml:space="preserve">Adjusted EBITDA was $192.9 million for the quarter ended September 30, 2022 ($157.7 million for the quarter ended September 30, 2021). The increase in Adjusted EBITDA is mainly attributable to the increase in revenues of $33.7 million, as discussed above and the decrease of $2.8 million in vessel operating and supervision costs, partially offset by an increase of $0.6 million in voyage expenses mainly due to the increased utilization of the Group’s vessels. The decrease in vessel operating and supervision costs is mainly attributable to a decrease in technical maintenance expenses and crew costs. Both decreases were largely related to the favorable movement of the Euro (“EUR”)/U.S. Dollar (“USD”) exchange rate in the third quarter of 2022 compared to the same period in 2021, partially offset by an increase in operating costs due to inflationary pressures, as well as due to the in-house management of the </w:t>
      </w:r>
      <w:r>
        <w:rPr>
          <w:rFonts w:ascii="Times New Roman" w:cs="Times New Roman" w:eastAsia="Times New Roman" w:hAnsi="Times New Roman"/>
          <w:sz w:val="16"/>
          <w:szCs w:val="16"/>
          <w:i w:val="1"/>
          <w:iCs w:val="1"/>
          <w:color w:val="auto"/>
        </w:rPr>
        <w:t>Solaris</w:t>
      </w:r>
      <w:r>
        <w:rPr>
          <w:rFonts w:ascii="Times New Roman" w:cs="Times New Roman" w:eastAsia="Times New Roman" w:hAnsi="Times New Roman"/>
          <w:sz w:val="16"/>
          <w:szCs w:val="16"/>
          <w:color w:val="auto"/>
        </w:rPr>
        <w:t xml:space="preserve"> (after its redelivery into our managed fleet on April 6, 2022).</w:t>
      </w:r>
    </w:p>
    <w:p>
      <w:pPr>
        <w:spacing w:after="0" w:line="184" w:lineRule="exact"/>
        <w:rPr>
          <w:sz w:val="20"/>
          <w:szCs w:val="20"/>
          <w:color w:val="auto"/>
        </w:rPr>
      </w:pPr>
    </w:p>
    <w:p>
      <w:pPr>
        <w:ind w:right="100" w:firstLine="324"/>
        <w:spacing w:after="0" w:line="298" w:lineRule="auto"/>
        <w:rPr>
          <w:sz w:val="20"/>
          <w:szCs w:val="20"/>
          <w:color w:val="auto"/>
        </w:rPr>
      </w:pPr>
      <w:r>
        <w:rPr>
          <w:rFonts w:ascii="Times New Roman" w:cs="Times New Roman" w:eastAsia="Times New Roman" w:hAnsi="Times New Roman"/>
          <w:sz w:val="16"/>
          <w:szCs w:val="16"/>
          <w:color w:val="auto"/>
        </w:rPr>
        <w:t>Adjusted Profit was $84.8 million for the quarter ended September 30, 2022 ($60.2 million for the quarter ended September 30, 2021). The increase in Adjusted Profit is mainly attributable to the increase in Adjusted EBITDA partially offset by the increase in financial costs, as discussed above.</w:t>
      </w:r>
    </w:p>
    <w:p>
      <w:pPr>
        <w:spacing w:after="0" w:line="164" w:lineRule="exact"/>
        <w:rPr>
          <w:sz w:val="20"/>
          <w:szCs w:val="20"/>
          <w:color w:val="auto"/>
        </w:rPr>
      </w:pPr>
    </w:p>
    <w:p>
      <w:pPr>
        <w:ind w:right="40" w:firstLine="324"/>
        <w:spacing w:after="0" w:line="298" w:lineRule="auto"/>
        <w:rPr>
          <w:sz w:val="20"/>
          <w:szCs w:val="20"/>
          <w:color w:val="auto"/>
        </w:rPr>
      </w:pPr>
      <w:r>
        <w:rPr>
          <w:rFonts w:ascii="Times New Roman" w:cs="Times New Roman" w:eastAsia="Times New Roman" w:hAnsi="Times New Roman"/>
          <w:sz w:val="16"/>
          <w:szCs w:val="16"/>
          <w:color w:val="auto"/>
        </w:rPr>
        <w:t>As of September 30, 2022, GasLog had $284.0 million of cash and cash equivalents. An amount of $25.0 million of time deposits with an original duration greater than three months was classified under short-term cash deposits.</w:t>
      </w:r>
    </w:p>
    <w:p>
      <w:pPr>
        <w:spacing w:after="0" w:line="164" w:lineRule="exact"/>
        <w:rPr>
          <w:sz w:val="20"/>
          <w:szCs w:val="20"/>
          <w:color w:val="auto"/>
        </w:rPr>
      </w:pPr>
    </w:p>
    <w:p>
      <w:pPr>
        <w:ind w:right="140" w:firstLine="324"/>
        <w:spacing w:after="0" w:line="271" w:lineRule="auto"/>
        <w:rPr>
          <w:sz w:val="20"/>
          <w:szCs w:val="20"/>
          <w:color w:val="auto"/>
        </w:rPr>
      </w:pPr>
      <w:r>
        <w:rPr>
          <w:rFonts w:ascii="Times New Roman" w:cs="Times New Roman" w:eastAsia="Times New Roman" w:hAnsi="Times New Roman"/>
          <w:sz w:val="16"/>
          <w:szCs w:val="16"/>
          <w:color w:val="auto"/>
        </w:rPr>
        <w:t xml:space="preserve">As of September 30, 2022, GasLog had an aggregate of $3.3 billion of indebtedness outstanding under its credit facilities and bond agreements, of which $329.2 million is repayable within one year. Current bank borrowings include an amount of $32.6 million with respect to the associated debt of the Steam vessel </w:t>
      </w:r>
      <w:r>
        <w:rPr>
          <w:rFonts w:ascii="Times New Roman" w:cs="Times New Roman" w:eastAsia="Times New Roman" w:hAnsi="Times New Roman"/>
          <w:sz w:val="16"/>
          <w:szCs w:val="16"/>
          <w:i w:val="1"/>
          <w:iCs w:val="1"/>
          <w:color w:val="auto"/>
        </w:rPr>
        <w:t>Methane Heather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Sally</w:t>
      </w:r>
      <w:r>
        <w:rPr>
          <w:rFonts w:ascii="Times New Roman" w:cs="Times New Roman" w:eastAsia="Times New Roman" w:hAnsi="Times New Roman"/>
          <w:sz w:val="16"/>
          <w:szCs w:val="16"/>
          <w:color w:val="auto"/>
        </w:rPr>
        <w:t>, classified as held for sale as of September 30, 2022 and $80.9 million with respect to the associated debt of the</w:t>
      </w:r>
      <w:r>
        <w:rPr>
          <w:rFonts w:ascii="Times New Roman" w:cs="Times New Roman" w:eastAsia="Times New Roman" w:hAnsi="Times New Roman"/>
          <w:sz w:val="16"/>
          <w:szCs w:val="16"/>
          <w:i w:val="1"/>
          <w:iCs w:val="1"/>
          <w:color w:val="auto"/>
        </w:rPr>
        <w:t xml:space="preserve"> GasLog Chelsea</w:t>
      </w:r>
      <w:r>
        <w:rPr>
          <w:rFonts w:ascii="Times New Roman" w:cs="Times New Roman" w:eastAsia="Times New Roman" w:hAnsi="Times New Roman"/>
          <w:sz w:val="16"/>
          <w:szCs w:val="16"/>
          <w:color w:val="auto"/>
        </w:rPr>
        <w:t>, which GasLog agreed to sell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following its conversion to a Floating Storage Regasification Unit (“FSRU”). The sale is expected to be completed by the fourth quarter of 2023. Furthermore, as of September 30, 2022, we also had an aggregate of $330.0 million of lease liabilities mainly related to the sale and leaseback of the </w:t>
      </w:r>
      <w:r>
        <w:rPr>
          <w:rFonts w:ascii="Times New Roman" w:cs="Times New Roman" w:eastAsia="Times New Roman" w:hAnsi="Times New Roman"/>
          <w:sz w:val="16"/>
          <w:szCs w:val="16"/>
          <w:i w:val="1"/>
          <w:iCs w:val="1"/>
          <w:color w:val="auto"/>
        </w:rPr>
        <w:t>Methane Julia Louise,</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Shanghai</w:t>
      </w:r>
      <w:r>
        <w:rPr>
          <w:rFonts w:ascii="Times New Roman" w:cs="Times New Roman" w:eastAsia="Times New Roman" w:hAnsi="Times New Roman"/>
          <w:sz w:val="16"/>
          <w:szCs w:val="16"/>
          <w:color w:val="auto"/>
        </w:rPr>
        <w:t>, the</w:t>
      </w:r>
      <w:r>
        <w:rPr>
          <w:rFonts w:ascii="Times New Roman" w:cs="Times New Roman" w:eastAsia="Times New Roman" w:hAnsi="Times New Roman"/>
          <w:sz w:val="16"/>
          <w:szCs w:val="16"/>
          <w:i w:val="1"/>
          <w:iCs w:val="1"/>
          <w:color w:val="auto"/>
        </w:rPr>
        <w:t xml:space="preserve"> GasLog Salem </w:t>
      </w:r>
      <w:r>
        <w:rPr>
          <w:rFonts w:ascii="Times New Roman" w:cs="Times New Roman" w:eastAsia="Times New Roman" w:hAnsi="Times New Roman"/>
          <w:sz w:val="16"/>
          <w:szCs w:val="16"/>
          <w:color w:val="auto"/>
        </w:rPr>
        <w:t>and the</w:t>
      </w:r>
      <w:r>
        <w:rPr>
          <w:rFonts w:ascii="Times New Roman" w:cs="Times New Roman" w:eastAsia="Times New Roman" w:hAnsi="Times New Roman"/>
          <w:sz w:val="16"/>
          <w:szCs w:val="16"/>
          <w:i w:val="1"/>
          <w:iCs w:val="1"/>
          <w:color w:val="auto"/>
        </w:rPr>
        <w:t xml:space="preserve"> GasLog Skagen, </w:t>
      </w:r>
      <w:r>
        <w:rPr>
          <w:rFonts w:ascii="Times New Roman" w:cs="Times New Roman" w:eastAsia="Times New Roman" w:hAnsi="Times New Roman"/>
          <w:sz w:val="16"/>
          <w:szCs w:val="16"/>
          <w:color w:val="auto"/>
        </w:rPr>
        <w:t>of which $41.5 million is payable within one year.</w:t>
      </w:r>
    </w:p>
    <w:p>
      <w:pPr>
        <w:spacing w:after="0" w:line="184" w:lineRule="exact"/>
        <w:rPr>
          <w:sz w:val="20"/>
          <w:szCs w:val="20"/>
          <w:color w:val="auto"/>
        </w:rPr>
      </w:pPr>
    </w:p>
    <w:p>
      <w:pPr>
        <w:ind w:right="400" w:firstLine="324"/>
        <w:spacing w:after="0" w:line="298" w:lineRule="auto"/>
        <w:rPr>
          <w:sz w:val="20"/>
          <w:szCs w:val="20"/>
          <w:color w:val="auto"/>
        </w:rPr>
      </w:pPr>
      <w:r>
        <w:rPr>
          <w:rFonts w:ascii="Times New Roman" w:cs="Times New Roman" w:eastAsia="Times New Roman" w:hAnsi="Times New Roman"/>
          <w:sz w:val="16"/>
          <w:szCs w:val="16"/>
          <w:color w:val="auto"/>
        </w:rPr>
        <w:t>As of September 30, 2022, the total remaining balance of the contract prices of the four LNG carriers on order was $742.0 million, of which $144.4 million is due within 12 months and will be funded by the four sale and lease-back agreements entered into on July 6, 2022 with CMB Financial Leasing Co., Ltd. (“CMBFL”).</w:t>
      </w:r>
    </w:p>
    <w:p>
      <w:pPr>
        <w:spacing w:after="0" w:line="164" w:lineRule="exact"/>
        <w:rPr>
          <w:sz w:val="20"/>
          <w:szCs w:val="20"/>
          <w:color w:val="auto"/>
        </w:rPr>
      </w:pPr>
    </w:p>
    <w:p>
      <w:pPr>
        <w:ind w:right="240" w:firstLine="324"/>
        <w:spacing w:after="0" w:line="281" w:lineRule="auto"/>
        <w:rPr>
          <w:sz w:val="20"/>
          <w:szCs w:val="20"/>
          <w:color w:val="auto"/>
        </w:rPr>
      </w:pPr>
      <w:r>
        <w:rPr>
          <w:rFonts w:ascii="Times New Roman" w:cs="Times New Roman" w:eastAsia="Times New Roman" w:hAnsi="Times New Roman"/>
          <w:sz w:val="16"/>
          <w:szCs w:val="16"/>
          <w:color w:val="auto"/>
        </w:rPr>
        <w:t>As of September 30, 2022, GasLog’s current assets totaled $452.4 million, while current liabilities totaled $540.4 million, resulting in a negative working capital position of $88.0 million. Current liabilities include $68.8 million of unearned revenue in relation to hires received in advance of September 30, 2022 (which represents a non-cash liability that will be recognized as revenue in October 2022 as the services are rendered).</w:t>
      </w:r>
    </w:p>
    <w:p>
      <w:pPr>
        <w:spacing w:after="0" w:line="177"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6"/>
          <w:szCs w:val="16"/>
          <w:color w:val="auto"/>
        </w:rPr>
        <w:t>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We anticipate that our primary sources of funds for at least twelve months from the date of this report will be available cash, cash from operations, existing and future borrowings and future sale and lease-back transactions. We believe that these anticipated sources of funds will be sufficient to meet our liquidity needs and to comply with our financial covenants for at least twelve months from the date of this report and therefore it is appropriate to prepare the financial statements on a going concern basis.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GasLog Partners Preference Unit Repurchase Programme</w:t>
      </w:r>
    </w:p>
    <w:p>
      <w:pPr>
        <w:spacing w:after="0" w:line="237"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6"/>
          <w:szCs w:val="16"/>
          <w:color w:val="auto"/>
        </w:rPr>
        <w:t>In the quarter ended September 30, 2022, under the GasLog Partners’ preference unit repurchase programme (the “Repurchase Programme”) established in March 2021, GasLog Partners repurchased and cancelled 233,179 8.625% Series A Cumulative Redeemable Perpetual Fixed to Floating Rate Preference Units (the “Series A Preference Units”), 198,746 8.200% Series B Cumulative Redeemable Perpetual Fixed to Floating Rate Preference Units (the “Series B Preference Units”) and 178,544 8.500% Series C Cumulative Redeemable Perpetual Fixed to Floating Rate Preference Units (the “Series C Preference Units”). The aggregate amount paid under the Repurchase Programme in the third quarter of 2022 was $20.0 million, including commissions and an amount of $4.7 million relating to 90,841 Series A Preference Units, 70,000 Series B Preference Units and 27,000 Series C Preference Units, which were repurchased during the third quarter of 2022 and cancelled post quarter-end, on October 3, 2022.</w:t>
      </w:r>
    </w:p>
    <w:p>
      <w:pPr>
        <w:spacing w:after="0" w:line="392" w:lineRule="exact"/>
        <w:rPr>
          <w:sz w:val="20"/>
          <w:szCs w:val="20"/>
          <w:color w:val="auto"/>
        </w:rPr>
      </w:pPr>
    </w:p>
    <w:p>
      <w:pPr>
        <w:jc w:val="both"/>
        <w:ind w:firstLine="324"/>
        <w:spacing w:after="0" w:line="298" w:lineRule="auto"/>
        <w:rPr>
          <w:sz w:val="20"/>
          <w:szCs w:val="20"/>
          <w:color w:val="auto"/>
        </w:rPr>
      </w:pPr>
      <w:r>
        <w:rPr>
          <w:rFonts w:ascii="Times New Roman" w:cs="Times New Roman" w:eastAsia="Times New Roman" w:hAnsi="Times New Roman"/>
          <w:sz w:val="16"/>
          <w:szCs w:val="16"/>
          <w:color w:val="auto"/>
        </w:rPr>
        <w:t>Since inception of the Repurchase Programme in March 2021, and up to September 30, 2022, GasLog Partners has repurchased and cancelled 313,779 Series A Preference Units, 975,966 Series B Preference Units and 794,143 Series C Preference Units, for an aggregate amount of $57.1 million, including commissions.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Fleet Update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Owned Fleet</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As of November 10, 2022, our wholly owned fleet consisted of the following vessels: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Cargo</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Charterer (for</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Charter</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Optional</w:t>
            </w:r>
          </w:p>
        </w:tc>
        <w:tc>
          <w:tcPr>
            <w:tcW w:w="0" w:type="dxa"/>
            <w:vAlign w:val="bottom"/>
          </w:tcPr>
          <w:p>
            <w:pPr>
              <w:spacing w:after="0"/>
              <w:rPr>
                <w:sz w:val="1"/>
                <w:szCs w:val="1"/>
                <w:color w:val="auto"/>
              </w:rPr>
            </w:pPr>
          </w:p>
        </w:tc>
      </w:tr>
      <w:tr>
        <w:trPr>
          <w:trHeight w:val="164"/>
        </w:trPr>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ind w:left="500"/>
              <w:spacing w:after="0" w:line="165" w:lineRule="exact"/>
              <w:rPr>
                <w:sz w:val="20"/>
                <w:szCs w:val="20"/>
                <w:color w:val="auto"/>
              </w:rPr>
            </w:pPr>
            <w:r>
              <w:rPr>
                <w:rFonts w:ascii="Times New Roman" w:cs="Times New Roman" w:eastAsia="Times New Roman" w:hAnsi="Times New Roman"/>
                <w:sz w:val="16"/>
                <w:szCs w:val="16"/>
                <w:b w:val="1"/>
                <w:bCs w:val="1"/>
                <w:color w:val="auto"/>
              </w:rPr>
              <w:t>Year</w:t>
            </w:r>
          </w:p>
        </w:tc>
        <w:tc>
          <w:tcPr>
            <w:tcW w:w="1540" w:type="dxa"/>
            <w:vAlign w:val="bottom"/>
            <w:gridSpan w:val="2"/>
          </w:tcPr>
          <w:p>
            <w:pPr>
              <w:jc w:val="center"/>
              <w:ind w:right="200"/>
              <w:spacing w:after="0" w:line="165" w:lineRule="exact"/>
              <w:rPr>
                <w:sz w:val="20"/>
                <w:szCs w:val="20"/>
                <w:color w:val="auto"/>
              </w:rPr>
            </w:pPr>
            <w:r>
              <w:rPr>
                <w:rFonts w:ascii="Times New Roman" w:cs="Times New Roman" w:eastAsia="Times New Roman" w:hAnsi="Times New Roman"/>
                <w:sz w:val="16"/>
                <w:szCs w:val="16"/>
                <w:b w:val="1"/>
                <w:bCs w:val="1"/>
                <w:color w:val="auto"/>
              </w:rPr>
              <w:t>Capacity</w:t>
            </w:r>
          </w:p>
        </w:tc>
        <w:tc>
          <w:tcPr>
            <w:tcW w:w="156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6"/>
                <w:szCs w:val="16"/>
                <w:b w:val="1"/>
                <w:bCs w:val="1"/>
                <w:color w:val="auto"/>
              </w:rPr>
              <w:t>contracts of more</w:t>
            </w: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Vessel Name</w:t>
            </w:r>
          </w:p>
        </w:tc>
        <w:tc>
          <w:tcPr>
            <w:tcW w:w="220" w:type="dxa"/>
            <w:vAlign w:val="bottom"/>
            <w:tcBorders>
              <w:bottom w:val="single" w:sz="8" w:color="E5FFFF"/>
            </w:tcBorders>
          </w:tcPr>
          <w:p>
            <w:pPr>
              <w:spacing w:after="0"/>
              <w:rPr>
                <w:sz w:val="22"/>
                <w:szCs w:val="22"/>
                <w:color w:val="auto"/>
              </w:rPr>
            </w:pPr>
          </w:p>
        </w:tc>
        <w:tc>
          <w:tcPr>
            <w:tcW w:w="13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Built</w:t>
            </w:r>
          </w:p>
        </w:tc>
        <w:tc>
          <w:tcPr>
            <w:tcW w:w="220" w:type="dxa"/>
            <w:vAlign w:val="bottom"/>
            <w:tcBorders>
              <w:bottom w:val="single" w:sz="8" w:color="E5FFFF"/>
            </w:tcBorders>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(cbm)</w:t>
            </w:r>
          </w:p>
        </w:tc>
        <w:tc>
          <w:tcPr>
            <w:tcW w:w="220" w:type="dxa"/>
            <w:vAlign w:val="bottom"/>
            <w:tcBorders>
              <w:bottom w:val="single" w:sz="8" w:color="E5FFFF"/>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than six months)</w:t>
            </w:r>
          </w:p>
        </w:tc>
        <w:tc>
          <w:tcPr>
            <w:tcW w:w="220" w:type="dxa"/>
            <w:vAlign w:val="bottom"/>
            <w:tcBorders>
              <w:bottom w:val="single" w:sz="8" w:color="E5FFFF"/>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Propulsion</w:t>
            </w:r>
          </w:p>
        </w:tc>
        <w:tc>
          <w:tcPr>
            <w:tcW w:w="220" w:type="dxa"/>
            <w:vAlign w:val="bottom"/>
            <w:tcBorders>
              <w:bottom w:val="single" w:sz="8" w:color="E5FFFF"/>
            </w:tcBorders>
          </w:tcPr>
          <w:p>
            <w:pPr>
              <w:spacing w:after="0"/>
              <w:rPr>
                <w:sz w:val="22"/>
                <w:szCs w:val="22"/>
                <w:color w:val="auto"/>
              </w:rPr>
            </w:pPr>
          </w:p>
        </w:tc>
        <w:tc>
          <w:tcPr>
            <w:tcW w:w="132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7"/>
              </w:rPr>
              <w:t>Expiration</w:t>
            </w:r>
            <w:r>
              <w:rPr>
                <w:rFonts w:ascii="Times New Roman" w:cs="Times New Roman" w:eastAsia="Times New Roman" w:hAnsi="Times New Roman"/>
                <w:sz w:val="26"/>
                <w:szCs w:val="26"/>
                <w:b w:val="1"/>
                <w:bCs w:val="1"/>
                <w:color w:val="auto"/>
                <w:w w:val="97"/>
                <w:vertAlign w:val="superscript"/>
              </w:rPr>
              <w:t>(1)</w:t>
            </w:r>
          </w:p>
        </w:tc>
        <w:tc>
          <w:tcPr>
            <w:tcW w:w="220" w:type="dxa"/>
            <w:vAlign w:val="bottom"/>
            <w:tcBorders>
              <w:bottom w:val="single" w:sz="8" w:color="E5FFFF"/>
            </w:tcBorders>
          </w:tcPr>
          <w:p>
            <w:pPr>
              <w:spacing w:after="0"/>
              <w:rPr>
                <w:sz w:val="22"/>
                <w:szCs w:val="22"/>
                <w:color w:val="auto"/>
              </w:rPr>
            </w:pPr>
          </w:p>
        </w:tc>
        <w:tc>
          <w:tcPr>
            <w:tcW w:w="134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4"/>
              </w:rPr>
              <w:t>Period</w:t>
            </w:r>
            <w:r>
              <w:rPr>
                <w:rFonts w:ascii="Times New Roman" w:cs="Times New Roman" w:eastAsia="Times New Roman" w:hAnsi="Times New Roman"/>
                <w:sz w:val="26"/>
                <w:szCs w:val="26"/>
                <w:b w:val="1"/>
                <w:bCs w:val="1"/>
                <w:color w:val="auto"/>
                <w:w w:val="94"/>
                <w:vertAlign w:val="superscript"/>
              </w:rPr>
              <w:t>(2)</w:t>
            </w:r>
          </w:p>
        </w:tc>
        <w:tc>
          <w:tcPr>
            <w:tcW w:w="0" w:type="dxa"/>
            <w:vAlign w:val="bottom"/>
          </w:tcPr>
          <w:p>
            <w:pPr>
              <w:spacing w:after="0"/>
              <w:rPr>
                <w:sz w:val="1"/>
                <w:szCs w:val="1"/>
                <w:color w:val="auto"/>
              </w:rPr>
            </w:pPr>
          </w:p>
        </w:tc>
      </w:tr>
      <w:tr>
        <w:trPr>
          <w:trHeight w:val="236"/>
        </w:trPr>
        <w:tc>
          <w:tcPr>
            <w:tcW w:w="220" w:type="dxa"/>
            <w:vAlign w:val="bottom"/>
            <w:shd w:val="clear" w:color="auto" w:fill="E5FF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1</w:t>
            </w:r>
          </w:p>
        </w:tc>
        <w:tc>
          <w:tcPr>
            <w:tcW w:w="1700" w:type="dxa"/>
            <w:vAlign w:val="bottom"/>
            <w:shd w:val="clear" w:color="auto" w:fill="E5FFFF"/>
          </w:tcPr>
          <w:p>
            <w:pPr>
              <w:ind w:left="140"/>
              <w:spacing w:after="0" w:line="236" w:lineRule="exact"/>
              <w:rPr>
                <w:sz w:val="20"/>
                <w:szCs w:val="20"/>
                <w:color w:val="auto"/>
              </w:rPr>
            </w:pPr>
            <w:r>
              <w:rPr>
                <w:rFonts w:ascii="Times New Roman" w:cs="Times New Roman" w:eastAsia="Times New Roman" w:hAnsi="Times New Roman"/>
                <w:sz w:val="16"/>
                <w:szCs w:val="16"/>
                <w:i w:val="1"/>
                <w:iCs w:val="1"/>
                <w:color w:val="auto"/>
              </w:rPr>
              <w:t xml:space="preserve">GasLog Chelsea </w:t>
            </w:r>
            <w:r>
              <w:rPr>
                <w:rFonts w:ascii="Times New Roman" w:cs="Times New Roman" w:eastAsia="Times New Roman" w:hAnsi="Times New Roman"/>
                <w:sz w:val="26"/>
                <w:szCs w:val="26"/>
                <w:color w:val="auto"/>
                <w:vertAlign w:val="superscript"/>
              </w:rPr>
              <w:t>(3)</w:t>
            </w:r>
          </w:p>
        </w:tc>
        <w:tc>
          <w:tcPr>
            <w:tcW w:w="220" w:type="dxa"/>
            <w:vAlign w:val="bottom"/>
            <w:shd w:val="clear" w:color="auto" w:fill="E5FFFF"/>
          </w:tcPr>
          <w:p>
            <w:pPr>
              <w:spacing w:after="0"/>
              <w:rPr>
                <w:sz w:val="20"/>
                <w:szCs w:val="20"/>
                <w:color w:val="auto"/>
              </w:rPr>
            </w:pPr>
          </w:p>
        </w:tc>
        <w:tc>
          <w:tcPr>
            <w:tcW w:w="1340" w:type="dxa"/>
            <w:vAlign w:val="bottom"/>
            <w:shd w:val="clear" w:color="auto" w:fill="E5FFFF"/>
          </w:tcPr>
          <w:p>
            <w:pPr>
              <w:ind w:left="500"/>
              <w:spacing w:after="0"/>
              <w:rPr>
                <w:sz w:val="20"/>
                <w:szCs w:val="20"/>
                <w:color w:val="auto"/>
              </w:rPr>
            </w:pPr>
            <w:r>
              <w:rPr>
                <w:rFonts w:ascii="Times New Roman" w:cs="Times New Roman" w:eastAsia="Times New Roman" w:hAnsi="Times New Roman"/>
                <w:sz w:val="16"/>
                <w:szCs w:val="16"/>
                <w:color w:val="auto"/>
              </w:rPr>
              <w:t>2010</w:t>
            </w:r>
          </w:p>
        </w:tc>
        <w:tc>
          <w:tcPr>
            <w:tcW w:w="220" w:type="dxa"/>
            <w:vAlign w:val="bottom"/>
            <w:shd w:val="clear" w:color="auto" w:fill="E5FFFF"/>
          </w:tcPr>
          <w:p>
            <w:pPr>
              <w:spacing w:after="0"/>
              <w:rPr>
                <w:sz w:val="20"/>
                <w:szCs w:val="20"/>
                <w:color w:val="auto"/>
              </w:rPr>
            </w:pPr>
          </w:p>
        </w:tc>
        <w:tc>
          <w:tcPr>
            <w:tcW w:w="132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153,600</w:t>
            </w:r>
          </w:p>
        </w:tc>
        <w:tc>
          <w:tcPr>
            <w:tcW w:w="220" w:type="dxa"/>
            <w:vAlign w:val="bottom"/>
            <w:shd w:val="clear" w:color="auto" w:fill="E5FFFF"/>
          </w:tcPr>
          <w:p>
            <w:pPr>
              <w:spacing w:after="0"/>
              <w:rPr>
                <w:sz w:val="20"/>
                <w:szCs w:val="20"/>
                <w:color w:val="auto"/>
              </w:rPr>
            </w:pPr>
          </w:p>
        </w:tc>
        <w:tc>
          <w:tcPr>
            <w:tcW w:w="1560" w:type="dxa"/>
            <w:vAlign w:val="bottom"/>
            <w:gridSpan w:val="2"/>
            <w:shd w:val="clear" w:color="auto" w:fill="E5FFFF"/>
          </w:tcPr>
          <w:p>
            <w:pPr>
              <w:jc w:val="center"/>
              <w:ind w:right="200"/>
              <w:spacing w:after="0"/>
              <w:rPr>
                <w:sz w:val="20"/>
                <w:szCs w:val="20"/>
                <w:color w:val="auto"/>
              </w:rPr>
            </w:pPr>
            <w:r>
              <w:rPr>
                <w:rFonts w:ascii="Times New Roman" w:cs="Times New Roman" w:eastAsia="Times New Roman" w:hAnsi="Times New Roman"/>
                <w:sz w:val="16"/>
                <w:szCs w:val="16"/>
                <w:color w:val="auto"/>
              </w:rPr>
              <w:t>Spot Market</w:t>
            </w:r>
          </w:p>
        </w:tc>
        <w:tc>
          <w:tcPr>
            <w:tcW w:w="1560" w:type="dxa"/>
            <w:vAlign w:val="bottom"/>
            <w:gridSpan w:val="2"/>
            <w:shd w:val="clear" w:color="auto" w:fill="E5FFFF"/>
          </w:tcPr>
          <w:p>
            <w:pPr>
              <w:jc w:val="center"/>
              <w:ind w:right="240"/>
              <w:spacing w:after="0"/>
              <w:rPr>
                <w:sz w:val="20"/>
                <w:szCs w:val="20"/>
                <w:color w:val="auto"/>
              </w:rPr>
            </w:pPr>
            <w:r>
              <w:rPr>
                <w:rFonts w:ascii="Times New Roman" w:cs="Times New Roman" w:eastAsia="Times New Roman" w:hAnsi="Times New Roman"/>
                <w:sz w:val="16"/>
                <w:szCs w:val="16"/>
                <w:color w:val="auto"/>
                <w:w w:val="99"/>
              </w:rPr>
              <w:t>TFDE</w:t>
            </w:r>
          </w:p>
        </w:tc>
        <w:tc>
          <w:tcPr>
            <w:tcW w:w="1540" w:type="dxa"/>
            <w:vAlign w:val="bottom"/>
            <w:gridSpan w:val="2"/>
            <w:shd w:val="clear" w:color="auto" w:fill="E5FF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9"/>
        </w:trPr>
        <w:tc>
          <w:tcPr>
            <w:tcW w:w="2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2</w:t>
            </w:r>
          </w:p>
        </w:tc>
        <w:tc>
          <w:tcPr>
            <w:tcW w:w="1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i w:val="1"/>
                <w:iCs w:val="1"/>
                <w:color w:val="auto"/>
              </w:rPr>
              <w:t xml:space="preserve">GasLog Singapore </w:t>
            </w:r>
            <w:r>
              <w:rPr>
                <w:rFonts w:ascii="Times New Roman" w:cs="Times New Roman" w:eastAsia="Times New Roman" w:hAnsi="Times New Roman"/>
                <w:sz w:val="26"/>
                <w:szCs w:val="26"/>
                <w:color w:val="auto"/>
                <w:vertAlign w:val="superscript"/>
              </w:rPr>
              <w:t>(4)</w:t>
            </w: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Singapore LNG</w:t>
            </w: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220" w:type="dxa"/>
            <w:vAlign w:val="bottom"/>
            <w:vMerge w:val="continue"/>
          </w:tcPr>
          <w:p>
            <w:pPr>
              <w:spacing w:after="0"/>
              <w:rPr>
                <w:sz w:val="24"/>
                <w:szCs w:val="24"/>
                <w:color w:val="auto"/>
              </w:rPr>
            </w:pPr>
          </w:p>
        </w:tc>
        <w:tc>
          <w:tcPr>
            <w:tcW w:w="1920" w:type="dxa"/>
            <w:vAlign w:val="bottom"/>
            <w:gridSpan w:val="2"/>
            <w:vMerge w:val="continue"/>
          </w:tcPr>
          <w:p>
            <w:pPr>
              <w:spacing w:after="0"/>
              <w:rPr>
                <w:sz w:val="24"/>
                <w:szCs w:val="24"/>
                <w:color w:val="auto"/>
              </w:rPr>
            </w:pPr>
          </w:p>
        </w:tc>
        <w:tc>
          <w:tcPr>
            <w:tcW w:w="13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2010</w:t>
            </w:r>
          </w:p>
        </w:tc>
        <w:tc>
          <w:tcPr>
            <w:tcW w:w="2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220" w:type="dxa"/>
            <w:vAlign w:val="bottom"/>
          </w:tcPr>
          <w:p>
            <w:pPr>
              <w:spacing w:after="0"/>
              <w:rPr>
                <w:sz w:val="24"/>
                <w:szCs w:val="24"/>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Corporation</w:t>
            </w: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TFDE</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March 2023</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509"/>
        </w:trPr>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9"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2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3</w:t>
            </w:r>
          </w:p>
        </w:tc>
        <w:tc>
          <w:tcPr>
            <w:tcW w:w="1900" w:type="dxa"/>
            <w:vAlign w:val="bottom"/>
            <w:shd w:val="clear" w:color="auto" w:fill="E5FFFF"/>
          </w:tcPr>
          <w:p>
            <w:pPr>
              <w:ind w:left="100"/>
              <w:spacing w:after="0"/>
              <w:rPr>
                <w:sz w:val="20"/>
                <w:szCs w:val="20"/>
                <w:color w:val="auto"/>
              </w:rPr>
            </w:pPr>
            <w:r>
              <w:rPr>
                <w:rFonts w:ascii="Times New Roman" w:cs="Times New Roman" w:eastAsia="Times New Roman" w:hAnsi="Times New Roman"/>
                <w:sz w:val="16"/>
                <w:szCs w:val="16"/>
                <w:i w:val="1"/>
                <w:iCs w:val="1"/>
                <w:color w:val="auto"/>
              </w:rPr>
              <w:t xml:space="preserve">GasLog Athens </w:t>
            </w:r>
            <w:r>
              <w:rPr>
                <w:rFonts w:ascii="Times New Roman" w:cs="Times New Roman" w:eastAsia="Times New Roman" w:hAnsi="Times New Roman"/>
                <w:sz w:val="26"/>
                <w:szCs w:val="26"/>
                <w:i w:val="1"/>
                <w:iCs w:val="1"/>
                <w:color w:val="auto"/>
                <w:vertAlign w:val="superscript"/>
              </w:rPr>
              <w:t>(5)</w:t>
            </w:r>
          </w:p>
        </w:tc>
        <w:tc>
          <w:tcPr>
            <w:tcW w:w="1320" w:type="dxa"/>
            <w:vAlign w:val="bottom"/>
            <w:shd w:val="clear" w:color="auto" w:fill="E5FFFF"/>
          </w:tcPr>
          <w:p>
            <w:pPr>
              <w:jc w:val="right"/>
              <w:ind w:right="479"/>
              <w:spacing w:after="0"/>
              <w:rPr>
                <w:sz w:val="20"/>
                <w:szCs w:val="20"/>
                <w:color w:val="auto"/>
              </w:rPr>
            </w:pPr>
            <w:r>
              <w:rPr>
                <w:rFonts w:ascii="Times New Roman" w:cs="Times New Roman" w:eastAsia="Times New Roman" w:hAnsi="Times New Roman"/>
                <w:sz w:val="16"/>
                <w:szCs w:val="16"/>
                <w:color w:val="auto"/>
              </w:rPr>
              <w:t>2006</w:t>
            </w:r>
          </w:p>
        </w:tc>
        <w:tc>
          <w:tcPr>
            <w:tcW w:w="1380" w:type="dxa"/>
            <w:vAlign w:val="bottom"/>
            <w:shd w:val="clear" w:color="auto" w:fill="E5FFFF"/>
          </w:tcPr>
          <w:p>
            <w:pPr>
              <w:jc w:val="right"/>
              <w:ind w:right="219"/>
              <w:spacing w:after="0"/>
              <w:rPr>
                <w:sz w:val="20"/>
                <w:szCs w:val="20"/>
                <w:color w:val="auto"/>
              </w:rPr>
            </w:pPr>
            <w:r>
              <w:rPr>
                <w:rFonts w:ascii="Times New Roman" w:cs="Times New Roman" w:eastAsia="Times New Roman" w:hAnsi="Times New Roman"/>
                <w:sz w:val="16"/>
                <w:szCs w:val="16"/>
                <w:color w:val="auto"/>
              </w:rPr>
              <w:t>145,000</w:t>
            </w:r>
          </w:p>
        </w:tc>
        <w:tc>
          <w:tcPr>
            <w:tcW w:w="1860" w:type="dxa"/>
            <w:vAlign w:val="bottom"/>
            <w:shd w:val="clear" w:color="auto" w:fill="E5FFFF"/>
          </w:tcPr>
          <w:p>
            <w:pPr>
              <w:jc w:val="center"/>
              <w:ind w:left="39"/>
              <w:spacing w:after="0"/>
              <w:rPr>
                <w:sz w:val="20"/>
                <w:szCs w:val="20"/>
                <w:color w:val="auto"/>
              </w:rPr>
            </w:pPr>
            <w:r>
              <w:rPr>
                <w:rFonts w:ascii="Times New Roman" w:cs="Times New Roman" w:eastAsia="Times New Roman" w:hAnsi="Times New Roman"/>
                <w:sz w:val="16"/>
                <w:szCs w:val="16"/>
                <w:color w:val="auto"/>
                <w:w w:val="93"/>
              </w:rPr>
              <w:t xml:space="preserve">DESFA </w:t>
            </w:r>
            <w:r>
              <w:rPr>
                <w:rFonts w:ascii="Times New Roman" w:cs="Times New Roman" w:eastAsia="Times New Roman" w:hAnsi="Times New Roman"/>
                <w:sz w:val="26"/>
                <w:szCs w:val="26"/>
                <w:color w:val="auto"/>
                <w:w w:val="93"/>
                <w:vertAlign w:val="superscript"/>
              </w:rPr>
              <w:t>(5)</w:t>
            </w:r>
          </w:p>
        </w:tc>
        <w:tc>
          <w:tcPr>
            <w:tcW w:w="156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Steam</w:t>
            </w:r>
          </w:p>
        </w:tc>
        <w:tc>
          <w:tcPr>
            <w:tcW w:w="152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June 2023</w:t>
            </w:r>
          </w:p>
        </w:tc>
        <w:tc>
          <w:tcPr>
            <w:tcW w:w="142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2"/>
              </w:rPr>
              <w:t xml:space="preserve">2023 </w:t>
            </w:r>
            <w:r>
              <w:rPr>
                <w:rFonts w:ascii="Times New Roman" w:cs="Times New Roman" w:eastAsia="Times New Roman" w:hAnsi="Times New Roman"/>
                <w:sz w:val="26"/>
                <w:szCs w:val="26"/>
                <w:color w:val="auto"/>
                <w:w w:val="92"/>
                <w:vertAlign w:val="superscript"/>
              </w:rPr>
              <w:t>(5)</w:t>
            </w: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6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Multinational Oil and</w:t>
            </w:r>
          </w:p>
        </w:tc>
        <w:tc>
          <w:tcPr>
            <w:tcW w:w="15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4</w:t>
            </w:r>
          </w:p>
        </w:tc>
        <w:tc>
          <w:tcPr>
            <w:tcW w:w="190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GasLog Savannah</w:t>
            </w:r>
          </w:p>
        </w:tc>
        <w:tc>
          <w:tcPr>
            <w:tcW w:w="132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2010</w:t>
            </w:r>
          </w:p>
        </w:tc>
        <w:tc>
          <w:tcPr>
            <w:tcW w:w="1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155,000</w:t>
            </w:r>
          </w:p>
        </w:tc>
        <w:tc>
          <w:tcPr>
            <w:tcW w:w="1860" w:type="dxa"/>
            <w:vAlign w:val="bottom"/>
          </w:tcPr>
          <w:p>
            <w:pPr>
              <w:jc w:val="center"/>
              <w:ind w:left="59"/>
              <w:spacing w:after="0" w:line="256" w:lineRule="exact"/>
              <w:rPr>
                <w:sz w:val="20"/>
                <w:szCs w:val="20"/>
                <w:color w:val="auto"/>
              </w:rPr>
            </w:pPr>
            <w:r>
              <w:rPr>
                <w:rFonts w:ascii="Times New Roman" w:cs="Times New Roman" w:eastAsia="Times New Roman" w:hAnsi="Times New Roman"/>
                <w:sz w:val="16"/>
                <w:szCs w:val="16"/>
                <w:color w:val="auto"/>
                <w:w w:val="97"/>
              </w:rPr>
              <w:t xml:space="preserve">Gas Company </w:t>
            </w:r>
            <w:r>
              <w:rPr>
                <w:rFonts w:ascii="Times New Roman" w:cs="Times New Roman" w:eastAsia="Times New Roman" w:hAnsi="Times New Roman"/>
                <w:sz w:val="26"/>
                <w:szCs w:val="26"/>
                <w:color w:val="auto"/>
                <w:w w:val="97"/>
                <w:vertAlign w:val="superscript"/>
              </w:rPr>
              <w:t>(6)</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TFDE</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2024</w:t>
            </w:r>
          </w:p>
        </w:tc>
        <w:tc>
          <w:tcPr>
            <w:tcW w:w="1420" w:type="dxa"/>
            <w:vAlign w:val="bottom"/>
          </w:tcPr>
          <w:p>
            <w:pPr>
              <w:jc w:val="center"/>
              <w:spacing w:after="0" w:line="256" w:lineRule="exact"/>
              <w:rPr>
                <w:sz w:val="20"/>
                <w:szCs w:val="20"/>
                <w:color w:val="auto"/>
              </w:rPr>
            </w:pPr>
            <w:r>
              <w:rPr>
                <w:rFonts w:ascii="Times New Roman" w:cs="Times New Roman" w:eastAsia="Times New Roman" w:hAnsi="Times New Roman"/>
                <w:sz w:val="16"/>
                <w:szCs w:val="16"/>
                <w:color w:val="auto"/>
                <w:w w:val="92"/>
              </w:rPr>
              <w:t xml:space="preserve">2025 </w:t>
            </w:r>
            <w:r>
              <w:rPr>
                <w:rFonts w:ascii="Times New Roman" w:cs="Times New Roman" w:eastAsia="Times New Roman" w:hAnsi="Times New Roman"/>
                <w:sz w:val="26"/>
                <w:szCs w:val="26"/>
                <w:color w:val="auto"/>
                <w:w w:val="92"/>
                <w:vertAlign w:val="superscript"/>
              </w:rPr>
              <w:t>(6)</w:t>
            </w:r>
          </w:p>
        </w:tc>
        <w:tc>
          <w:tcPr>
            <w:tcW w:w="0" w:type="dxa"/>
            <w:vAlign w:val="bottom"/>
          </w:tcPr>
          <w:p>
            <w:pPr>
              <w:spacing w:after="0"/>
              <w:rPr>
                <w:sz w:val="1"/>
                <w:szCs w:val="1"/>
                <w:color w:val="auto"/>
              </w:rPr>
            </w:pPr>
          </w:p>
        </w:tc>
      </w:tr>
      <w:tr>
        <w:trPr>
          <w:trHeight w:val="243"/>
        </w:trPr>
        <w:tc>
          <w:tcPr>
            <w:tcW w:w="2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5</w:t>
            </w:r>
          </w:p>
        </w:tc>
        <w:tc>
          <w:tcPr>
            <w:tcW w:w="1900" w:type="dxa"/>
            <w:vAlign w:val="bottom"/>
            <w:shd w:val="clear" w:color="auto" w:fill="E5FFFF"/>
          </w:tcPr>
          <w:p>
            <w:pPr>
              <w:ind w:left="100"/>
              <w:spacing w:after="0"/>
              <w:rPr>
                <w:sz w:val="20"/>
                <w:szCs w:val="20"/>
                <w:color w:val="auto"/>
              </w:rPr>
            </w:pPr>
            <w:r>
              <w:rPr>
                <w:rFonts w:ascii="Times New Roman" w:cs="Times New Roman" w:eastAsia="Times New Roman" w:hAnsi="Times New Roman"/>
                <w:sz w:val="16"/>
                <w:szCs w:val="16"/>
                <w:i w:val="1"/>
                <w:iCs w:val="1"/>
                <w:color w:val="auto"/>
              </w:rPr>
              <w:t>GasLog Saratoga</w:t>
            </w:r>
          </w:p>
        </w:tc>
        <w:tc>
          <w:tcPr>
            <w:tcW w:w="1320" w:type="dxa"/>
            <w:vAlign w:val="bottom"/>
            <w:shd w:val="clear" w:color="auto" w:fill="E5FFFF"/>
          </w:tcPr>
          <w:p>
            <w:pPr>
              <w:jc w:val="right"/>
              <w:ind w:right="479"/>
              <w:spacing w:after="0"/>
              <w:rPr>
                <w:sz w:val="20"/>
                <w:szCs w:val="20"/>
                <w:color w:val="auto"/>
              </w:rPr>
            </w:pPr>
            <w:r>
              <w:rPr>
                <w:rFonts w:ascii="Times New Roman" w:cs="Times New Roman" w:eastAsia="Times New Roman" w:hAnsi="Times New Roman"/>
                <w:sz w:val="16"/>
                <w:szCs w:val="16"/>
                <w:color w:val="auto"/>
              </w:rPr>
              <w:t>2014</w:t>
            </w:r>
          </w:p>
        </w:tc>
        <w:tc>
          <w:tcPr>
            <w:tcW w:w="1380" w:type="dxa"/>
            <w:vAlign w:val="bottom"/>
            <w:shd w:val="clear" w:color="auto" w:fill="E5FFFF"/>
          </w:tcPr>
          <w:p>
            <w:pPr>
              <w:jc w:val="right"/>
              <w:ind w:right="219"/>
              <w:spacing w:after="0"/>
              <w:rPr>
                <w:sz w:val="20"/>
                <w:szCs w:val="20"/>
                <w:color w:val="auto"/>
              </w:rPr>
            </w:pPr>
            <w:r>
              <w:rPr>
                <w:rFonts w:ascii="Times New Roman" w:cs="Times New Roman" w:eastAsia="Times New Roman" w:hAnsi="Times New Roman"/>
                <w:sz w:val="16"/>
                <w:szCs w:val="16"/>
                <w:color w:val="auto"/>
              </w:rPr>
              <w:t>155,000</w:t>
            </w:r>
          </w:p>
        </w:tc>
        <w:tc>
          <w:tcPr>
            <w:tcW w:w="1860" w:type="dxa"/>
            <w:vAlign w:val="bottom"/>
            <w:shd w:val="clear" w:color="auto" w:fill="E5FFFF"/>
          </w:tcPr>
          <w:p>
            <w:pPr>
              <w:jc w:val="center"/>
              <w:ind w:left="39"/>
              <w:spacing w:after="0" w:line="243" w:lineRule="exact"/>
              <w:rPr>
                <w:sz w:val="20"/>
                <w:szCs w:val="20"/>
                <w:color w:val="auto"/>
              </w:rPr>
            </w:pPr>
            <w:r>
              <w:rPr>
                <w:rFonts w:ascii="Times New Roman" w:cs="Times New Roman" w:eastAsia="Times New Roman" w:hAnsi="Times New Roman"/>
                <w:sz w:val="16"/>
                <w:szCs w:val="16"/>
                <w:color w:val="auto"/>
                <w:w w:val="93"/>
              </w:rPr>
              <w:t xml:space="preserve">Mitsui </w:t>
            </w:r>
            <w:r>
              <w:rPr>
                <w:rFonts w:ascii="Times New Roman" w:cs="Times New Roman" w:eastAsia="Times New Roman" w:hAnsi="Times New Roman"/>
                <w:sz w:val="26"/>
                <w:szCs w:val="26"/>
                <w:color w:val="auto"/>
                <w:w w:val="93"/>
                <w:vertAlign w:val="superscript"/>
              </w:rPr>
              <w:t>(7)</w:t>
            </w:r>
          </w:p>
        </w:tc>
        <w:tc>
          <w:tcPr>
            <w:tcW w:w="156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TFDE</w:t>
            </w:r>
          </w:p>
        </w:tc>
        <w:tc>
          <w:tcPr>
            <w:tcW w:w="152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September 2024</w:t>
            </w:r>
          </w:p>
        </w:tc>
        <w:tc>
          <w:tcPr>
            <w:tcW w:w="1420" w:type="dxa"/>
            <w:vAlign w:val="bottom"/>
            <w:shd w:val="clear" w:color="auto" w:fill="E5FF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Dual-fuel medium</w:t>
            </w:r>
          </w:p>
        </w:tc>
        <w:tc>
          <w:tcPr>
            <w:tcW w:w="15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6</w:t>
            </w:r>
          </w:p>
        </w:tc>
        <w:tc>
          <w:tcPr>
            <w:tcW w:w="1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i w:val="1"/>
                <w:iCs w:val="1"/>
                <w:color w:val="auto"/>
              </w:rPr>
              <w:t>GasLog Genoa</w:t>
            </w: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60" w:type="dxa"/>
            <w:vAlign w:val="bottom"/>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4"/>
              </w:rPr>
              <w:t xml:space="preserve">Shell </w:t>
            </w:r>
            <w:r>
              <w:rPr>
                <w:rFonts w:ascii="Times New Roman" w:cs="Times New Roman" w:eastAsia="Times New Roman" w:hAnsi="Times New Roman"/>
                <w:sz w:val="26"/>
                <w:szCs w:val="26"/>
                <w:color w:val="auto"/>
                <w:w w:val="94"/>
                <w:vertAlign w:val="superscript"/>
              </w:rPr>
              <w:t>(8)</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speed propulsion</w:t>
            </w:r>
          </w:p>
        </w:tc>
        <w:tc>
          <w:tcPr>
            <w:tcW w:w="1520" w:type="dxa"/>
            <w:vAlign w:val="bottom"/>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 xml:space="preserve">2030-2033 </w:t>
            </w:r>
            <w:r>
              <w:rPr>
                <w:rFonts w:ascii="Times New Roman" w:cs="Times New Roman" w:eastAsia="Times New Roman" w:hAnsi="Times New Roman"/>
                <w:sz w:val="26"/>
                <w:szCs w:val="26"/>
                <w:color w:val="auto"/>
                <w:w w:val="96"/>
                <w:vertAlign w:val="superscript"/>
              </w:rPr>
              <w:t>(8)</w:t>
            </w: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1900" w:type="dxa"/>
            <w:vAlign w:val="bottom"/>
            <w:vMerge w:val="continue"/>
          </w:tcPr>
          <w:p>
            <w:pPr>
              <w:spacing w:after="0"/>
              <w:rPr>
                <w:sz w:val="18"/>
                <w:szCs w:val="18"/>
                <w:color w:val="auto"/>
              </w:rPr>
            </w:pPr>
          </w:p>
        </w:tc>
        <w:tc>
          <w:tcPr>
            <w:tcW w:w="132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2018</w:t>
            </w:r>
          </w:p>
        </w:tc>
        <w:tc>
          <w:tcPr>
            <w:tcW w:w="1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174,000</w:t>
            </w:r>
          </w:p>
        </w:tc>
        <w:tc>
          <w:tcPr>
            <w:tcW w:w="1860" w:type="dxa"/>
            <w:vAlign w:val="bottom"/>
            <w:vMerge w:val="continue"/>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(“X-DF”)</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2027</w:t>
            </w: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7</w:t>
            </w:r>
          </w:p>
        </w:tc>
        <w:tc>
          <w:tcPr>
            <w:tcW w:w="1900" w:type="dxa"/>
            <w:vAlign w:val="bottom"/>
            <w:shd w:val="clear" w:color="auto" w:fill="E5FFFF"/>
          </w:tcPr>
          <w:p>
            <w:pPr>
              <w:ind w:left="100"/>
              <w:spacing w:after="0"/>
              <w:rPr>
                <w:sz w:val="20"/>
                <w:szCs w:val="20"/>
                <w:color w:val="auto"/>
              </w:rPr>
            </w:pPr>
            <w:r>
              <w:rPr>
                <w:rFonts w:ascii="Times New Roman" w:cs="Times New Roman" w:eastAsia="Times New Roman" w:hAnsi="Times New Roman"/>
                <w:sz w:val="16"/>
                <w:szCs w:val="16"/>
                <w:i w:val="1"/>
                <w:iCs w:val="1"/>
                <w:color w:val="auto"/>
              </w:rPr>
              <w:t>GasLog Windsor</w:t>
            </w:r>
          </w:p>
        </w:tc>
        <w:tc>
          <w:tcPr>
            <w:tcW w:w="1320" w:type="dxa"/>
            <w:vAlign w:val="bottom"/>
            <w:shd w:val="clear" w:color="auto" w:fill="E5FFFF"/>
          </w:tcPr>
          <w:p>
            <w:pPr>
              <w:jc w:val="right"/>
              <w:ind w:right="479"/>
              <w:spacing w:after="0"/>
              <w:rPr>
                <w:sz w:val="20"/>
                <w:szCs w:val="20"/>
                <w:color w:val="auto"/>
              </w:rPr>
            </w:pPr>
            <w:r>
              <w:rPr>
                <w:rFonts w:ascii="Times New Roman" w:cs="Times New Roman" w:eastAsia="Times New Roman" w:hAnsi="Times New Roman"/>
                <w:sz w:val="16"/>
                <w:szCs w:val="16"/>
                <w:color w:val="auto"/>
              </w:rPr>
              <w:t>2020</w:t>
            </w:r>
          </w:p>
        </w:tc>
        <w:tc>
          <w:tcPr>
            <w:tcW w:w="1380" w:type="dxa"/>
            <w:vAlign w:val="bottom"/>
            <w:shd w:val="clear" w:color="auto" w:fill="E5FFFF"/>
          </w:tcPr>
          <w:p>
            <w:pPr>
              <w:jc w:val="right"/>
              <w:ind w:right="219"/>
              <w:spacing w:after="0"/>
              <w:rPr>
                <w:sz w:val="20"/>
                <w:szCs w:val="20"/>
                <w:color w:val="auto"/>
              </w:rPr>
            </w:pPr>
            <w:r>
              <w:rPr>
                <w:rFonts w:ascii="Times New Roman" w:cs="Times New Roman" w:eastAsia="Times New Roman" w:hAnsi="Times New Roman"/>
                <w:sz w:val="16"/>
                <w:szCs w:val="16"/>
                <w:color w:val="auto"/>
              </w:rPr>
              <w:t>180,000</w:t>
            </w:r>
          </w:p>
        </w:tc>
        <w:tc>
          <w:tcPr>
            <w:tcW w:w="1860" w:type="dxa"/>
            <w:vAlign w:val="bottom"/>
            <w:shd w:val="clear" w:color="auto" w:fill="E5FFFF"/>
          </w:tcPr>
          <w:p>
            <w:pPr>
              <w:jc w:val="center"/>
              <w:ind w:left="39"/>
              <w:spacing w:after="0" w:line="243" w:lineRule="exact"/>
              <w:rPr>
                <w:sz w:val="20"/>
                <w:szCs w:val="20"/>
                <w:color w:val="auto"/>
              </w:rPr>
            </w:pPr>
            <w:r>
              <w:rPr>
                <w:rFonts w:ascii="Times New Roman" w:cs="Times New Roman" w:eastAsia="Times New Roman" w:hAnsi="Times New Roman"/>
                <w:sz w:val="16"/>
                <w:szCs w:val="16"/>
                <w:color w:val="auto"/>
                <w:w w:val="94"/>
              </w:rPr>
              <w:t xml:space="preserve">Centrica </w:t>
            </w:r>
            <w:r>
              <w:rPr>
                <w:rFonts w:ascii="Times New Roman" w:cs="Times New Roman" w:eastAsia="Times New Roman" w:hAnsi="Times New Roman"/>
                <w:sz w:val="26"/>
                <w:szCs w:val="26"/>
                <w:color w:val="auto"/>
                <w:w w:val="94"/>
                <w:vertAlign w:val="superscript"/>
              </w:rPr>
              <w:t>(9)</w:t>
            </w:r>
          </w:p>
        </w:tc>
        <w:tc>
          <w:tcPr>
            <w:tcW w:w="156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6"/>
              </w:rPr>
              <w:t>X-DF</w:t>
            </w:r>
          </w:p>
        </w:tc>
        <w:tc>
          <w:tcPr>
            <w:tcW w:w="152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April 2027</w:t>
            </w:r>
          </w:p>
        </w:tc>
        <w:tc>
          <w:tcPr>
            <w:tcW w:w="142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6"/>
              </w:rPr>
              <w:t xml:space="preserve">2029-2033 </w:t>
            </w:r>
            <w:r>
              <w:rPr>
                <w:rFonts w:ascii="Times New Roman" w:cs="Times New Roman" w:eastAsia="Times New Roman" w:hAnsi="Times New Roman"/>
                <w:sz w:val="26"/>
                <w:szCs w:val="26"/>
                <w:color w:val="auto"/>
                <w:w w:val="96"/>
                <w:vertAlign w:val="superscript"/>
              </w:rPr>
              <w:t>(9)</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8</w:t>
            </w:r>
          </w:p>
        </w:tc>
        <w:tc>
          <w:tcPr>
            <w:tcW w:w="190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GasLog Westminster</w:t>
            </w:r>
          </w:p>
        </w:tc>
        <w:tc>
          <w:tcPr>
            <w:tcW w:w="132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2020</w:t>
            </w:r>
          </w:p>
        </w:tc>
        <w:tc>
          <w:tcPr>
            <w:tcW w:w="1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180,000</w:t>
            </w:r>
          </w:p>
        </w:tc>
        <w:tc>
          <w:tcPr>
            <w:tcW w:w="186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Centrica</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X-DF</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2027</w:t>
            </w:r>
          </w:p>
        </w:tc>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6"/>
              </w:rPr>
              <w:t xml:space="preserve">2029-2033 </w:t>
            </w:r>
            <w:r>
              <w:rPr>
                <w:rFonts w:ascii="Times New Roman" w:cs="Times New Roman" w:eastAsia="Times New Roman" w:hAnsi="Times New Roman"/>
                <w:sz w:val="26"/>
                <w:szCs w:val="26"/>
                <w:color w:val="auto"/>
                <w:w w:val="96"/>
                <w:vertAlign w:val="superscript"/>
              </w:rPr>
              <w:t>(9)</w:t>
            </w:r>
          </w:p>
        </w:tc>
        <w:tc>
          <w:tcPr>
            <w:tcW w:w="0" w:type="dxa"/>
            <w:vAlign w:val="bottom"/>
          </w:tcPr>
          <w:p>
            <w:pPr>
              <w:spacing w:after="0"/>
              <w:rPr>
                <w:sz w:val="1"/>
                <w:szCs w:val="1"/>
                <w:color w:val="auto"/>
              </w:rPr>
            </w:pPr>
          </w:p>
        </w:tc>
      </w:tr>
      <w:tr>
        <w:trPr>
          <w:trHeight w:val="243"/>
        </w:trPr>
        <w:tc>
          <w:tcPr>
            <w:tcW w:w="2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9</w:t>
            </w:r>
          </w:p>
        </w:tc>
        <w:tc>
          <w:tcPr>
            <w:tcW w:w="1900" w:type="dxa"/>
            <w:vAlign w:val="bottom"/>
            <w:shd w:val="clear" w:color="auto" w:fill="E5FFFF"/>
          </w:tcPr>
          <w:p>
            <w:pPr>
              <w:ind w:left="100"/>
              <w:spacing w:after="0"/>
              <w:rPr>
                <w:sz w:val="20"/>
                <w:szCs w:val="20"/>
                <w:color w:val="auto"/>
              </w:rPr>
            </w:pPr>
            <w:r>
              <w:rPr>
                <w:rFonts w:ascii="Times New Roman" w:cs="Times New Roman" w:eastAsia="Times New Roman" w:hAnsi="Times New Roman"/>
                <w:sz w:val="16"/>
                <w:szCs w:val="16"/>
                <w:i w:val="1"/>
                <w:iCs w:val="1"/>
                <w:color w:val="auto"/>
              </w:rPr>
              <w:t>GasLog Georgetown</w:t>
            </w:r>
          </w:p>
        </w:tc>
        <w:tc>
          <w:tcPr>
            <w:tcW w:w="1320" w:type="dxa"/>
            <w:vAlign w:val="bottom"/>
            <w:shd w:val="clear" w:color="auto" w:fill="E5FFFF"/>
          </w:tcPr>
          <w:p>
            <w:pPr>
              <w:jc w:val="right"/>
              <w:ind w:right="479"/>
              <w:spacing w:after="0"/>
              <w:rPr>
                <w:sz w:val="20"/>
                <w:szCs w:val="20"/>
                <w:color w:val="auto"/>
              </w:rPr>
            </w:pPr>
            <w:r>
              <w:rPr>
                <w:rFonts w:ascii="Times New Roman" w:cs="Times New Roman" w:eastAsia="Times New Roman" w:hAnsi="Times New Roman"/>
                <w:sz w:val="16"/>
                <w:szCs w:val="16"/>
                <w:color w:val="auto"/>
              </w:rPr>
              <w:t>2020</w:t>
            </w:r>
          </w:p>
        </w:tc>
        <w:tc>
          <w:tcPr>
            <w:tcW w:w="1380" w:type="dxa"/>
            <w:vAlign w:val="bottom"/>
            <w:shd w:val="clear" w:color="auto" w:fill="E5FFFF"/>
          </w:tcPr>
          <w:p>
            <w:pPr>
              <w:jc w:val="right"/>
              <w:ind w:right="219"/>
              <w:spacing w:after="0"/>
              <w:rPr>
                <w:sz w:val="20"/>
                <w:szCs w:val="20"/>
                <w:color w:val="auto"/>
              </w:rPr>
            </w:pPr>
            <w:r>
              <w:rPr>
                <w:rFonts w:ascii="Times New Roman" w:cs="Times New Roman" w:eastAsia="Times New Roman" w:hAnsi="Times New Roman"/>
                <w:sz w:val="16"/>
                <w:szCs w:val="16"/>
                <w:color w:val="auto"/>
              </w:rPr>
              <w:t>174,000</w:t>
            </w:r>
          </w:p>
        </w:tc>
        <w:tc>
          <w:tcPr>
            <w:tcW w:w="1860" w:type="dxa"/>
            <w:vAlign w:val="bottom"/>
            <w:shd w:val="clear" w:color="auto" w:fill="E5FFFF"/>
          </w:tcPr>
          <w:p>
            <w:pPr>
              <w:jc w:val="center"/>
              <w:ind w:left="39"/>
              <w:spacing w:after="0" w:line="243" w:lineRule="exact"/>
              <w:rPr>
                <w:sz w:val="20"/>
                <w:szCs w:val="20"/>
                <w:color w:val="auto"/>
              </w:rPr>
            </w:pPr>
            <w:r>
              <w:rPr>
                <w:rFonts w:ascii="Times New Roman" w:cs="Times New Roman" w:eastAsia="Times New Roman" w:hAnsi="Times New Roman"/>
                <w:sz w:val="16"/>
                <w:szCs w:val="16"/>
                <w:color w:val="auto"/>
                <w:w w:val="94"/>
              </w:rPr>
              <w:t xml:space="preserve">Cheniere </w:t>
            </w:r>
            <w:r>
              <w:rPr>
                <w:rFonts w:ascii="Times New Roman" w:cs="Times New Roman" w:eastAsia="Times New Roman" w:hAnsi="Times New Roman"/>
                <w:sz w:val="26"/>
                <w:szCs w:val="26"/>
                <w:color w:val="auto"/>
                <w:w w:val="94"/>
                <w:vertAlign w:val="superscript"/>
              </w:rPr>
              <w:t>(10)</w:t>
            </w:r>
          </w:p>
        </w:tc>
        <w:tc>
          <w:tcPr>
            <w:tcW w:w="156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6"/>
              </w:rPr>
              <w:t>X-DF</w:t>
            </w:r>
          </w:p>
        </w:tc>
        <w:tc>
          <w:tcPr>
            <w:tcW w:w="152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November 2027</w:t>
            </w:r>
          </w:p>
        </w:tc>
        <w:tc>
          <w:tcPr>
            <w:tcW w:w="142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3"/>
              </w:rPr>
              <w:t xml:space="preserve">2030-2034 </w:t>
            </w:r>
            <w:r>
              <w:rPr>
                <w:rFonts w:ascii="Times New Roman" w:cs="Times New Roman" w:eastAsia="Times New Roman" w:hAnsi="Times New Roman"/>
                <w:sz w:val="26"/>
                <w:szCs w:val="26"/>
                <w:color w:val="auto"/>
                <w:w w:val="93"/>
                <w:vertAlign w:val="superscript"/>
              </w:rPr>
              <w:t>(10)</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10</w:t>
            </w:r>
          </w:p>
        </w:tc>
        <w:tc>
          <w:tcPr>
            <w:tcW w:w="190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GasLog Galveston</w:t>
            </w:r>
          </w:p>
        </w:tc>
        <w:tc>
          <w:tcPr>
            <w:tcW w:w="132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2021</w:t>
            </w:r>
          </w:p>
        </w:tc>
        <w:tc>
          <w:tcPr>
            <w:tcW w:w="1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174,000</w:t>
            </w:r>
          </w:p>
        </w:tc>
        <w:tc>
          <w:tcPr>
            <w:tcW w:w="186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Cheniere</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X-DF</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2028</w:t>
            </w:r>
          </w:p>
        </w:tc>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3"/>
              </w:rPr>
              <w:t xml:space="preserve">2031-2035 </w:t>
            </w:r>
            <w:r>
              <w:rPr>
                <w:rFonts w:ascii="Times New Roman" w:cs="Times New Roman" w:eastAsia="Times New Roman" w:hAnsi="Times New Roman"/>
                <w:sz w:val="26"/>
                <w:szCs w:val="26"/>
                <w:color w:val="auto"/>
                <w:w w:val="93"/>
                <w:vertAlign w:val="superscript"/>
              </w:rPr>
              <w:t>(10)</w:t>
            </w:r>
          </w:p>
        </w:tc>
        <w:tc>
          <w:tcPr>
            <w:tcW w:w="0" w:type="dxa"/>
            <w:vAlign w:val="bottom"/>
          </w:tcPr>
          <w:p>
            <w:pPr>
              <w:spacing w:after="0"/>
              <w:rPr>
                <w:sz w:val="1"/>
                <w:szCs w:val="1"/>
                <w:color w:val="auto"/>
              </w:rPr>
            </w:pPr>
          </w:p>
        </w:tc>
      </w:tr>
      <w:tr>
        <w:trPr>
          <w:trHeight w:val="243"/>
        </w:trPr>
        <w:tc>
          <w:tcPr>
            <w:tcW w:w="2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11</w:t>
            </w:r>
          </w:p>
        </w:tc>
        <w:tc>
          <w:tcPr>
            <w:tcW w:w="1900" w:type="dxa"/>
            <w:vAlign w:val="bottom"/>
            <w:shd w:val="clear" w:color="auto" w:fill="E5FFFF"/>
          </w:tcPr>
          <w:p>
            <w:pPr>
              <w:ind w:left="100"/>
              <w:spacing w:after="0"/>
              <w:rPr>
                <w:sz w:val="20"/>
                <w:szCs w:val="20"/>
                <w:color w:val="auto"/>
              </w:rPr>
            </w:pPr>
            <w:r>
              <w:rPr>
                <w:rFonts w:ascii="Times New Roman" w:cs="Times New Roman" w:eastAsia="Times New Roman" w:hAnsi="Times New Roman"/>
                <w:sz w:val="16"/>
                <w:szCs w:val="16"/>
                <w:i w:val="1"/>
                <w:iCs w:val="1"/>
                <w:color w:val="auto"/>
              </w:rPr>
              <w:t>GasLog Wellington</w:t>
            </w:r>
          </w:p>
        </w:tc>
        <w:tc>
          <w:tcPr>
            <w:tcW w:w="1320" w:type="dxa"/>
            <w:vAlign w:val="bottom"/>
            <w:shd w:val="clear" w:color="auto" w:fill="E5FFFF"/>
          </w:tcPr>
          <w:p>
            <w:pPr>
              <w:jc w:val="right"/>
              <w:ind w:right="479"/>
              <w:spacing w:after="0"/>
              <w:rPr>
                <w:sz w:val="20"/>
                <w:szCs w:val="20"/>
                <w:color w:val="auto"/>
              </w:rPr>
            </w:pPr>
            <w:r>
              <w:rPr>
                <w:rFonts w:ascii="Times New Roman" w:cs="Times New Roman" w:eastAsia="Times New Roman" w:hAnsi="Times New Roman"/>
                <w:sz w:val="16"/>
                <w:szCs w:val="16"/>
                <w:color w:val="auto"/>
              </w:rPr>
              <w:t>2021</w:t>
            </w:r>
          </w:p>
        </w:tc>
        <w:tc>
          <w:tcPr>
            <w:tcW w:w="1380" w:type="dxa"/>
            <w:vAlign w:val="bottom"/>
            <w:shd w:val="clear" w:color="auto" w:fill="E5FFFF"/>
          </w:tcPr>
          <w:p>
            <w:pPr>
              <w:jc w:val="right"/>
              <w:ind w:right="219"/>
              <w:spacing w:after="0"/>
              <w:rPr>
                <w:sz w:val="20"/>
                <w:szCs w:val="20"/>
                <w:color w:val="auto"/>
              </w:rPr>
            </w:pPr>
            <w:r>
              <w:rPr>
                <w:rFonts w:ascii="Times New Roman" w:cs="Times New Roman" w:eastAsia="Times New Roman" w:hAnsi="Times New Roman"/>
                <w:sz w:val="16"/>
                <w:szCs w:val="16"/>
                <w:color w:val="auto"/>
              </w:rPr>
              <w:t>180,000</w:t>
            </w:r>
          </w:p>
        </w:tc>
        <w:tc>
          <w:tcPr>
            <w:tcW w:w="1860" w:type="dxa"/>
            <w:vAlign w:val="bottom"/>
            <w:shd w:val="clear" w:color="auto" w:fill="E5FFFF"/>
          </w:tcPr>
          <w:p>
            <w:pPr>
              <w:jc w:val="center"/>
              <w:ind w:left="79"/>
              <w:spacing w:after="0"/>
              <w:rPr>
                <w:sz w:val="20"/>
                <w:szCs w:val="20"/>
                <w:color w:val="auto"/>
              </w:rPr>
            </w:pPr>
            <w:r>
              <w:rPr>
                <w:rFonts w:ascii="Times New Roman" w:cs="Times New Roman" w:eastAsia="Times New Roman" w:hAnsi="Times New Roman"/>
                <w:sz w:val="16"/>
                <w:szCs w:val="16"/>
                <w:color w:val="auto"/>
              </w:rPr>
              <w:t>Cheniere</w:t>
            </w:r>
          </w:p>
        </w:tc>
        <w:tc>
          <w:tcPr>
            <w:tcW w:w="156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6"/>
              </w:rPr>
              <w:t>X-DF</w:t>
            </w:r>
          </w:p>
        </w:tc>
        <w:tc>
          <w:tcPr>
            <w:tcW w:w="152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June 2028</w:t>
            </w:r>
          </w:p>
        </w:tc>
        <w:tc>
          <w:tcPr>
            <w:tcW w:w="142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3"/>
              </w:rPr>
              <w:t xml:space="preserve">2031-2035 </w:t>
            </w:r>
            <w:r>
              <w:rPr>
                <w:rFonts w:ascii="Times New Roman" w:cs="Times New Roman" w:eastAsia="Times New Roman" w:hAnsi="Times New Roman"/>
                <w:sz w:val="26"/>
                <w:szCs w:val="26"/>
                <w:color w:val="auto"/>
                <w:w w:val="93"/>
                <w:vertAlign w:val="superscript"/>
              </w:rPr>
              <w:t>(10)</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12</w:t>
            </w:r>
          </w:p>
        </w:tc>
        <w:tc>
          <w:tcPr>
            <w:tcW w:w="190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GasLog Winchester</w:t>
            </w:r>
          </w:p>
        </w:tc>
        <w:tc>
          <w:tcPr>
            <w:tcW w:w="132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2021</w:t>
            </w:r>
          </w:p>
        </w:tc>
        <w:tc>
          <w:tcPr>
            <w:tcW w:w="1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180,000</w:t>
            </w:r>
          </w:p>
        </w:tc>
        <w:tc>
          <w:tcPr>
            <w:tcW w:w="186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Cheniere</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X-DF</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August 2028</w:t>
            </w:r>
          </w:p>
        </w:tc>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3"/>
              </w:rPr>
              <w:t xml:space="preserve">2031-2035 </w:t>
            </w:r>
            <w:r>
              <w:rPr>
                <w:rFonts w:ascii="Times New Roman" w:cs="Times New Roman" w:eastAsia="Times New Roman" w:hAnsi="Times New Roman"/>
                <w:sz w:val="26"/>
                <w:szCs w:val="26"/>
                <w:color w:val="auto"/>
                <w:w w:val="93"/>
                <w:vertAlign w:val="superscript"/>
              </w:rPr>
              <w:t>(10)</w:t>
            </w:r>
          </w:p>
        </w:tc>
        <w:tc>
          <w:tcPr>
            <w:tcW w:w="0" w:type="dxa"/>
            <w:vAlign w:val="bottom"/>
          </w:tcPr>
          <w:p>
            <w:pPr>
              <w:spacing w:after="0"/>
              <w:rPr>
                <w:sz w:val="1"/>
                <w:szCs w:val="1"/>
                <w:color w:val="auto"/>
              </w:rPr>
            </w:pPr>
          </w:p>
        </w:tc>
      </w:tr>
      <w:tr>
        <w:trPr>
          <w:trHeight w:val="243"/>
        </w:trPr>
        <w:tc>
          <w:tcPr>
            <w:tcW w:w="2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13</w:t>
            </w:r>
          </w:p>
        </w:tc>
        <w:tc>
          <w:tcPr>
            <w:tcW w:w="1900" w:type="dxa"/>
            <w:vAlign w:val="bottom"/>
            <w:shd w:val="clear" w:color="auto" w:fill="E5FFFF"/>
          </w:tcPr>
          <w:p>
            <w:pPr>
              <w:ind w:left="100"/>
              <w:spacing w:after="0"/>
              <w:rPr>
                <w:sz w:val="20"/>
                <w:szCs w:val="20"/>
                <w:color w:val="auto"/>
              </w:rPr>
            </w:pPr>
            <w:r>
              <w:rPr>
                <w:rFonts w:ascii="Times New Roman" w:cs="Times New Roman" w:eastAsia="Times New Roman" w:hAnsi="Times New Roman"/>
                <w:sz w:val="16"/>
                <w:szCs w:val="16"/>
                <w:i w:val="1"/>
                <w:iCs w:val="1"/>
                <w:color w:val="auto"/>
              </w:rPr>
              <w:t>GasLog Gladstone</w:t>
            </w:r>
          </w:p>
        </w:tc>
        <w:tc>
          <w:tcPr>
            <w:tcW w:w="1320" w:type="dxa"/>
            <w:vAlign w:val="bottom"/>
            <w:shd w:val="clear" w:color="auto" w:fill="E5FFFF"/>
          </w:tcPr>
          <w:p>
            <w:pPr>
              <w:jc w:val="right"/>
              <w:ind w:right="479"/>
              <w:spacing w:after="0"/>
              <w:rPr>
                <w:sz w:val="20"/>
                <w:szCs w:val="20"/>
                <w:color w:val="auto"/>
              </w:rPr>
            </w:pPr>
            <w:r>
              <w:rPr>
                <w:rFonts w:ascii="Times New Roman" w:cs="Times New Roman" w:eastAsia="Times New Roman" w:hAnsi="Times New Roman"/>
                <w:sz w:val="16"/>
                <w:szCs w:val="16"/>
                <w:color w:val="auto"/>
              </w:rPr>
              <w:t>2019</w:t>
            </w:r>
          </w:p>
        </w:tc>
        <w:tc>
          <w:tcPr>
            <w:tcW w:w="1380" w:type="dxa"/>
            <w:vAlign w:val="bottom"/>
            <w:shd w:val="clear" w:color="auto" w:fill="E5FFFF"/>
          </w:tcPr>
          <w:p>
            <w:pPr>
              <w:jc w:val="right"/>
              <w:ind w:right="219"/>
              <w:spacing w:after="0"/>
              <w:rPr>
                <w:sz w:val="20"/>
                <w:szCs w:val="20"/>
                <w:color w:val="auto"/>
              </w:rPr>
            </w:pPr>
            <w:r>
              <w:rPr>
                <w:rFonts w:ascii="Times New Roman" w:cs="Times New Roman" w:eastAsia="Times New Roman" w:hAnsi="Times New Roman"/>
                <w:sz w:val="16"/>
                <w:szCs w:val="16"/>
                <w:color w:val="auto"/>
              </w:rPr>
              <w:t>174,000</w:t>
            </w:r>
          </w:p>
        </w:tc>
        <w:tc>
          <w:tcPr>
            <w:tcW w:w="1860" w:type="dxa"/>
            <w:vAlign w:val="bottom"/>
            <w:shd w:val="clear" w:color="auto" w:fill="E5FFFF"/>
          </w:tcPr>
          <w:p>
            <w:pPr>
              <w:jc w:val="center"/>
              <w:ind w:left="79"/>
              <w:spacing w:after="0"/>
              <w:rPr>
                <w:sz w:val="20"/>
                <w:szCs w:val="20"/>
                <w:color w:val="auto"/>
              </w:rPr>
            </w:pPr>
            <w:r>
              <w:rPr>
                <w:rFonts w:ascii="Times New Roman" w:cs="Times New Roman" w:eastAsia="Times New Roman" w:hAnsi="Times New Roman"/>
                <w:sz w:val="16"/>
                <w:szCs w:val="16"/>
                <w:color w:val="auto"/>
              </w:rPr>
              <w:t>Shell</w:t>
            </w:r>
          </w:p>
        </w:tc>
        <w:tc>
          <w:tcPr>
            <w:tcW w:w="156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6"/>
              </w:rPr>
              <w:t>X-DF</w:t>
            </w:r>
          </w:p>
        </w:tc>
        <w:tc>
          <w:tcPr>
            <w:tcW w:w="152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January 2029</w:t>
            </w:r>
          </w:p>
        </w:tc>
        <w:tc>
          <w:tcPr>
            <w:tcW w:w="142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6"/>
              </w:rPr>
              <w:t xml:space="preserve">2032-2035 </w:t>
            </w:r>
            <w:r>
              <w:rPr>
                <w:rFonts w:ascii="Times New Roman" w:cs="Times New Roman" w:eastAsia="Times New Roman" w:hAnsi="Times New Roman"/>
                <w:sz w:val="26"/>
                <w:szCs w:val="26"/>
                <w:color w:val="auto"/>
                <w:w w:val="96"/>
                <w:vertAlign w:val="superscript"/>
              </w:rPr>
              <w:t>(8)</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14</w:t>
            </w:r>
          </w:p>
        </w:tc>
        <w:tc>
          <w:tcPr>
            <w:tcW w:w="190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GasLog Warsaw</w:t>
            </w:r>
          </w:p>
        </w:tc>
        <w:tc>
          <w:tcPr>
            <w:tcW w:w="132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2019</w:t>
            </w:r>
          </w:p>
        </w:tc>
        <w:tc>
          <w:tcPr>
            <w:tcW w:w="1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180,000</w:t>
            </w:r>
          </w:p>
        </w:tc>
        <w:tc>
          <w:tcPr>
            <w:tcW w:w="1860" w:type="dxa"/>
            <w:vAlign w:val="bottom"/>
          </w:tcPr>
          <w:p>
            <w:pPr>
              <w:jc w:val="center"/>
              <w:ind w:left="39"/>
              <w:spacing w:after="0" w:line="243" w:lineRule="exact"/>
              <w:rPr>
                <w:sz w:val="20"/>
                <w:szCs w:val="20"/>
                <w:color w:val="auto"/>
              </w:rPr>
            </w:pPr>
            <w:r>
              <w:rPr>
                <w:rFonts w:ascii="Times New Roman" w:cs="Times New Roman" w:eastAsia="Times New Roman" w:hAnsi="Times New Roman"/>
                <w:sz w:val="16"/>
                <w:szCs w:val="16"/>
                <w:color w:val="auto"/>
                <w:w w:val="93"/>
              </w:rPr>
              <w:t xml:space="preserve">Endesa </w:t>
            </w:r>
            <w:r>
              <w:rPr>
                <w:rFonts w:ascii="Times New Roman" w:cs="Times New Roman" w:eastAsia="Times New Roman" w:hAnsi="Times New Roman"/>
                <w:sz w:val="26"/>
                <w:szCs w:val="26"/>
                <w:color w:val="auto"/>
                <w:w w:val="93"/>
                <w:vertAlign w:val="superscript"/>
              </w:rPr>
              <w:t>(11)</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X-DF</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2029</w:t>
            </w:r>
          </w:p>
        </w:tc>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3"/>
              </w:rPr>
              <w:t xml:space="preserve">2035-2041 </w:t>
            </w:r>
            <w:r>
              <w:rPr>
                <w:rFonts w:ascii="Times New Roman" w:cs="Times New Roman" w:eastAsia="Times New Roman" w:hAnsi="Times New Roman"/>
                <w:sz w:val="26"/>
                <w:szCs w:val="26"/>
                <w:color w:val="auto"/>
                <w:w w:val="93"/>
                <w:vertAlign w:val="superscript"/>
              </w:rPr>
              <w:t>(11)</w:t>
            </w:r>
          </w:p>
        </w:tc>
        <w:tc>
          <w:tcPr>
            <w:tcW w:w="0" w:type="dxa"/>
            <w:vAlign w:val="bottom"/>
          </w:tcPr>
          <w:p>
            <w:pPr>
              <w:spacing w:after="0"/>
              <w:rPr>
                <w:sz w:val="1"/>
                <w:szCs w:val="1"/>
                <w:color w:val="auto"/>
              </w:rPr>
            </w:pPr>
          </w:p>
        </w:tc>
      </w:tr>
      <w:tr>
        <w:trPr>
          <w:trHeight w:val="243"/>
        </w:trPr>
        <w:tc>
          <w:tcPr>
            <w:tcW w:w="2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15</w:t>
            </w:r>
          </w:p>
        </w:tc>
        <w:tc>
          <w:tcPr>
            <w:tcW w:w="1900" w:type="dxa"/>
            <w:vAlign w:val="bottom"/>
            <w:shd w:val="clear" w:color="auto" w:fill="E5FFFF"/>
          </w:tcPr>
          <w:p>
            <w:pPr>
              <w:ind w:left="100"/>
              <w:spacing w:after="0"/>
              <w:rPr>
                <w:sz w:val="20"/>
                <w:szCs w:val="20"/>
                <w:color w:val="auto"/>
              </w:rPr>
            </w:pPr>
            <w:r>
              <w:rPr>
                <w:rFonts w:ascii="Times New Roman" w:cs="Times New Roman" w:eastAsia="Times New Roman" w:hAnsi="Times New Roman"/>
                <w:sz w:val="16"/>
                <w:szCs w:val="16"/>
                <w:i w:val="1"/>
                <w:iCs w:val="1"/>
                <w:color w:val="auto"/>
              </w:rPr>
              <w:t>GasLog Wales</w:t>
            </w:r>
          </w:p>
        </w:tc>
        <w:tc>
          <w:tcPr>
            <w:tcW w:w="1320" w:type="dxa"/>
            <w:vAlign w:val="bottom"/>
            <w:shd w:val="clear" w:color="auto" w:fill="E5FFFF"/>
          </w:tcPr>
          <w:p>
            <w:pPr>
              <w:jc w:val="right"/>
              <w:ind w:right="479"/>
              <w:spacing w:after="0"/>
              <w:rPr>
                <w:sz w:val="20"/>
                <w:szCs w:val="20"/>
                <w:color w:val="auto"/>
              </w:rPr>
            </w:pPr>
            <w:r>
              <w:rPr>
                <w:rFonts w:ascii="Times New Roman" w:cs="Times New Roman" w:eastAsia="Times New Roman" w:hAnsi="Times New Roman"/>
                <w:sz w:val="16"/>
                <w:szCs w:val="16"/>
                <w:color w:val="auto"/>
              </w:rPr>
              <w:t>2020</w:t>
            </w:r>
          </w:p>
        </w:tc>
        <w:tc>
          <w:tcPr>
            <w:tcW w:w="1380" w:type="dxa"/>
            <w:vAlign w:val="bottom"/>
            <w:shd w:val="clear" w:color="auto" w:fill="E5FFFF"/>
          </w:tcPr>
          <w:p>
            <w:pPr>
              <w:jc w:val="right"/>
              <w:ind w:right="219"/>
              <w:spacing w:after="0"/>
              <w:rPr>
                <w:sz w:val="20"/>
                <w:szCs w:val="20"/>
                <w:color w:val="auto"/>
              </w:rPr>
            </w:pPr>
            <w:r>
              <w:rPr>
                <w:rFonts w:ascii="Times New Roman" w:cs="Times New Roman" w:eastAsia="Times New Roman" w:hAnsi="Times New Roman"/>
                <w:sz w:val="16"/>
                <w:szCs w:val="16"/>
                <w:color w:val="auto"/>
              </w:rPr>
              <w:t>180,000</w:t>
            </w:r>
          </w:p>
        </w:tc>
        <w:tc>
          <w:tcPr>
            <w:tcW w:w="1860" w:type="dxa"/>
            <w:vAlign w:val="bottom"/>
            <w:shd w:val="clear" w:color="auto" w:fill="E5FFFF"/>
          </w:tcPr>
          <w:p>
            <w:pPr>
              <w:jc w:val="center"/>
              <w:ind w:left="59"/>
              <w:spacing w:after="0" w:line="243" w:lineRule="exact"/>
              <w:rPr>
                <w:sz w:val="20"/>
                <w:szCs w:val="20"/>
                <w:color w:val="auto"/>
              </w:rPr>
            </w:pPr>
            <w:r>
              <w:rPr>
                <w:rFonts w:ascii="Times New Roman" w:cs="Times New Roman" w:eastAsia="Times New Roman" w:hAnsi="Times New Roman"/>
                <w:sz w:val="16"/>
                <w:szCs w:val="16"/>
                <w:color w:val="auto"/>
                <w:w w:val="88"/>
              </w:rPr>
              <w:t xml:space="preserve">Jera </w:t>
            </w:r>
            <w:r>
              <w:rPr>
                <w:rFonts w:ascii="Times New Roman" w:cs="Times New Roman" w:eastAsia="Times New Roman" w:hAnsi="Times New Roman"/>
                <w:sz w:val="26"/>
                <w:szCs w:val="26"/>
                <w:color w:val="auto"/>
                <w:w w:val="88"/>
                <w:vertAlign w:val="superscript"/>
              </w:rPr>
              <w:t>(12)</w:t>
            </w:r>
          </w:p>
        </w:tc>
        <w:tc>
          <w:tcPr>
            <w:tcW w:w="156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6"/>
              </w:rPr>
              <w:t>X-DF</w:t>
            </w:r>
          </w:p>
        </w:tc>
        <w:tc>
          <w:tcPr>
            <w:tcW w:w="152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March 2032</w:t>
            </w:r>
          </w:p>
        </w:tc>
        <w:tc>
          <w:tcPr>
            <w:tcW w:w="142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3"/>
              </w:rPr>
              <w:t xml:space="preserve">2035-2038 </w:t>
            </w:r>
            <w:r>
              <w:rPr>
                <w:rFonts w:ascii="Times New Roman" w:cs="Times New Roman" w:eastAsia="Times New Roman" w:hAnsi="Times New Roman"/>
                <w:sz w:val="26"/>
                <w:szCs w:val="26"/>
                <w:color w:val="auto"/>
                <w:w w:val="93"/>
                <w:vertAlign w:val="superscript"/>
              </w:rPr>
              <w:t>(12)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November 10, 2022, the Partnership’s owned fleet consisted of the following vessels: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Cargo</w:t>
            </w:r>
          </w:p>
        </w:tc>
        <w:tc>
          <w:tcPr>
            <w:tcW w:w="20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Charterer (for</w:t>
            </w: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Optional</w:t>
            </w:r>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ind w:left="460"/>
              <w:spacing w:after="0" w:line="165" w:lineRule="exact"/>
              <w:rPr>
                <w:sz w:val="20"/>
                <w:szCs w:val="20"/>
                <w:color w:val="auto"/>
              </w:rPr>
            </w:pPr>
            <w:r>
              <w:rPr>
                <w:rFonts w:ascii="Times New Roman" w:cs="Times New Roman" w:eastAsia="Times New Roman" w:hAnsi="Times New Roman"/>
                <w:sz w:val="16"/>
                <w:szCs w:val="16"/>
                <w:b w:val="1"/>
                <w:bCs w:val="1"/>
                <w:color w:val="auto"/>
              </w:rPr>
              <w:t>Year</w:t>
            </w:r>
          </w:p>
        </w:tc>
        <w:tc>
          <w:tcPr>
            <w:tcW w:w="12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Capacity</w:t>
            </w:r>
          </w:p>
        </w:tc>
        <w:tc>
          <w:tcPr>
            <w:tcW w:w="200" w:type="dxa"/>
            <w:vAlign w:val="bottom"/>
          </w:tcPr>
          <w:p>
            <w:pPr>
              <w:spacing w:after="0"/>
              <w:rPr>
                <w:sz w:val="14"/>
                <w:szCs w:val="14"/>
                <w:color w:val="auto"/>
              </w:rPr>
            </w:pPr>
          </w:p>
        </w:tc>
        <w:tc>
          <w:tcPr>
            <w:tcW w:w="158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6"/>
                <w:szCs w:val="16"/>
                <w:b w:val="1"/>
                <w:bCs w:val="1"/>
                <w:color w:val="auto"/>
                <w:w w:val="99"/>
              </w:rPr>
              <w:t>contracts of more</w:t>
            </w: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Charter Expiration</w:t>
            </w:r>
            <w:r>
              <w:rPr>
                <w:rFonts w:ascii="Times New Roman" w:cs="Times New Roman" w:eastAsia="Times New Roman" w:hAnsi="Times New Roman"/>
                <w:sz w:val="26"/>
                <w:szCs w:val="26"/>
                <w:b w:val="1"/>
                <w:bCs w:val="1"/>
                <w:color w:val="auto"/>
                <w:w w:val="97"/>
                <w:vertAlign w:val="superscript"/>
              </w:rPr>
              <w:t>(1)</w:t>
            </w:r>
          </w:p>
        </w:tc>
        <w:tc>
          <w:tcPr>
            <w:tcW w:w="220" w:type="dxa"/>
            <w:vAlign w:val="bottom"/>
            <w:vMerge w:val="restart"/>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Vessel Name</w:t>
            </w:r>
          </w:p>
        </w:tc>
        <w:tc>
          <w:tcPr>
            <w:tcW w:w="200" w:type="dxa"/>
            <w:vAlign w:val="bottom"/>
            <w:tcBorders>
              <w:bottom w:val="single" w:sz="8" w:color="E5FFFF"/>
            </w:tcBorders>
          </w:tcPr>
          <w:p>
            <w:pPr>
              <w:spacing w:after="0"/>
              <w:rPr>
                <w:sz w:val="22"/>
                <w:szCs w:val="22"/>
                <w:color w:val="auto"/>
              </w:rPr>
            </w:pPr>
          </w:p>
        </w:tc>
        <w:tc>
          <w:tcPr>
            <w:tcW w:w="12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Built</w:t>
            </w:r>
          </w:p>
        </w:tc>
        <w:tc>
          <w:tcPr>
            <w:tcW w:w="220" w:type="dxa"/>
            <w:vAlign w:val="bottom"/>
            <w:tcBorders>
              <w:bottom w:val="single" w:sz="8" w:color="E5FFFF"/>
            </w:tcBorders>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(cbm)</w:t>
            </w:r>
          </w:p>
        </w:tc>
        <w:tc>
          <w:tcPr>
            <w:tcW w:w="200" w:type="dxa"/>
            <w:vAlign w:val="bottom"/>
            <w:tcBorders>
              <w:bottom w:val="single" w:sz="8" w:color="E5FF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than six months)</w:t>
            </w:r>
          </w:p>
        </w:tc>
        <w:tc>
          <w:tcPr>
            <w:tcW w:w="220" w:type="dxa"/>
            <w:vAlign w:val="bottom"/>
            <w:tcBorders>
              <w:bottom w:val="single" w:sz="8" w:color="E5FFFF"/>
            </w:tcBorders>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Propulsion</w:t>
            </w:r>
          </w:p>
        </w:tc>
        <w:tc>
          <w:tcPr>
            <w:tcW w:w="200" w:type="dxa"/>
            <w:vAlign w:val="bottom"/>
            <w:tcBorders>
              <w:bottom w:val="single" w:sz="8" w:color="E5FFFF"/>
            </w:tcBorders>
          </w:tcPr>
          <w:p>
            <w:pPr>
              <w:spacing w:after="0"/>
              <w:rPr>
                <w:sz w:val="22"/>
                <w:szCs w:val="22"/>
                <w:color w:val="auto"/>
              </w:rPr>
            </w:pPr>
          </w:p>
        </w:tc>
        <w:tc>
          <w:tcPr>
            <w:tcW w:w="152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E5FFFF"/>
            </w:tcBorders>
            <w:vMerge w:val="continue"/>
          </w:tcPr>
          <w:p>
            <w:pPr>
              <w:spacing w:after="0"/>
              <w:rPr>
                <w:sz w:val="22"/>
                <w:szCs w:val="22"/>
                <w:color w:val="auto"/>
              </w:rPr>
            </w:pPr>
          </w:p>
        </w:tc>
        <w:tc>
          <w:tcPr>
            <w:tcW w:w="132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1"/>
              </w:rPr>
              <w:t>Period</w:t>
            </w:r>
            <w:r>
              <w:rPr>
                <w:rFonts w:ascii="Times New Roman" w:cs="Times New Roman" w:eastAsia="Times New Roman" w:hAnsi="Times New Roman"/>
                <w:sz w:val="26"/>
                <w:szCs w:val="26"/>
                <w:b w:val="1"/>
                <w:bCs w:val="1"/>
                <w:color w:val="auto"/>
                <w:w w:val="91"/>
                <w:vertAlign w:val="superscript"/>
              </w:rPr>
              <w:t>(2)</w:t>
            </w:r>
          </w:p>
        </w:tc>
        <w:tc>
          <w:tcPr>
            <w:tcW w:w="0" w:type="dxa"/>
            <w:vAlign w:val="bottom"/>
          </w:tcPr>
          <w:p>
            <w:pPr>
              <w:spacing w:after="0"/>
              <w:rPr>
                <w:sz w:val="1"/>
                <w:szCs w:val="1"/>
                <w:color w:val="auto"/>
              </w:rPr>
            </w:pPr>
          </w:p>
        </w:tc>
      </w:tr>
      <w:tr>
        <w:trPr>
          <w:trHeight w:val="236"/>
        </w:trPr>
        <w:tc>
          <w:tcPr>
            <w:tcW w:w="2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1</w:t>
            </w:r>
          </w:p>
        </w:tc>
        <w:tc>
          <w:tcPr>
            <w:tcW w:w="1900" w:type="dxa"/>
            <w:vAlign w:val="bottom"/>
            <w:gridSpan w:val="2"/>
            <w:shd w:val="clear" w:color="auto" w:fill="E5FFFF"/>
          </w:tcPr>
          <w:p>
            <w:pPr>
              <w:ind w:left="100"/>
              <w:spacing w:after="0"/>
              <w:rPr>
                <w:sz w:val="20"/>
                <w:szCs w:val="20"/>
                <w:color w:val="auto"/>
              </w:rPr>
            </w:pPr>
            <w:r>
              <w:rPr>
                <w:rFonts w:ascii="Times New Roman" w:cs="Times New Roman" w:eastAsia="Times New Roman" w:hAnsi="Times New Roman"/>
                <w:sz w:val="16"/>
                <w:szCs w:val="16"/>
                <w:i w:val="1"/>
                <w:iCs w:val="1"/>
                <w:color w:val="auto"/>
              </w:rPr>
              <w:t>Methane Jane Elizabeth</w:t>
            </w:r>
          </w:p>
        </w:tc>
        <w:tc>
          <w:tcPr>
            <w:tcW w:w="1240" w:type="dxa"/>
            <w:vAlign w:val="bottom"/>
            <w:shd w:val="clear" w:color="auto" w:fill="E5FFFF"/>
          </w:tcPr>
          <w:p>
            <w:pPr>
              <w:ind w:left="460"/>
              <w:spacing w:after="0"/>
              <w:rPr>
                <w:sz w:val="20"/>
                <w:szCs w:val="20"/>
                <w:color w:val="auto"/>
              </w:rPr>
            </w:pPr>
            <w:r>
              <w:rPr>
                <w:rFonts w:ascii="Times New Roman" w:cs="Times New Roman" w:eastAsia="Times New Roman" w:hAnsi="Times New Roman"/>
                <w:sz w:val="16"/>
                <w:szCs w:val="16"/>
                <w:color w:val="auto"/>
              </w:rPr>
              <w:t>2006</w:t>
            </w:r>
          </w:p>
        </w:tc>
        <w:tc>
          <w:tcPr>
            <w:tcW w:w="220" w:type="dxa"/>
            <w:vAlign w:val="bottom"/>
            <w:shd w:val="clear" w:color="auto" w:fill="E5FFFF"/>
          </w:tcPr>
          <w:p>
            <w:pPr>
              <w:spacing w:after="0"/>
              <w:rPr>
                <w:sz w:val="20"/>
                <w:szCs w:val="20"/>
                <w:color w:val="auto"/>
              </w:rPr>
            </w:pPr>
          </w:p>
        </w:tc>
        <w:tc>
          <w:tcPr>
            <w:tcW w:w="12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145,000</w:t>
            </w:r>
          </w:p>
        </w:tc>
        <w:tc>
          <w:tcPr>
            <w:tcW w:w="200" w:type="dxa"/>
            <w:vAlign w:val="bottom"/>
            <w:shd w:val="clear" w:color="auto" w:fill="E5FFFF"/>
          </w:tcPr>
          <w:p>
            <w:pPr>
              <w:spacing w:after="0"/>
              <w:rPr>
                <w:sz w:val="20"/>
                <w:szCs w:val="20"/>
                <w:color w:val="auto"/>
              </w:rPr>
            </w:pPr>
          </w:p>
        </w:tc>
        <w:tc>
          <w:tcPr>
            <w:tcW w:w="1580" w:type="dxa"/>
            <w:vAlign w:val="bottom"/>
            <w:gridSpan w:val="2"/>
            <w:shd w:val="clear" w:color="auto" w:fill="E5FFFF"/>
          </w:tcPr>
          <w:p>
            <w:pPr>
              <w:jc w:val="center"/>
              <w:ind w:right="220"/>
              <w:spacing w:after="0"/>
              <w:rPr>
                <w:sz w:val="20"/>
                <w:szCs w:val="20"/>
                <w:color w:val="auto"/>
              </w:rPr>
            </w:pPr>
            <w:r>
              <w:rPr>
                <w:rFonts w:ascii="Times New Roman" w:cs="Times New Roman" w:eastAsia="Times New Roman" w:hAnsi="Times New Roman"/>
                <w:sz w:val="16"/>
                <w:szCs w:val="16"/>
                <w:color w:val="auto"/>
              </w:rPr>
              <w:t>Cheniere</w:t>
            </w:r>
          </w:p>
        </w:tc>
        <w:tc>
          <w:tcPr>
            <w:tcW w:w="1500" w:type="dxa"/>
            <w:vAlign w:val="bottom"/>
            <w:gridSpan w:val="2"/>
            <w:shd w:val="clear" w:color="auto" w:fill="E5FF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Steam</w:t>
            </w:r>
          </w:p>
        </w:tc>
        <w:tc>
          <w:tcPr>
            <w:tcW w:w="1740" w:type="dxa"/>
            <w:vAlign w:val="bottom"/>
            <w:gridSpan w:val="2"/>
            <w:shd w:val="clear" w:color="auto" w:fill="E5FFFF"/>
          </w:tcPr>
          <w:p>
            <w:pPr>
              <w:jc w:val="center"/>
              <w:ind w:right="200"/>
              <w:spacing w:after="0"/>
              <w:rPr>
                <w:sz w:val="20"/>
                <w:szCs w:val="20"/>
                <w:color w:val="auto"/>
              </w:rPr>
            </w:pPr>
            <w:r>
              <w:rPr>
                <w:rFonts w:ascii="Times New Roman" w:cs="Times New Roman" w:eastAsia="Times New Roman" w:hAnsi="Times New Roman"/>
                <w:sz w:val="16"/>
                <w:szCs w:val="16"/>
                <w:color w:val="auto"/>
              </w:rPr>
              <w:t>March 2023</w:t>
            </w:r>
          </w:p>
        </w:tc>
        <w:tc>
          <w:tcPr>
            <w:tcW w:w="1320" w:type="dxa"/>
            <w:vAlign w:val="bottom"/>
            <w:shd w:val="clear" w:color="auto" w:fill="E5FFFF"/>
          </w:tcPr>
          <w:p>
            <w:pPr>
              <w:jc w:val="center"/>
              <w:spacing w:after="0" w:line="236" w:lineRule="exact"/>
              <w:rPr>
                <w:sz w:val="20"/>
                <w:szCs w:val="20"/>
                <w:color w:val="auto"/>
              </w:rPr>
            </w:pPr>
            <w:r>
              <w:rPr>
                <w:rFonts w:ascii="Times New Roman" w:cs="Times New Roman" w:eastAsia="Times New Roman" w:hAnsi="Times New Roman"/>
                <w:sz w:val="16"/>
                <w:szCs w:val="16"/>
                <w:color w:val="auto"/>
                <w:w w:val="93"/>
              </w:rPr>
              <w:t xml:space="preserve">2024-2025 </w:t>
            </w:r>
            <w:r>
              <w:rPr>
                <w:rFonts w:ascii="Times New Roman" w:cs="Times New Roman" w:eastAsia="Times New Roman" w:hAnsi="Times New Roman"/>
                <w:sz w:val="26"/>
                <w:szCs w:val="26"/>
                <w:color w:val="auto"/>
                <w:w w:val="93"/>
                <w:vertAlign w:val="superscript"/>
              </w:rPr>
              <w:t>(10)</w:t>
            </w:r>
          </w:p>
        </w:tc>
        <w:tc>
          <w:tcPr>
            <w:tcW w:w="0" w:type="dxa"/>
            <w:vAlign w:val="bottom"/>
          </w:tcPr>
          <w:p>
            <w:pPr>
              <w:spacing w:after="0"/>
              <w:rPr>
                <w:sz w:val="1"/>
                <w:szCs w:val="1"/>
                <w:color w:val="auto"/>
              </w:rPr>
            </w:pPr>
          </w:p>
        </w:tc>
      </w:tr>
      <w:tr>
        <w:trPr>
          <w:trHeight w:val="189"/>
        </w:trPr>
        <w:tc>
          <w:tcPr>
            <w:tcW w:w="2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2</w:t>
            </w:r>
          </w:p>
        </w:tc>
        <w:tc>
          <w:tcPr>
            <w:tcW w:w="1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i w:val="1"/>
                <w:iCs w:val="1"/>
                <w:color w:val="auto"/>
              </w:rPr>
              <w:t>GasLog Seattle</w:t>
            </w: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Major Trading</w:t>
            </w: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60" w:type="dxa"/>
            <w:vAlign w:val="bottom"/>
            <w:vMerge w:val="continue"/>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12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2013</w:t>
            </w:r>
          </w:p>
        </w:tc>
        <w:tc>
          <w:tcPr>
            <w:tcW w:w="22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20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House</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TFDE</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March 2023</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Energy Trading</w:t>
            </w: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gridSpan w:val="2"/>
          </w:tcPr>
          <w:p>
            <w:pPr>
              <w:jc w:val="center"/>
              <w:ind w:right="260"/>
              <w:spacing w:after="0" w:line="256" w:lineRule="exact"/>
              <w:rPr>
                <w:sz w:val="20"/>
                <w:szCs w:val="20"/>
                <w:color w:val="auto"/>
              </w:rPr>
            </w:pPr>
            <w:r>
              <w:rPr>
                <w:rFonts w:ascii="Times New Roman" w:cs="Times New Roman" w:eastAsia="Times New Roman" w:hAnsi="Times New Roman"/>
                <w:sz w:val="16"/>
                <w:szCs w:val="16"/>
                <w:color w:val="auto"/>
                <w:w w:val="92"/>
              </w:rPr>
              <w:t xml:space="preserve">Company </w:t>
            </w:r>
            <w:r>
              <w:rPr>
                <w:rFonts w:ascii="Times New Roman" w:cs="Times New Roman" w:eastAsia="Times New Roman" w:hAnsi="Times New Roman"/>
                <w:sz w:val="26"/>
                <w:szCs w:val="26"/>
                <w:color w:val="auto"/>
                <w:w w:val="92"/>
                <w:vertAlign w:val="superscript"/>
              </w:rPr>
              <w:t>(13)</w:t>
            </w: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March 2024</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3</w:t>
            </w:r>
          </w:p>
        </w:tc>
        <w:tc>
          <w:tcPr>
            <w:tcW w:w="1900" w:type="dxa"/>
            <w:vAlign w:val="bottom"/>
            <w:gridSpan w:val="2"/>
            <w:shd w:val="clear" w:color="auto" w:fill="E5FFFF"/>
          </w:tcPr>
          <w:p>
            <w:pPr>
              <w:ind w:left="100"/>
              <w:spacing w:after="0"/>
              <w:rPr>
                <w:sz w:val="20"/>
                <w:szCs w:val="20"/>
                <w:color w:val="auto"/>
              </w:rPr>
            </w:pPr>
            <w:r>
              <w:rPr>
                <w:rFonts w:ascii="Times New Roman" w:cs="Times New Roman" w:eastAsia="Times New Roman" w:hAnsi="Times New Roman"/>
                <w:sz w:val="16"/>
                <w:szCs w:val="16"/>
                <w:i w:val="1"/>
                <w:iCs w:val="1"/>
                <w:color w:val="auto"/>
              </w:rPr>
              <w:t>GasLog Sydney</w:t>
            </w:r>
          </w:p>
        </w:tc>
        <w:tc>
          <w:tcPr>
            <w:tcW w:w="1240" w:type="dxa"/>
            <w:vAlign w:val="bottom"/>
            <w:shd w:val="clear" w:color="auto" w:fill="E5FFFF"/>
          </w:tcPr>
          <w:p>
            <w:pPr>
              <w:ind w:left="460"/>
              <w:spacing w:after="0"/>
              <w:rPr>
                <w:sz w:val="20"/>
                <w:szCs w:val="20"/>
                <w:color w:val="auto"/>
              </w:rPr>
            </w:pPr>
            <w:r>
              <w:rPr>
                <w:rFonts w:ascii="Times New Roman" w:cs="Times New Roman" w:eastAsia="Times New Roman" w:hAnsi="Times New Roman"/>
                <w:sz w:val="16"/>
                <w:szCs w:val="16"/>
                <w:color w:val="auto"/>
              </w:rPr>
              <w:t>2013</w:t>
            </w:r>
          </w:p>
        </w:tc>
        <w:tc>
          <w:tcPr>
            <w:tcW w:w="220" w:type="dxa"/>
            <w:vAlign w:val="bottom"/>
            <w:shd w:val="clear" w:color="auto" w:fill="E5FFFF"/>
          </w:tcPr>
          <w:p>
            <w:pPr>
              <w:spacing w:after="0"/>
              <w:rPr>
                <w:sz w:val="21"/>
                <w:szCs w:val="21"/>
                <w:color w:val="auto"/>
              </w:rPr>
            </w:pPr>
          </w:p>
        </w:tc>
        <w:tc>
          <w:tcPr>
            <w:tcW w:w="12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200" w:type="dxa"/>
            <w:vAlign w:val="bottom"/>
            <w:shd w:val="clear" w:color="auto" w:fill="E5FFFF"/>
          </w:tcPr>
          <w:p>
            <w:pPr>
              <w:spacing w:after="0"/>
              <w:rPr>
                <w:sz w:val="21"/>
                <w:szCs w:val="21"/>
                <w:color w:val="auto"/>
              </w:rPr>
            </w:pPr>
          </w:p>
        </w:tc>
        <w:tc>
          <w:tcPr>
            <w:tcW w:w="1580" w:type="dxa"/>
            <w:vAlign w:val="bottom"/>
            <w:gridSpan w:val="2"/>
            <w:shd w:val="clear" w:color="auto" w:fill="E5FFFF"/>
          </w:tcPr>
          <w:p>
            <w:pPr>
              <w:jc w:val="center"/>
              <w:ind w:right="260"/>
              <w:spacing w:after="0" w:line="243" w:lineRule="exact"/>
              <w:rPr>
                <w:sz w:val="20"/>
                <w:szCs w:val="20"/>
                <w:color w:val="auto"/>
              </w:rPr>
            </w:pPr>
            <w:r>
              <w:rPr>
                <w:rFonts w:ascii="Times New Roman" w:cs="Times New Roman" w:eastAsia="Times New Roman" w:hAnsi="Times New Roman"/>
                <w:sz w:val="16"/>
                <w:szCs w:val="16"/>
                <w:color w:val="auto"/>
                <w:w w:val="93"/>
              </w:rPr>
              <w:t xml:space="preserve">Naturgy </w:t>
            </w:r>
            <w:r>
              <w:rPr>
                <w:rFonts w:ascii="Times New Roman" w:cs="Times New Roman" w:eastAsia="Times New Roman" w:hAnsi="Times New Roman"/>
                <w:sz w:val="26"/>
                <w:szCs w:val="26"/>
                <w:color w:val="auto"/>
                <w:w w:val="93"/>
                <w:vertAlign w:val="superscript"/>
              </w:rPr>
              <w:t>(14)</w:t>
            </w:r>
          </w:p>
        </w:tc>
        <w:tc>
          <w:tcPr>
            <w:tcW w:w="1500" w:type="dxa"/>
            <w:vAlign w:val="bottom"/>
            <w:gridSpan w:val="2"/>
            <w:shd w:val="clear" w:color="auto" w:fill="E5FF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TFDE</w:t>
            </w:r>
          </w:p>
        </w:tc>
        <w:tc>
          <w:tcPr>
            <w:tcW w:w="1740" w:type="dxa"/>
            <w:vAlign w:val="bottom"/>
            <w:gridSpan w:val="2"/>
            <w:shd w:val="clear" w:color="auto" w:fill="E5FFFF"/>
          </w:tcPr>
          <w:p>
            <w:pPr>
              <w:jc w:val="center"/>
              <w:ind w:right="200"/>
              <w:spacing w:after="0"/>
              <w:rPr>
                <w:sz w:val="20"/>
                <w:szCs w:val="20"/>
                <w:color w:val="auto"/>
              </w:rPr>
            </w:pPr>
            <w:r>
              <w:rPr>
                <w:rFonts w:ascii="Times New Roman" w:cs="Times New Roman" w:eastAsia="Times New Roman" w:hAnsi="Times New Roman"/>
                <w:sz w:val="16"/>
                <w:szCs w:val="16"/>
                <w:color w:val="auto"/>
              </w:rPr>
              <w:t>April 2023</w:t>
            </w:r>
          </w:p>
        </w:tc>
        <w:tc>
          <w:tcPr>
            <w:tcW w:w="132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4</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6"/>
                <w:szCs w:val="16"/>
                <w:i w:val="1"/>
                <w:iCs w:val="1"/>
                <w:color w:val="auto"/>
              </w:rPr>
              <w:t>GasLog Geneva</w:t>
            </w:r>
          </w:p>
        </w:tc>
        <w:tc>
          <w:tcPr>
            <w:tcW w:w="12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2016</w:t>
            </w:r>
          </w:p>
        </w:tc>
        <w:tc>
          <w:tcPr>
            <w:tcW w:w="2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200" w:type="dxa"/>
            <w:vAlign w:val="bottom"/>
          </w:tcPr>
          <w:p>
            <w:pPr>
              <w:spacing w:after="0"/>
              <w:rPr>
                <w:sz w:val="21"/>
                <w:szCs w:val="21"/>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Shell</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TFDE</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September 2023</w:t>
            </w:r>
          </w:p>
        </w:tc>
        <w:tc>
          <w:tcPr>
            <w:tcW w:w="132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6"/>
              </w:rPr>
              <w:t xml:space="preserve">2028-2031 </w:t>
            </w:r>
            <w:r>
              <w:rPr>
                <w:rFonts w:ascii="Times New Roman" w:cs="Times New Roman" w:eastAsia="Times New Roman" w:hAnsi="Times New Roman"/>
                <w:sz w:val="26"/>
                <w:szCs w:val="26"/>
                <w:color w:val="auto"/>
                <w:w w:val="96"/>
                <w:vertAlign w:val="superscript"/>
              </w:rPr>
              <w:t>(8)</w:t>
            </w:r>
          </w:p>
        </w:tc>
        <w:tc>
          <w:tcPr>
            <w:tcW w:w="0" w:type="dxa"/>
            <w:vAlign w:val="bottom"/>
          </w:tcPr>
          <w:p>
            <w:pPr>
              <w:spacing w:after="0"/>
              <w:rPr>
                <w:sz w:val="1"/>
                <w:szCs w:val="1"/>
                <w:color w:val="auto"/>
              </w:rPr>
            </w:pPr>
          </w:p>
        </w:tc>
      </w:tr>
      <w:tr>
        <w:trPr>
          <w:trHeight w:val="203"/>
        </w:trPr>
        <w:tc>
          <w:tcPr>
            <w:tcW w:w="2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5</w:t>
            </w:r>
          </w:p>
        </w:tc>
        <w:tc>
          <w:tcPr>
            <w:tcW w:w="1900" w:type="dxa"/>
            <w:vAlign w:val="bottom"/>
            <w:gridSpan w:val="2"/>
            <w:shd w:val="clear" w:color="auto" w:fill="E5FFFF"/>
          </w:tcPr>
          <w:p>
            <w:pPr>
              <w:ind w:left="100"/>
              <w:spacing w:after="0"/>
              <w:rPr>
                <w:sz w:val="20"/>
                <w:szCs w:val="20"/>
                <w:color w:val="auto"/>
              </w:rPr>
            </w:pPr>
            <w:r>
              <w:rPr>
                <w:rFonts w:ascii="Times New Roman" w:cs="Times New Roman" w:eastAsia="Times New Roman" w:hAnsi="Times New Roman"/>
                <w:sz w:val="16"/>
                <w:szCs w:val="16"/>
                <w:i w:val="1"/>
                <w:iCs w:val="1"/>
                <w:color w:val="auto"/>
              </w:rPr>
              <w:t>Methane Rita Andrea</w:t>
            </w:r>
          </w:p>
        </w:tc>
        <w:tc>
          <w:tcPr>
            <w:tcW w:w="1240" w:type="dxa"/>
            <w:vAlign w:val="bottom"/>
            <w:shd w:val="clear" w:color="auto" w:fill="E5FFFF"/>
          </w:tcPr>
          <w:p>
            <w:pPr>
              <w:ind w:left="460"/>
              <w:spacing w:after="0"/>
              <w:rPr>
                <w:sz w:val="20"/>
                <w:szCs w:val="20"/>
                <w:color w:val="auto"/>
              </w:rPr>
            </w:pPr>
            <w:r>
              <w:rPr>
                <w:rFonts w:ascii="Times New Roman" w:cs="Times New Roman" w:eastAsia="Times New Roman" w:hAnsi="Times New Roman"/>
                <w:sz w:val="16"/>
                <w:szCs w:val="16"/>
                <w:color w:val="auto"/>
              </w:rPr>
              <w:t>2006</w:t>
            </w:r>
          </w:p>
        </w:tc>
        <w:tc>
          <w:tcPr>
            <w:tcW w:w="220" w:type="dxa"/>
            <w:vAlign w:val="bottom"/>
            <w:shd w:val="clear" w:color="auto" w:fill="E5FFFF"/>
          </w:tcPr>
          <w:p>
            <w:pPr>
              <w:spacing w:after="0"/>
              <w:rPr>
                <w:sz w:val="17"/>
                <w:szCs w:val="17"/>
                <w:color w:val="auto"/>
              </w:rPr>
            </w:pPr>
          </w:p>
        </w:tc>
        <w:tc>
          <w:tcPr>
            <w:tcW w:w="12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145,000</w:t>
            </w:r>
          </w:p>
        </w:tc>
        <w:tc>
          <w:tcPr>
            <w:tcW w:w="20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center"/>
              <w:ind w:right="220"/>
              <w:spacing w:after="0"/>
              <w:rPr>
                <w:sz w:val="20"/>
                <w:szCs w:val="20"/>
                <w:color w:val="auto"/>
              </w:rPr>
            </w:pPr>
            <w:r>
              <w:rPr>
                <w:rFonts w:ascii="Times New Roman" w:cs="Times New Roman" w:eastAsia="Times New Roman" w:hAnsi="Times New Roman"/>
                <w:sz w:val="16"/>
                <w:szCs w:val="16"/>
                <w:color w:val="auto"/>
              </w:rPr>
              <w:t>Energy Major</w:t>
            </w:r>
          </w:p>
        </w:tc>
        <w:tc>
          <w:tcPr>
            <w:tcW w:w="1500" w:type="dxa"/>
            <w:vAlign w:val="bottom"/>
            <w:gridSpan w:val="2"/>
            <w:shd w:val="clear" w:color="auto" w:fill="E5FF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Steam</w:t>
            </w:r>
          </w:p>
        </w:tc>
        <w:tc>
          <w:tcPr>
            <w:tcW w:w="1740" w:type="dxa"/>
            <w:vAlign w:val="bottom"/>
            <w:gridSpan w:val="2"/>
            <w:shd w:val="clear" w:color="auto" w:fill="E5FFFF"/>
          </w:tcPr>
          <w:p>
            <w:pPr>
              <w:jc w:val="center"/>
              <w:ind w:right="220"/>
              <w:spacing w:after="0"/>
              <w:rPr>
                <w:sz w:val="20"/>
                <w:szCs w:val="20"/>
                <w:color w:val="auto"/>
              </w:rPr>
            </w:pPr>
            <w:r>
              <w:rPr>
                <w:rFonts w:ascii="Times New Roman" w:cs="Times New Roman" w:eastAsia="Times New Roman" w:hAnsi="Times New Roman"/>
                <w:sz w:val="16"/>
                <w:szCs w:val="16"/>
                <w:color w:val="auto"/>
              </w:rPr>
              <w:t>October 2023</w:t>
            </w:r>
          </w:p>
        </w:tc>
        <w:tc>
          <w:tcPr>
            <w:tcW w:w="132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6</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6"/>
                <w:szCs w:val="16"/>
                <w:i w:val="1"/>
                <w:iCs w:val="1"/>
                <w:color w:val="auto"/>
              </w:rPr>
              <w:t>Methane Alison Victoria</w:t>
            </w:r>
          </w:p>
        </w:tc>
        <w:tc>
          <w:tcPr>
            <w:tcW w:w="12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2007</w:t>
            </w:r>
          </w:p>
        </w:tc>
        <w:tc>
          <w:tcPr>
            <w:tcW w:w="2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145,000</w:t>
            </w:r>
          </w:p>
        </w:tc>
        <w:tc>
          <w:tcPr>
            <w:tcW w:w="1780" w:type="dxa"/>
            <w:vAlign w:val="bottom"/>
            <w:gridSpan w:val="3"/>
          </w:tcPr>
          <w:p>
            <w:pPr>
              <w:jc w:val="center"/>
              <w:ind w:right="60"/>
              <w:spacing w:after="0" w:line="243" w:lineRule="exact"/>
              <w:rPr>
                <w:sz w:val="20"/>
                <w:szCs w:val="20"/>
                <w:color w:val="auto"/>
              </w:rPr>
            </w:pPr>
            <w:r>
              <w:rPr>
                <w:rFonts w:ascii="Times New Roman" w:cs="Times New Roman" w:eastAsia="Times New Roman" w:hAnsi="Times New Roman"/>
                <w:sz w:val="16"/>
                <w:szCs w:val="16"/>
                <w:color w:val="auto"/>
                <w:w w:val="96"/>
              </w:rPr>
              <w:t xml:space="preserve">CNTIC VPower </w:t>
            </w:r>
            <w:r>
              <w:rPr>
                <w:rFonts w:ascii="Times New Roman" w:cs="Times New Roman" w:eastAsia="Times New Roman" w:hAnsi="Times New Roman"/>
                <w:sz w:val="26"/>
                <w:szCs w:val="26"/>
                <w:color w:val="auto"/>
                <w:w w:val="96"/>
                <w:vertAlign w:val="superscript"/>
              </w:rPr>
              <w:t>(15)</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Steam</w:t>
            </w: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October 2023</w:t>
            </w:r>
          </w:p>
        </w:tc>
        <w:tc>
          <w:tcPr>
            <w:tcW w:w="132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3"/>
              </w:rPr>
              <w:t xml:space="preserve">2024-2025 </w:t>
            </w:r>
            <w:r>
              <w:rPr>
                <w:rFonts w:ascii="Times New Roman" w:cs="Times New Roman" w:eastAsia="Times New Roman" w:hAnsi="Times New Roman"/>
                <w:sz w:val="26"/>
                <w:szCs w:val="26"/>
                <w:color w:val="auto"/>
                <w:w w:val="93"/>
                <w:vertAlign w:val="superscript"/>
              </w:rPr>
              <w:t>(15)</w:t>
            </w:r>
          </w:p>
        </w:tc>
        <w:tc>
          <w:tcPr>
            <w:tcW w:w="0" w:type="dxa"/>
            <w:vAlign w:val="bottom"/>
          </w:tcPr>
          <w:p>
            <w:pPr>
              <w:spacing w:after="0"/>
              <w:rPr>
                <w:sz w:val="1"/>
                <w:szCs w:val="1"/>
                <w:color w:val="auto"/>
              </w:rPr>
            </w:pPr>
          </w:p>
        </w:tc>
      </w:tr>
      <w:tr>
        <w:trPr>
          <w:trHeight w:val="243"/>
        </w:trPr>
        <w:tc>
          <w:tcPr>
            <w:tcW w:w="2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7</w:t>
            </w:r>
          </w:p>
        </w:tc>
        <w:tc>
          <w:tcPr>
            <w:tcW w:w="1900" w:type="dxa"/>
            <w:vAlign w:val="bottom"/>
            <w:gridSpan w:val="2"/>
            <w:shd w:val="clear" w:color="auto" w:fill="E5FFFF"/>
          </w:tcPr>
          <w:p>
            <w:pPr>
              <w:ind w:left="100"/>
              <w:spacing w:after="0"/>
              <w:rPr>
                <w:sz w:val="20"/>
                <w:szCs w:val="20"/>
                <w:color w:val="auto"/>
              </w:rPr>
            </w:pPr>
            <w:r>
              <w:rPr>
                <w:rFonts w:ascii="Times New Roman" w:cs="Times New Roman" w:eastAsia="Times New Roman" w:hAnsi="Times New Roman"/>
                <w:sz w:val="16"/>
                <w:szCs w:val="16"/>
                <w:i w:val="1"/>
                <w:iCs w:val="1"/>
                <w:color w:val="auto"/>
              </w:rPr>
              <w:t>GasLog Gibraltar</w:t>
            </w:r>
          </w:p>
        </w:tc>
        <w:tc>
          <w:tcPr>
            <w:tcW w:w="1240" w:type="dxa"/>
            <w:vAlign w:val="bottom"/>
            <w:shd w:val="clear" w:color="auto" w:fill="E5FFFF"/>
          </w:tcPr>
          <w:p>
            <w:pPr>
              <w:ind w:left="460"/>
              <w:spacing w:after="0"/>
              <w:rPr>
                <w:sz w:val="20"/>
                <w:szCs w:val="20"/>
                <w:color w:val="auto"/>
              </w:rPr>
            </w:pPr>
            <w:r>
              <w:rPr>
                <w:rFonts w:ascii="Times New Roman" w:cs="Times New Roman" w:eastAsia="Times New Roman" w:hAnsi="Times New Roman"/>
                <w:sz w:val="16"/>
                <w:szCs w:val="16"/>
                <w:color w:val="auto"/>
              </w:rPr>
              <w:t>2016</w:t>
            </w:r>
          </w:p>
        </w:tc>
        <w:tc>
          <w:tcPr>
            <w:tcW w:w="220" w:type="dxa"/>
            <w:vAlign w:val="bottom"/>
            <w:shd w:val="clear" w:color="auto" w:fill="E5FFFF"/>
          </w:tcPr>
          <w:p>
            <w:pPr>
              <w:spacing w:after="0"/>
              <w:rPr>
                <w:sz w:val="21"/>
                <w:szCs w:val="21"/>
                <w:color w:val="auto"/>
              </w:rPr>
            </w:pPr>
          </w:p>
        </w:tc>
        <w:tc>
          <w:tcPr>
            <w:tcW w:w="12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200" w:type="dxa"/>
            <w:vAlign w:val="bottom"/>
            <w:shd w:val="clear" w:color="auto" w:fill="E5FFFF"/>
          </w:tcPr>
          <w:p>
            <w:pPr>
              <w:spacing w:after="0"/>
              <w:rPr>
                <w:sz w:val="21"/>
                <w:szCs w:val="21"/>
                <w:color w:val="auto"/>
              </w:rPr>
            </w:pPr>
          </w:p>
        </w:tc>
        <w:tc>
          <w:tcPr>
            <w:tcW w:w="1580" w:type="dxa"/>
            <w:vAlign w:val="bottom"/>
            <w:gridSpan w:val="2"/>
            <w:shd w:val="clear" w:color="auto" w:fill="E5FF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Shell</w:t>
            </w:r>
          </w:p>
        </w:tc>
        <w:tc>
          <w:tcPr>
            <w:tcW w:w="1500" w:type="dxa"/>
            <w:vAlign w:val="bottom"/>
            <w:gridSpan w:val="2"/>
            <w:shd w:val="clear" w:color="auto" w:fill="E5FF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TFDE</w:t>
            </w:r>
          </w:p>
        </w:tc>
        <w:tc>
          <w:tcPr>
            <w:tcW w:w="1740" w:type="dxa"/>
            <w:vAlign w:val="bottom"/>
            <w:gridSpan w:val="2"/>
            <w:shd w:val="clear" w:color="auto" w:fill="E5FFFF"/>
          </w:tcPr>
          <w:p>
            <w:pPr>
              <w:jc w:val="center"/>
              <w:ind w:right="220"/>
              <w:spacing w:after="0"/>
              <w:rPr>
                <w:sz w:val="20"/>
                <w:szCs w:val="20"/>
                <w:color w:val="auto"/>
              </w:rPr>
            </w:pPr>
            <w:r>
              <w:rPr>
                <w:rFonts w:ascii="Times New Roman" w:cs="Times New Roman" w:eastAsia="Times New Roman" w:hAnsi="Times New Roman"/>
                <w:sz w:val="16"/>
                <w:szCs w:val="16"/>
                <w:color w:val="auto"/>
              </w:rPr>
              <w:t>October 2023</w:t>
            </w:r>
          </w:p>
        </w:tc>
        <w:tc>
          <w:tcPr>
            <w:tcW w:w="132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6"/>
              </w:rPr>
              <w:t xml:space="preserve">2028-2031 </w:t>
            </w:r>
            <w:r>
              <w:rPr>
                <w:rFonts w:ascii="Times New Roman" w:cs="Times New Roman" w:eastAsia="Times New Roman" w:hAnsi="Times New Roman"/>
                <w:sz w:val="26"/>
                <w:szCs w:val="26"/>
                <w:color w:val="auto"/>
                <w:w w:val="96"/>
                <w:vertAlign w:val="superscript"/>
              </w:rPr>
              <w:t>(8)</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8</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6"/>
                <w:szCs w:val="16"/>
                <w:i w:val="1"/>
                <w:iCs w:val="1"/>
                <w:color w:val="auto"/>
              </w:rPr>
              <w:t>Solaris</w:t>
            </w:r>
          </w:p>
        </w:tc>
        <w:tc>
          <w:tcPr>
            <w:tcW w:w="12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2014</w:t>
            </w:r>
          </w:p>
        </w:tc>
        <w:tc>
          <w:tcPr>
            <w:tcW w:w="22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20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Energy Major</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TFDE</w:t>
            </w: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October 2023</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9</w:t>
            </w:r>
          </w:p>
        </w:tc>
        <w:tc>
          <w:tcPr>
            <w:tcW w:w="1900" w:type="dxa"/>
            <w:vAlign w:val="bottom"/>
            <w:gridSpan w:val="2"/>
            <w:shd w:val="clear" w:color="auto" w:fill="E5FFFF"/>
          </w:tcPr>
          <w:p>
            <w:pPr>
              <w:ind w:left="100"/>
              <w:spacing w:after="0"/>
              <w:rPr>
                <w:sz w:val="20"/>
                <w:szCs w:val="20"/>
                <w:color w:val="auto"/>
              </w:rPr>
            </w:pPr>
            <w:r>
              <w:rPr>
                <w:rFonts w:ascii="Times New Roman" w:cs="Times New Roman" w:eastAsia="Times New Roman" w:hAnsi="Times New Roman"/>
                <w:sz w:val="16"/>
                <w:szCs w:val="16"/>
                <w:i w:val="1"/>
                <w:iCs w:val="1"/>
                <w:color w:val="auto"/>
              </w:rPr>
              <w:t>GasLog Santiago</w:t>
            </w:r>
          </w:p>
        </w:tc>
        <w:tc>
          <w:tcPr>
            <w:tcW w:w="1240" w:type="dxa"/>
            <w:vAlign w:val="bottom"/>
            <w:shd w:val="clear" w:color="auto" w:fill="E5FFFF"/>
          </w:tcPr>
          <w:p>
            <w:pPr>
              <w:ind w:left="460"/>
              <w:spacing w:after="0"/>
              <w:rPr>
                <w:sz w:val="20"/>
                <w:szCs w:val="20"/>
                <w:color w:val="auto"/>
              </w:rPr>
            </w:pPr>
            <w:r>
              <w:rPr>
                <w:rFonts w:ascii="Times New Roman" w:cs="Times New Roman" w:eastAsia="Times New Roman" w:hAnsi="Times New Roman"/>
                <w:sz w:val="16"/>
                <w:szCs w:val="16"/>
                <w:color w:val="auto"/>
              </w:rPr>
              <w:t>2013</w:t>
            </w:r>
          </w:p>
        </w:tc>
        <w:tc>
          <w:tcPr>
            <w:tcW w:w="220" w:type="dxa"/>
            <w:vAlign w:val="bottom"/>
            <w:shd w:val="clear" w:color="auto" w:fill="E5FFFF"/>
          </w:tcPr>
          <w:p>
            <w:pPr>
              <w:spacing w:after="0"/>
              <w:rPr>
                <w:sz w:val="21"/>
                <w:szCs w:val="21"/>
                <w:color w:val="auto"/>
              </w:rPr>
            </w:pPr>
          </w:p>
        </w:tc>
        <w:tc>
          <w:tcPr>
            <w:tcW w:w="12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200" w:type="dxa"/>
            <w:vAlign w:val="bottom"/>
            <w:shd w:val="clear" w:color="auto" w:fill="E5FFFF"/>
          </w:tcPr>
          <w:p>
            <w:pPr>
              <w:spacing w:after="0"/>
              <w:rPr>
                <w:sz w:val="21"/>
                <w:szCs w:val="21"/>
                <w:color w:val="auto"/>
              </w:rPr>
            </w:pPr>
          </w:p>
        </w:tc>
        <w:tc>
          <w:tcPr>
            <w:tcW w:w="1580" w:type="dxa"/>
            <w:vAlign w:val="bottom"/>
            <w:gridSpan w:val="2"/>
            <w:shd w:val="clear" w:color="auto" w:fill="E5FFFF"/>
          </w:tcPr>
          <w:p>
            <w:pPr>
              <w:jc w:val="center"/>
              <w:ind w:right="260"/>
              <w:spacing w:after="0" w:line="243" w:lineRule="exact"/>
              <w:rPr>
                <w:sz w:val="20"/>
                <w:szCs w:val="20"/>
                <w:color w:val="auto"/>
              </w:rPr>
            </w:pPr>
            <w:r>
              <w:rPr>
                <w:rFonts w:ascii="Times New Roman" w:cs="Times New Roman" w:eastAsia="Times New Roman" w:hAnsi="Times New Roman"/>
                <w:sz w:val="16"/>
                <w:szCs w:val="16"/>
                <w:color w:val="auto"/>
                <w:w w:val="94"/>
              </w:rPr>
              <w:t xml:space="preserve">Trafigura </w:t>
            </w:r>
            <w:r>
              <w:rPr>
                <w:rFonts w:ascii="Times New Roman" w:cs="Times New Roman" w:eastAsia="Times New Roman" w:hAnsi="Times New Roman"/>
                <w:sz w:val="26"/>
                <w:szCs w:val="26"/>
                <w:color w:val="auto"/>
                <w:w w:val="94"/>
                <w:vertAlign w:val="superscript"/>
              </w:rPr>
              <w:t>(16)</w:t>
            </w:r>
          </w:p>
        </w:tc>
        <w:tc>
          <w:tcPr>
            <w:tcW w:w="1500" w:type="dxa"/>
            <w:vAlign w:val="bottom"/>
            <w:gridSpan w:val="2"/>
            <w:shd w:val="clear" w:color="auto" w:fill="E5FF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TFDE</w:t>
            </w:r>
          </w:p>
        </w:tc>
        <w:tc>
          <w:tcPr>
            <w:tcW w:w="1740" w:type="dxa"/>
            <w:vAlign w:val="bottom"/>
            <w:gridSpan w:val="2"/>
            <w:shd w:val="clear" w:color="auto" w:fill="E5FFFF"/>
          </w:tcPr>
          <w:p>
            <w:pPr>
              <w:jc w:val="center"/>
              <w:ind w:right="220"/>
              <w:spacing w:after="0"/>
              <w:rPr>
                <w:sz w:val="20"/>
                <w:szCs w:val="20"/>
                <w:color w:val="auto"/>
              </w:rPr>
            </w:pPr>
            <w:r>
              <w:rPr>
                <w:rFonts w:ascii="Times New Roman" w:cs="Times New Roman" w:eastAsia="Times New Roman" w:hAnsi="Times New Roman"/>
                <w:sz w:val="16"/>
                <w:szCs w:val="16"/>
                <w:color w:val="auto"/>
              </w:rPr>
              <w:t>December 2023</w:t>
            </w:r>
          </w:p>
        </w:tc>
        <w:tc>
          <w:tcPr>
            <w:tcW w:w="132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5"/>
              </w:rPr>
              <w:t xml:space="preserve">2024–2028 </w:t>
            </w:r>
            <w:r>
              <w:rPr>
                <w:rFonts w:ascii="Times New Roman" w:cs="Times New Roman" w:eastAsia="Times New Roman" w:hAnsi="Times New Roman"/>
                <w:sz w:val="26"/>
                <w:szCs w:val="26"/>
                <w:color w:val="auto"/>
                <w:w w:val="95"/>
                <w:vertAlign w:val="superscript"/>
              </w:rPr>
              <w:t>(16)</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10</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6"/>
                <w:szCs w:val="16"/>
                <w:i w:val="1"/>
                <w:iCs w:val="1"/>
                <w:color w:val="auto"/>
              </w:rPr>
              <w:t>Methane Becki Anne</w:t>
            </w:r>
          </w:p>
        </w:tc>
        <w:tc>
          <w:tcPr>
            <w:tcW w:w="12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2010</w:t>
            </w:r>
          </w:p>
        </w:tc>
        <w:tc>
          <w:tcPr>
            <w:tcW w:w="2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170,000</w:t>
            </w:r>
          </w:p>
        </w:tc>
        <w:tc>
          <w:tcPr>
            <w:tcW w:w="200" w:type="dxa"/>
            <w:vAlign w:val="bottom"/>
          </w:tcPr>
          <w:p>
            <w:pPr>
              <w:spacing w:after="0"/>
              <w:rPr>
                <w:sz w:val="21"/>
                <w:szCs w:val="21"/>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Shell</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TFDE</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March 2024</w:t>
            </w:r>
          </w:p>
        </w:tc>
        <w:tc>
          <w:tcPr>
            <w:tcW w:w="132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6"/>
              </w:rPr>
              <w:t xml:space="preserve">2027-2029 </w:t>
            </w:r>
            <w:r>
              <w:rPr>
                <w:rFonts w:ascii="Times New Roman" w:cs="Times New Roman" w:eastAsia="Times New Roman" w:hAnsi="Times New Roman"/>
                <w:sz w:val="26"/>
                <w:szCs w:val="26"/>
                <w:color w:val="auto"/>
                <w:w w:val="96"/>
                <w:vertAlign w:val="superscript"/>
              </w:rPr>
              <w:t>(8)</w:t>
            </w:r>
          </w:p>
        </w:tc>
        <w:tc>
          <w:tcPr>
            <w:tcW w:w="0" w:type="dxa"/>
            <w:vAlign w:val="bottom"/>
          </w:tcPr>
          <w:p>
            <w:pPr>
              <w:spacing w:after="0"/>
              <w:rPr>
                <w:sz w:val="1"/>
                <w:szCs w:val="1"/>
                <w:color w:val="auto"/>
              </w:rPr>
            </w:pPr>
          </w:p>
        </w:tc>
      </w:tr>
      <w:tr>
        <w:trPr>
          <w:trHeight w:val="243"/>
        </w:trPr>
        <w:tc>
          <w:tcPr>
            <w:tcW w:w="2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11</w:t>
            </w:r>
          </w:p>
        </w:tc>
        <w:tc>
          <w:tcPr>
            <w:tcW w:w="1900" w:type="dxa"/>
            <w:vAlign w:val="bottom"/>
            <w:gridSpan w:val="2"/>
            <w:shd w:val="clear" w:color="auto" w:fill="E5FFFF"/>
          </w:tcPr>
          <w:p>
            <w:pPr>
              <w:ind w:left="100"/>
              <w:spacing w:after="0"/>
              <w:rPr>
                <w:sz w:val="20"/>
                <w:szCs w:val="20"/>
                <w:color w:val="auto"/>
              </w:rPr>
            </w:pPr>
            <w:r>
              <w:rPr>
                <w:rFonts w:ascii="Times New Roman" w:cs="Times New Roman" w:eastAsia="Times New Roman" w:hAnsi="Times New Roman"/>
                <w:sz w:val="16"/>
                <w:szCs w:val="16"/>
                <w:i w:val="1"/>
                <w:iCs w:val="1"/>
                <w:color w:val="auto"/>
              </w:rPr>
              <w:t>GasLog Greece</w:t>
            </w:r>
          </w:p>
        </w:tc>
        <w:tc>
          <w:tcPr>
            <w:tcW w:w="1240" w:type="dxa"/>
            <w:vAlign w:val="bottom"/>
            <w:shd w:val="clear" w:color="auto" w:fill="E5FFFF"/>
          </w:tcPr>
          <w:p>
            <w:pPr>
              <w:ind w:left="460"/>
              <w:spacing w:after="0"/>
              <w:rPr>
                <w:sz w:val="20"/>
                <w:szCs w:val="20"/>
                <w:color w:val="auto"/>
              </w:rPr>
            </w:pPr>
            <w:r>
              <w:rPr>
                <w:rFonts w:ascii="Times New Roman" w:cs="Times New Roman" w:eastAsia="Times New Roman" w:hAnsi="Times New Roman"/>
                <w:sz w:val="16"/>
                <w:szCs w:val="16"/>
                <w:color w:val="auto"/>
              </w:rPr>
              <w:t>2016</w:t>
            </w:r>
          </w:p>
        </w:tc>
        <w:tc>
          <w:tcPr>
            <w:tcW w:w="220" w:type="dxa"/>
            <w:vAlign w:val="bottom"/>
            <w:shd w:val="clear" w:color="auto" w:fill="E5FFFF"/>
          </w:tcPr>
          <w:p>
            <w:pPr>
              <w:spacing w:after="0"/>
              <w:rPr>
                <w:sz w:val="21"/>
                <w:szCs w:val="21"/>
                <w:color w:val="auto"/>
              </w:rPr>
            </w:pPr>
          </w:p>
        </w:tc>
        <w:tc>
          <w:tcPr>
            <w:tcW w:w="12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200" w:type="dxa"/>
            <w:vAlign w:val="bottom"/>
            <w:shd w:val="clear" w:color="auto" w:fill="E5FFFF"/>
          </w:tcPr>
          <w:p>
            <w:pPr>
              <w:spacing w:after="0"/>
              <w:rPr>
                <w:sz w:val="21"/>
                <w:szCs w:val="21"/>
                <w:color w:val="auto"/>
              </w:rPr>
            </w:pPr>
          </w:p>
        </w:tc>
        <w:tc>
          <w:tcPr>
            <w:tcW w:w="1580" w:type="dxa"/>
            <w:vAlign w:val="bottom"/>
            <w:gridSpan w:val="2"/>
            <w:shd w:val="clear" w:color="auto" w:fill="E5FF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Shell</w:t>
            </w:r>
          </w:p>
        </w:tc>
        <w:tc>
          <w:tcPr>
            <w:tcW w:w="1500" w:type="dxa"/>
            <w:vAlign w:val="bottom"/>
            <w:gridSpan w:val="2"/>
            <w:shd w:val="clear" w:color="auto" w:fill="E5FF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TFDE</w:t>
            </w:r>
          </w:p>
        </w:tc>
        <w:tc>
          <w:tcPr>
            <w:tcW w:w="1740" w:type="dxa"/>
            <w:vAlign w:val="bottom"/>
            <w:gridSpan w:val="2"/>
            <w:shd w:val="clear" w:color="auto" w:fill="E5FFFF"/>
          </w:tcPr>
          <w:p>
            <w:pPr>
              <w:jc w:val="center"/>
              <w:ind w:right="200"/>
              <w:spacing w:after="0"/>
              <w:rPr>
                <w:sz w:val="20"/>
                <w:szCs w:val="20"/>
                <w:color w:val="auto"/>
              </w:rPr>
            </w:pPr>
            <w:r>
              <w:rPr>
                <w:rFonts w:ascii="Times New Roman" w:cs="Times New Roman" w:eastAsia="Times New Roman" w:hAnsi="Times New Roman"/>
                <w:sz w:val="16"/>
                <w:szCs w:val="16"/>
                <w:color w:val="auto"/>
              </w:rPr>
              <w:t>March 2026</w:t>
            </w:r>
          </w:p>
        </w:tc>
        <w:tc>
          <w:tcPr>
            <w:tcW w:w="132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2"/>
              </w:rPr>
              <w:t xml:space="preserve">2031 </w:t>
            </w:r>
            <w:r>
              <w:rPr>
                <w:rFonts w:ascii="Times New Roman" w:cs="Times New Roman" w:eastAsia="Times New Roman" w:hAnsi="Times New Roman"/>
                <w:sz w:val="26"/>
                <w:szCs w:val="26"/>
                <w:color w:val="auto"/>
                <w:w w:val="92"/>
                <w:vertAlign w:val="superscript"/>
              </w:rPr>
              <w:t>(8)</w:t>
            </w:r>
          </w:p>
        </w:tc>
        <w:tc>
          <w:tcPr>
            <w:tcW w:w="0" w:type="dxa"/>
            <w:vAlign w:val="bottom"/>
          </w:tcPr>
          <w:p>
            <w:pPr>
              <w:spacing w:after="0"/>
              <w:rPr>
                <w:sz w:val="1"/>
                <w:szCs w:val="1"/>
                <w:color w:val="auto"/>
              </w:rPr>
            </w:pPr>
          </w:p>
        </w:tc>
      </w:tr>
      <w:tr>
        <w:trPr>
          <w:trHeight w:val="355"/>
        </w:trPr>
        <w:tc>
          <w:tcPr>
            <w:tcW w:w="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12</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6"/>
                <w:szCs w:val="16"/>
                <w:i w:val="1"/>
                <w:iCs w:val="1"/>
                <w:color w:val="auto"/>
              </w:rPr>
              <w:t>GasLog Glasgow</w:t>
            </w:r>
          </w:p>
        </w:tc>
        <w:tc>
          <w:tcPr>
            <w:tcW w:w="12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2016</w:t>
            </w:r>
          </w:p>
        </w:tc>
        <w:tc>
          <w:tcPr>
            <w:tcW w:w="2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200" w:type="dxa"/>
            <w:vAlign w:val="bottom"/>
          </w:tcPr>
          <w:p>
            <w:pPr>
              <w:spacing w:after="0"/>
              <w:rPr>
                <w:sz w:val="24"/>
                <w:szCs w:val="24"/>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Shell</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TFDE</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June 2026</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 xml:space="preserve">2031 </w:t>
            </w:r>
            <w:r>
              <w:rPr>
                <w:rFonts w:ascii="Times New Roman" w:cs="Times New Roman" w:eastAsia="Times New Roman" w:hAnsi="Times New Roman"/>
                <w:sz w:val="26"/>
                <w:szCs w:val="26"/>
                <w:color w:val="auto"/>
                <w:w w:val="92"/>
                <w:vertAlign w:val="superscript"/>
              </w:rPr>
              <w:t>(8)</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Bareboat Vessels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November 10, 2022, our bareboat fleet consisted of the following vessels: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Cargo</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Charterer (for</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Charter</w:t>
            </w:r>
          </w:p>
        </w:tc>
        <w:tc>
          <w:tcPr>
            <w:tcW w:w="134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Optional</w:t>
            </w:r>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460"/>
              <w:spacing w:after="0" w:line="165" w:lineRule="exact"/>
              <w:rPr>
                <w:sz w:val="20"/>
                <w:szCs w:val="20"/>
                <w:color w:val="auto"/>
              </w:rPr>
            </w:pPr>
            <w:r>
              <w:rPr>
                <w:rFonts w:ascii="Times New Roman" w:cs="Times New Roman" w:eastAsia="Times New Roman" w:hAnsi="Times New Roman"/>
                <w:sz w:val="16"/>
                <w:szCs w:val="16"/>
                <w:b w:val="1"/>
                <w:bCs w:val="1"/>
                <w:color w:val="auto"/>
              </w:rPr>
              <w:t>Year</w:t>
            </w:r>
          </w:p>
        </w:tc>
        <w:tc>
          <w:tcPr>
            <w:tcW w:w="1520" w:type="dxa"/>
            <w:vAlign w:val="bottom"/>
            <w:gridSpan w:val="2"/>
          </w:tcPr>
          <w:p>
            <w:pPr>
              <w:ind w:left="340"/>
              <w:spacing w:after="0" w:line="165" w:lineRule="exact"/>
              <w:rPr>
                <w:sz w:val="20"/>
                <w:szCs w:val="20"/>
                <w:color w:val="auto"/>
              </w:rPr>
            </w:pPr>
            <w:r>
              <w:rPr>
                <w:rFonts w:ascii="Times New Roman" w:cs="Times New Roman" w:eastAsia="Times New Roman" w:hAnsi="Times New Roman"/>
                <w:sz w:val="16"/>
                <w:szCs w:val="16"/>
                <w:b w:val="1"/>
                <w:bCs w:val="1"/>
                <w:color w:val="auto"/>
              </w:rPr>
              <w:t>Capacity</w:t>
            </w:r>
          </w:p>
        </w:tc>
        <w:tc>
          <w:tcPr>
            <w:tcW w:w="154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6"/>
                <w:szCs w:val="16"/>
                <w:b w:val="1"/>
                <w:bCs w:val="1"/>
                <w:color w:val="auto"/>
                <w:w w:val="99"/>
              </w:rPr>
              <w:t>contracts of more</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Vessel Name</w:t>
            </w:r>
          </w:p>
        </w:tc>
        <w:tc>
          <w:tcPr>
            <w:tcW w:w="200" w:type="dxa"/>
            <w:vAlign w:val="bottom"/>
            <w:tcBorders>
              <w:bottom w:val="single" w:sz="8" w:color="E5FFFF"/>
            </w:tcBorders>
          </w:tcPr>
          <w:p>
            <w:pPr>
              <w:spacing w:after="0"/>
              <w:rPr>
                <w:sz w:val="22"/>
                <w:szCs w:val="22"/>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Built</w:t>
            </w:r>
          </w:p>
        </w:tc>
        <w:tc>
          <w:tcPr>
            <w:tcW w:w="220" w:type="dxa"/>
            <w:vAlign w:val="bottom"/>
            <w:tcBorders>
              <w:bottom w:val="single" w:sz="8" w:color="E5FFFF"/>
            </w:tcBorders>
          </w:tcPr>
          <w:p>
            <w:pPr>
              <w:spacing w:after="0"/>
              <w:rPr>
                <w:sz w:val="22"/>
                <w:szCs w:val="22"/>
                <w:color w:val="auto"/>
              </w:rPr>
            </w:pPr>
          </w:p>
        </w:tc>
        <w:tc>
          <w:tcPr>
            <w:tcW w:w="13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(cbm)</w:t>
            </w:r>
          </w:p>
        </w:tc>
        <w:tc>
          <w:tcPr>
            <w:tcW w:w="220" w:type="dxa"/>
            <w:vAlign w:val="bottom"/>
            <w:tcBorders>
              <w:bottom w:val="single" w:sz="8" w:color="E5FFFF"/>
            </w:tcBorders>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than six months)</w:t>
            </w:r>
          </w:p>
        </w:tc>
        <w:tc>
          <w:tcPr>
            <w:tcW w:w="220" w:type="dxa"/>
            <w:vAlign w:val="bottom"/>
            <w:tcBorders>
              <w:bottom w:val="single" w:sz="8" w:color="E5FFFF"/>
            </w:tcBorders>
          </w:tcPr>
          <w:p>
            <w:pPr>
              <w:spacing w:after="0"/>
              <w:rPr>
                <w:sz w:val="22"/>
                <w:szCs w:val="22"/>
                <w:color w:val="auto"/>
              </w:rPr>
            </w:pPr>
          </w:p>
        </w:tc>
        <w:tc>
          <w:tcPr>
            <w:tcW w:w="13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Propulsion</w:t>
            </w:r>
          </w:p>
        </w:tc>
        <w:tc>
          <w:tcPr>
            <w:tcW w:w="220" w:type="dxa"/>
            <w:vAlign w:val="bottom"/>
            <w:tcBorders>
              <w:bottom w:val="single" w:sz="8" w:color="E5FFFF"/>
            </w:tcBorders>
          </w:tcPr>
          <w:p>
            <w:pPr>
              <w:spacing w:after="0"/>
              <w:rPr>
                <w:sz w:val="22"/>
                <w:szCs w:val="22"/>
                <w:color w:val="auto"/>
              </w:rPr>
            </w:pPr>
          </w:p>
        </w:tc>
        <w:tc>
          <w:tcPr>
            <w:tcW w:w="132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7"/>
              </w:rPr>
              <w:t>Expiration</w:t>
            </w:r>
            <w:r>
              <w:rPr>
                <w:rFonts w:ascii="Times New Roman" w:cs="Times New Roman" w:eastAsia="Times New Roman" w:hAnsi="Times New Roman"/>
                <w:sz w:val="26"/>
                <w:szCs w:val="26"/>
                <w:b w:val="1"/>
                <w:bCs w:val="1"/>
                <w:color w:val="auto"/>
                <w:w w:val="97"/>
                <w:vertAlign w:val="superscript"/>
              </w:rPr>
              <w:t>(1)</w:t>
            </w:r>
          </w:p>
        </w:tc>
        <w:tc>
          <w:tcPr>
            <w:tcW w:w="220" w:type="dxa"/>
            <w:vAlign w:val="bottom"/>
            <w:tcBorders>
              <w:bottom w:val="single" w:sz="8" w:color="E5FFFF"/>
            </w:tcBorders>
          </w:tcPr>
          <w:p>
            <w:pPr>
              <w:spacing w:after="0"/>
              <w:rPr>
                <w:sz w:val="22"/>
                <w:szCs w:val="22"/>
                <w:color w:val="auto"/>
              </w:rPr>
            </w:pPr>
          </w:p>
        </w:tc>
        <w:tc>
          <w:tcPr>
            <w:tcW w:w="1340" w:type="dxa"/>
            <w:vAlign w:val="bottom"/>
            <w:tcBorders>
              <w:bottom w:val="single" w:sz="8" w:color="auto"/>
            </w:tcBorders>
          </w:tcPr>
          <w:p>
            <w:pPr>
              <w:ind w:left="360"/>
              <w:spacing w:after="0" w:line="256" w:lineRule="exact"/>
              <w:rPr>
                <w:sz w:val="20"/>
                <w:szCs w:val="20"/>
                <w:color w:val="auto"/>
              </w:rPr>
            </w:pPr>
            <w:r>
              <w:rPr>
                <w:rFonts w:ascii="Times New Roman" w:cs="Times New Roman" w:eastAsia="Times New Roman" w:hAnsi="Times New Roman"/>
                <w:sz w:val="16"/>
                <w:szCs w:val="16"/>
                <w:b w:val="1"/>
                <w:bCs w:val="1"/>
                <w:color w:val="auto"/>
              </w:rPr>
              <w:t>Period</w:t>
            </w:r>
            <w:r>
              <w:rPr>
                <w:rFonts w:ascii="Times New Roman" w:cs="Times New Roman" w:eastAsia="Times New Roman" w:hAnsi="Times New Roman"/>
                <w:sz w:val="26"/>
                <w:szCs w:val="26"/>
                <w:b w:val="1"/>
                <w:bCs w:val="1"/>
                <w:color w:val="auto"/>
                <w:vertAlign w:val="superscript"/>
              </w:rPr>
              <w:t>(2)</w:t>
            </w:r>
          </w:p>
        </w:tc>
        <w:tc>
          <w:tcPr>
            <w:tcW w:w="0" w:type="dxa"/>
            <w:vAlign w:val="bottom"/>
          </w:tcPr>
          <w:p>
            <w:pPr>
              <w:spacing w:after="0"/>
              <w:rPr>
                <w:sz w:val="1"/>
                <w:szCs w:val="1"/>
                <w:color w:val="auto"/>
              </w:rPr>
            </w:pPr>
          </w:p>
        </w:tc>
      </w:tr>
      <w:tr>
        <w:trPr>
          <w:trHeight w:val="236"/>
        </w:trPr>
        <w:tc>
          <w:tcPr>
            <w:tcW w:w="240" w:type="dxa"/>
            <w:vAlign w:val="bottom"/>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1</w:t>
            </w:r>
          </w:p>
        </w:tc>
        <w:tc>
          <w:tcPr>
            <w:tcW w:w="1840" w:type="dxa"/>
            <w:vAlign w:val="bottom"/>
            <w:shd w:val="clear" w:color="auto" w:fill="E5FFFF"/>
          </w:tcPr>
          <w:p>
            <w:pPr>
              <w:ind w:left="160"/>
              <w:spacing w:after="0" w:line="236" w:lineRule="exact"/>
              <w:rPr>
                <w:sz w:val="20"/>
                <w:szCs w:val="20"/>
                <w:color w:val="auto"/>
              </w:rPr>
            </w:pPr>
            <w:r>
              <w:rPr>
                <w:rFonts w:ascii="Times New Roman" w:cs="Times New Roman" w:eastAsia="Times New Roman" w:hAnsi="Times New Roman"/>
                <w:sz w:val="16"/>
                <w:szCs w:val="16"/>
                <w:i w:val="1"/>
                <w:iCs w:val="1"/>
                <w:color w:val="auto"/>
              </w:rPr>
              <w:t xml:space="preserve">GasLog Salem </w:t>
            </w:r>
            <w:r>
              <w:rPr>
                <w:rFonts w:ascii="Times New Roman" w:cs="Times New Roman" w:eastAsia="Times New Roman" w:hAnsi="Times New Roman"/>
                <w:sz w:val="26"/>
                <w:szCs w:val="26"/>
                <w:i w:val="1"/>
                <w:iCs w:val="1"/>
                <w:color w:val="auto"/>
                <w:vertAlign w:val="superscript"/>
              </w:rPr>
              <w:t>(17)</w:t>
            </w:r>
          </w:p>
        </w:tc>
        <w:tc>
          <w:tcPr>
            <w:tcW w:w="200" w:type="dxa"/>
            <w:vAlign w:val="bottom"/>
            <w:shd w:val="clear" w:color="auto" w:fill="E5FFFF"/>
          </w:tcPr>
          <w:p>
            <w:pPr>
              <w:spacing w:after="0"/>
              <w:rPr>
                <w:sz w:val="20"/>
                <w:szCs w:val="20"/>
                <w:color w:val="auto"/>
              </w:rPr>
            </w:pPr>
          </w:p>
        </w:tc>
        <w:tc>
          <w:tcPr>
            <w:tcW w:w="1260" w:type="dxa"/>
            <w:vAlign w:val="bottom"/>
            <w:shd w:val="clear" w:color="auto" w:fill="E5FFFF"/>
          </w:tcPr>
          <w:p>
            <w:pPr>
              <w:jc w:val="right"/>
              <w:ind w:right="359"/>
              <w:spacing w:after="0"/>
              <w:rPr>
                <w:sz w:val="20"/>
                <w:szCs w:val="20"/>
                <w:color w:val="auto"/>
              </w:rPr>
            </w:pPr>
            <w:r>
              <w:rPr>
                <w:rFonts w:ascii="Times New Roman" w:cs="Times New Roman" w:eastAsia="Times New Roman" w:hAnsi="Times New Roman"/>
                <w:sz w:val="16"/>
                <w:szCs w:val="16"/>
                <w:color w:val="auto"/>
              </w:rPr>
              <w:t>2015</w:t>
            </w:r>
          </w:p>
        </w:tc>
        <w:tc>
          <w:tcPr>
            <w:tcW w:w="220" w:type="dxa"/>
            <w:vAlign w:val="bottom"/>
            <w:shd w:val="clear" w:color="auto" w:fill="E5FFFF"/>
          </w:tcPr>
          <w:p>
            <w:pPr>
              <w:spacing w:after="0"/>
              <w:rPr>
                <w:sz w:val="20"/>
                <w:szCs w:val="20"/>
                <w:color w:val="auto"/>
              </w:rPr>
            </w:pPr>
          </w:p>
        </w:tc>
        <w:tc>
          <w:tcPr>
            <w:tcW w:w="1300" w:type="dxa"/>
            <w:vAlign w:val="bottom"/>
            <w:shd w:val="clear" w:color="auto" w:fill="E5FFFF"/>
          </w:tcPr>
          <w:p>
            <w:pPr>
              <w:ind w:left="420"/>
              <w:spacing w:after="0"/>
              <w:rPr>
                <w:sz w:val="20"/>
                <w:szCs w:val="20"/>
                <w:color w:val="auto"/>
              </w:rPr>
            </w:pPr>
            <w:r>
              <w:rPr>
                <w:rFonts w:ascii="Times New Roman" w:cs="Times New Roman" w:eastAsia="Times New Roman" w:hAnsi="Times New Roman"/>
                <w:sz w:val="16"/>
                <w:szCs w:val="16"/>
                <w:color w:val="auto"/>
              </w:rPr>
              <w:t>155,000</w:t>
            </w:r>
          </w:p>
        </w:tc>
        <w:tc>
          <w:tcPr>
            <w:tcW w:w="220" w:type="dxa"/>
            <w:vAlign w:val="bottom"/>
            <w:shd w:val="clear" w:color="auto" w:fill="E5FFFF"/>
          </w:tcPr>
          <w:p>
            <w:pPr>
              <w:spacing w:after="0"/>
              <w:rPr>
                <w:sz w:val="20"/>
                <w:szCs w:val="20"/>
                <w:color w:val="auto"/>
              </w:rPr>
            </w:pPr>
          </w:p>
        </w:tc>
        <w:tc>
          <w:tcPr>
            <w:tcW w:w="1540" w:type="dxa"/>
            <w:vAlign w:val="bottom"/>
            <w:gridSpan w:val="2"/>
            <w:shd w:val="clear" w:color="auto" w:fill="E5FFFF"/>
          </w:tcPr>
          <w:p>
            <w:pPr>
              <w:jc w:val="center"/>
              <w:ind w:right="160"/>
              <w:spacing w:after="0"/>
              <w:rPr>
                <w:sz w:val="20"/>
                <w:szCs w:val="20"/>
                <w:color w:val="auto"/>
              </w:rPr>
            </w:pPr>
            <w:r>
              <w:rPr>
                <w:rFonts w:ascii="Times New Roman" w:cs="Times New Roman" w:eastAsia="Times New Roman" w:hAnsi="Times New Roman"/>
                <w:sz w:val="16"/>
                <w:szCs w:val="16"/>
                <w:color w:val="auto"/>
              </w:rPr>
              <w:t>Gunvor</w:t>
            </w:r>
          </w:p>
        </w:tc>
        <w:tc>
          <w:tcPr>
            <w:tcW w:w="1540" w:type="dxa"/>
            <w:vAlign w:val="bottom"/>
            <w:gridSpan w:val="2"/>
            <w:shd w:val="clear" w:color="auto" w:fill="E5FFFF"/>
          </w:tcPr>
          <w:p>
            <w:pPr>
              <w:ind w:left="500"/>
              <w:spacing w:after="0"/>
              <w:rPr>
                <w:sz w:val="20"/>
                <w:szCs w:val="20"/>
                <w:color w:val="auto"/>
              </w:rPr>
            </w:pPr>
            <w:r>
              <w:rPr>
                <w:rFonts w:ascii="Times New Roman" w:cs="Times New Roman" w:eastAsia="Times New Roman" w:hAnsi="Times New Roman"/>
                <w:sz w:val="16"/>
                <w:szCs w:val="16"/>
                <w:color w:val="auto"/>
              </w:rPr>
              <w:t>TFDE</w:t>
            </w:r>
          </w:p>
        </w:tc>
        <w:tc>
          <w:tcPr>
            <w:tcW w:w="1540" w:type="dxa"/>
            <w:vAlign w:val="bottom"/>
            <w:gridSpan w:val="2"/>
            <w:shd w:val="clear" w:color="auto" w:fill="E5FFFF"/>
          </w:tcPr>
          <w:p>
            <w:pPr>
              <w:jc w:val="center"/>
              <w:ind w:right="160"/>
              <w:spacing w:after="0"/>
              <w:rPr>
                <w:sz w:val="20"/>
                <w:szCs w:val="20"/>
                <w:color w:val="auto"/>
              </w:rPr>
            </w:pPr>
            <w:r>
              <w:rPr>
                <w:rFonts w:ascii="Times New Roman" w:cs="Times New Roman" w:eastAsia="Times New Roman" w:hAnsi="Times New Roman"/>
                <w:sz w:val="16"/>
                <w:szCs w:val="16"/>
                <w:color w:val="auto"/>
              </w:rPr>
              <w:t>March 2026</w:t>
            </w:r>
          </w:p>
        </w:tc>
        <w:tc>
          <w:tcPr>
            <w:tcW w:w="1340" w:type="dxa"/>
            <w:vAlign w:val="bottom"/>
            <w:shd w:val="clear" w:color="auto" w:fill="E5FF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2</w:t>
            </w:r>
          </w:p>
        </w:tc>
        <w:tc>
          <w:tcPr>
            <w:tcW w:w="204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16"/>
                <w:szCs w:val="16"/>
                <w:i w:val="1"/>
                <w:iCs w:val="1"/>
                <w:color w:val="auto"/>
              </w:rPr>
              <w:t xml:space="preserve">GasLog Skagen </w:t>
            </w:r>
            <w:r>
              <w:rPr>
                <w:rFonts w:ascii="Times New Roman" w:cs="Times New Roman" w:eastAsia="Times New Roman" w:hAnsi="Times New Roman"/>
                <w:sz w:val="26"/>
                <w:szCs w:val="26"/>
                <w:i w:val="1"/>
                <w:iCs w:val="1"/>
                <w:color w:val="auto"/>
                <w:vertAlign w:val="superscript"/>
              </w:rPr>
              <w:t>(17)</w:t>
            </w: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2013</w:t>
            </w:r>
          </w:p>
        </w:tc>
        <w:tc>
          <w:tcPr>
            <w:tcW w:w="220" w:type="dxa"/>
            <w:vAlign w:val="bottom"/>
          </w:tcPr>
          <w:p>
            <w:pPr>
              <w:spacing w:after="0"/>
              <w:rPr>
                <w:sz w:val="21"/>
                <w:szCs w:val="21"/>
                <w:color w:val="auto"/>
              </w:rPr>
            </w:pPr>
          </w:p>
        </w:tc>
        <w:tc>
          <w:tcPr>
            <w:tcW w:w="13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155,000</w:t>
            </w:r>
          </w:p>
        </w:tc>
        <w:tc>
          <w:tcPr>
            <w:tcW w:w="220" w:type="dxa"/>
            <w:vAlign w:val="bottom"/>
          </w:tcPr>
          <w:p>
            <w:pPr>
              <w:spacing w:after="0"/>
              <w:rPr>
                <w:sz w:val="21"/>
                <w:szCs w:val="21"/>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9"/>
              </w:rPr>
              <w:t>Tokyo LNG</w:t>
            </w:r>
          </w:p>
        </w:tc>
        <w:tc>
          <w:tcPr>
            <w:tcW w:w="15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TFDE</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September 2024</w:t>
            </w:r>
          </w:p>
        </w:tc>
        <w:tc>
          <w:tcPr>
            <w:tcW w:w="13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40" w:type="dxa"/>
            <w:vAlign w:val="bottom"/>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3</w:t>
            </w:r>
          </w:p>
        </w:tc>
        <w:tc>
          <w:tcPr>
            <w:tcW w:w="2040" w:type="dxa"/>
            <w:vAlign w:val="bottom"/>
            <w:gridSpan w:val="2"/>
            <w:shd w:val="clear" w:color="auto" w:fill="E5FFFF"/>
          </w:tcPr>
          <w:p>
            <w:pPr>
              <w:ind w:left="160"/>
              <w:spacing w:after="0" w:line="243" w:lineRule="exact"/>
              <w:rPr>
                <w:sz w:val="20"/>
                <w:szCs w:val="20"/>
                <w:color w:val="auto"/>
              </w:rPr>
            </w:pPr>
            <w:r>
              <w:rPr>
                <w:rFonts w:ascii="Times New Roman" w:cs="Times New Roman" w:eastAsia="Times New Roman" w:hAnsi="Times New Roman"/>
                <w:sz w:val="16"/>
                <w:szCs w:val="16"/>
                <w:i w:val="1"/>
                <w:iCs w:val="1"/>
                <w:color w:val="auto"/>
              </w:rPr>
              <w:t xml:space="preserve">GasLog Hong Kong </w:t>
            </w:r>
            <w:r>
              <w:rPr>
                <w:rFonts w:ascii="Times New Roman" w:cs="Times New Roman" w:eastAsia="Times New Roman" w:hAnsi="Times New Roman"/>
                <w:sz w:val="26"/>
                <w:szCs w:val="26"/>
                <w:i w:val="1"/>
                <w:iCs w:val="1"/>
                <w:color w:val="auto"/>
                <w:vertAlign w:val="superscript"/>
              </w:rPr>
              <w:t>(17)</w:t>
            </w:r>
          </w:p>
        </w:tc>
        <w:tc>
          <w:tcPr>
            <w:tcW w:w="1260" w:type="dxa"/>
            <w:vAlign w:val="bottom"/>
            <w:shd w:val="clear" w:color="auto" w:fill="E5FFFF"/>
          </w:tcPr>
          <w:p>
            <w:pPr>
              <w:jc w:val="right"/>
              <w:ind w:right="359"/>
              <w:spacing w:after="0"/>
              <w:rPr>
                <w:sz w:val="20"/>
                <w:szCs w:val="20"/>
                <w:color w:val="auto"/>
              </w:rPr>
            </w:pPr>
            <w:r>
              <w:rPr>
                <w:rFonts w:ascii="Times New Roman" w:cs="Times New Roman" w:eastAsia="Times New Roman" w:hAnsi="Times New Roman"/>
                <w:sz w:val="16"/>
                <w:szCs w:val="16"/>
                <w:color w:val="auto"/>
              </w:rPr>
              <w:t>2018</w:t>
            </w:r>
          </w:p>
        </w:tc>
        <w:tc>
          <w:tcPr>
            <w:tcW w:w="220" w:type="dxa"/>
            <w:vAlign w:val="bottom"/>
            <w:shd w:val="clear" w:color="auto" w:fill="E5FFFF"/>
          </w:tcPr>
          <w:p>
            <w:pPr>
              <w:spacing w:after="0"/>
              <w:rPr>
                <w:sz w:val="21"/>
                <w:szCs w:val="21"/>
                <w:color w:val="auto"/>
              </w:rPr>
            </w:pPr>
          </w:p>
        </w:tc>
        <w:tc>
          <w:tcPr>
            <w:tcW w:w="1300" w:type="dxa"/>
            <w:vAlign w:val="bottom"/>
            <w:shd w:val="clear" w:color="auto" w:fill="E5FFFF"/>
          </w:tcPr>
          <w:p>
            <w:pPr>
              <w:ind w:left="420"/>
              <w:spacing w:after="0"/>
              <w:rPr>
                <w:sz w:val="20"/>
                <w:szCs w:val="20"/>
                <w:color w:val="auto"/>
              </w:rPr>
            </w:pPr>
            <w:r>
              <w:rPr>
                <w:rFonts w:ascii="Times New Roman" w:cs="Times New Roman" w:eastAsia="Times New Roman" w:hAnsi="Times New Roman"/>
                <w:sz w:val="16"/>
                <w:szCs w:val="16"/>
                <w:color w:val="auto"/>
              </w:rPr>
              <w:t>174,000</w:t>
            </w:r>
          </w:p>
        </w:tc>
        <w:tc>
          <w:tcPr>
            <w:tcW w:w="220" w:type="dxa"/>
            <w:vAlign w:val="bottom"/>
            <w:shd w:val="clear" w:color="auto" w:fill="E5FFFF"/>
          </w:tcPr>
          <w:p>
            <w:pPr>
              <w:spacing w:after="0"/>
              <w:rPr>
                <w:sz w:val="21"/>
                <w:szCs w:val="21"/>
                <w:color w:val="auto"/>
              </w:rPr>
            </w:pPr>
          </w:p>
        </w:tc>
        <w:tc>
          <w:tcPr>
            <w:tcW w:w="1540" w:type="dxa"/>
            <w:vAlign w:val="bottom"/>
            <w:gridSpan w:val="2"/>
            <w:shd w:val="clear" w:color="auto" w:fill="E5FFFF"/>
          </w:tcPr>
          <w:p>
            <w:pPr>
              <w:jc w:val="center"/>
              <w:ind w:right="180"/>
              <w:spacing w:after="0" w:line="243" w:lineRule="exact"/>
              <w:rPr>
                <w:sz w:val="20"/>
                <w:szCs w:val="20"/>
                <w:color w:val="auto"/>
              </w:rPr>
            </w:pPr>
            <w:r>
              <w:rPr>
                <w:rFonts w:ascii="Times New Roman" w:cs="Times New Roman" w:eastAsia="Times New Roman" w:hAnsi="Times New Roman"/>
                <w:sz w:val="16"/>
                <w:szCs w:val="16"/>
                <w:color w:val="auto"/>
                <w:w w:val="94"/>
              </w:rPr>
              <w:t xml:space="preserve">TotalEnergies </w:t>
            </w:r>
            <w:r>
              <w:rPr>
                <w:rFonts w:ascii="Times New Roman" w:cs="Times New Roman" w:eastAsia="Times New Roman" w:hAnsi="Times New Roman"/>
                <w:sz w:val="26"/>
                <w:szCs w:val="26"/>
                <w:color w:val="auto"/>
                <w:w w:val="94"/>
                <w:vertAlign w:val="superscript"/>
              </w:rPr>
              <w:t>(18)</w:t>
            </w:r>
          </w:p>
        </w:tc>
        <w:tc>
          <w:tcPr>
            <w:tcW w:w="1540" w:type="dxa"/>
            <w:vAlign w:val="bottom"/>
            <w:gridSpan w:val="2"/>
            <w:shd w:val="clear" w:color="auto" w:fill="E5FFFF"/>
          </w:tcPr>
          <w:p>
            <w:pPr>
              <w:ind w:left="500"/>
              <w:spacing w:after="0"/>
              <w:rPr>
                <w:sz w:val="20"/>
                <w:szCs w:val="20"/>
                <w:color w:val="auto"/>
              </w:rPr>
            </w:pPr>
            <w:r>
              <w:rPr>
                <w:rFonts w:ascii="Times New Roman" w:cs="Times New Roman" w:eastAsia="Times New Roman" w:hAnsi="Times New Roman"/>
                <w:sz w:val="16"/>
                <w:szCs w:val="16"/>
                <w:color w:val="auto"/>
              </w:rPr>
              <w:t>X-DF</w:t>
            </w:r>
          </w:p>
        </w:tc>
        <w:tc>
          <w:tcPr>
            <w:tcW w:w="1540" w:type="dxa"/>
            <w:vAlign w:val="bottom"/>
            <w:gridSpan w:val="2"/>
            <w:shd w:val="clear" w:color="auto" w:fill="E5FFFF"/>
          </w:tcPr>
          <w:p>
            <w:pPr>
              <w:jc w:val="center"/>
              <w:ind w:right="160"/>
              <w:spacing w:after="0"/>
              <w:rPr>
                <w:sz w:val="20"/>
                <w:szCs w:val="20"/>
                <w:color w:val="auto"/>
              </w:rPr>
            </w:pPr>
            <w:r>
              <w:rPr>
                <w:rFonts w:ascii="Times New Roman" w:cs="Times New Roman" w:eastAsia="Times New Roman" w:hAnsi="Times New Roman"/>
                <w:sz w:val="16"/>
                <w:szCs w:val="16"/>
                <w:color w:val="auto"/>
              </w:rPr>
              <w:t>December 2025</w:t>
            </w:r>
          </w:p>
        </w:tc>
        <w:tc>
          <w:tcPr>
            <w:tcW w:w="134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2"/>
              </w:rPr>
              <w:t xml:space="preserve">2028 </w:t>
            </w:r>
            <w:r>
              <w:rPr>
                <w:rFonts w:ascii="Times New Roman" w:cs="Times New Roman" w:eastAsia="Times New Roman" w:hAnsi="Times New Roman"/>
                <w:sz w:val="26"/>
                <w:szCs w:val="26"/>
                <w:color w:val="auto"/>
                <w:w w:val="92"/>
                <w:vertAlign w:val="superscript"/>
              </w:rPr>
              <w:t>(18)</w:t>
            </w:r>
          </w:p>
        </w:tc>
        <w:tc>
          <w:tcPr>
            <w:tcW w:w="0" w:type="dxa"/>
            <w:vAlign w:val="bottom"/>
          </w:tcPr>
          <w:p>
            <w:pPr>
              <w:spacing w:after="0"/>
              <w:rPr>
                <w:sz w:val="1"/>
                <w:szCs w:val="1"/>
                <w:color w:val="auto"/>
              </w:rPr>
            </w:pPr>
          </w:p>
        </w:tc>
      </w:tr>
      <w:tr>
        <w:trPr>
          <w:trHeight w:val="243"/>
        </w:trPr>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4</w:t>
            </w:r>
          </w:p>
        </w:tc>
        <w:tc>
          <w:tcPr>
            <w:tcW w:w="204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16"/>
                <w:szCs w:val="16"/>
                <w:i w:val="1"/>
                <w:iCs w:val="1"/>
                <w:color w:val="auto"/>
              </w:rPr>
              <w:t xml:space="preserve">Methane Julia Louise </w:t>
            </w:r>
            <w:r>
              <w:rPr>
                <w:rFonts w:ascii="Times New Roman" w:cs="Times New Roman" w:eastAsia="Times New Roman" w:hAnsi="Times New Roman"/>
                <w:sz w:val="26"/>
                <w:szCs w:val="26"/>
                <w:i w:val="1"/>
                <w:iCs w:val="1"/>
                <w:color w:val="auto"/>
                <w:vertAlign w:val="superscript"/>
              </w:rPr>
              <w:t>(17)</w:t>
            </w: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2010</w:t>
            </w:r>
          </w:p>
        </w:tc>
        <w:tc>
          <w:tcPr>
            <w:tcW w:w="220" w:type="dxa"/>
            <w:vAlign w:val="bottom"/>
          </w:tcPr>
          <w:p>
            <w:pPr>
              <w:spacing w:after="0"/>
              <w:rPr>
                <w:sz w:val="21"/>
                <w:szCs w:val="21"/>
                <w:color w:val="auto"/>
              </w:rPr>
            </w:pPr>
          </w:p>
        </w:tc>
        <w:tc>
          <w:tcPr>
            <w:tcW w:w="13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170,000</w:t>
            </w:r>
          </w:p>
        </w:tc>
        <w:tc>
          <w:tcPr>
            <w:tcW w:w="220" w:type="dxa"/>
            <w:vAlign w:val="bottom"/>
          </w:tcPr>
          <w:p>
            <w:pPr>
              <w:spacing w:after="0"/>
              <w:rPr>
                <w:sz w:val="21"/>
                <w:szCs w:val="21"/>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Shell</w:t>
            </w:r>
          </w:p>
        </w:tc>
        <w:tc>
          <w:tcPr>
            <w:tcW w:w="15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TFDE</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March 2026</w:t>
            </w:r>
          </w:p>
        </w:tc>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6"/>
              </w:rPr>
              <w:t xml:space="preserve">2029-2031 </w:t>
            </w:r>
            <w:r>
              <w:rPr>
                <w:rFonts w:ascii="Times New Roman" w:cs="Times New Roman" w:eastAsia="Times New Roman" w:hAnsi="Times New Roman"/>
                <w:sz w:val="26"/>
                <w:szCs w:val="26"/>
                <w:color w:val="auto"/>
                <w:w w:val="96"/>
                <w:vertAlign w:val="superscript"/>
              </w:rPr>
              <w:t>(8)</w:t>
            </w:r>
          </w:p>
        </w:tc>
        <w:tc>
          <w:tcPr>
            <w:tcW w:w="0" w:type="dxa"/>
            <w:vAlign w:val="bottom"/>
          </w:tcPr>
          <w:p>
            <w:pPr>
              <w:spacing w:after="0"/>
              <w:rPr>
                <w:sz w:val="1"/>
                <w:szCs w:val="1"/>
                <w:color w:val="auto"/>
              </w:rPr>
            </w:pPr>
          </w:p>
        </w:tc>
      </w:tr>
      <w:tr>
        <w:trPr>
          <w:trHeight w:val="243"/>
        </w:trPr>
        <w:tc>
          <w:tcPr>
            <w:tcW w:w="240" w:type="dxa"/>
            <w:vAlign w:val="bottom"/>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5</w:t>
            </w:r>
          </w:p>
        </w:tc>
        <w:tc>
          <w:tcPr>
            <w:tcW w:w="2040" w:type="dxa"/>
            <w:vAlign w:val="bottom"/>
            <w:gridSpan w:val="2"/>
            <w:shd w:val="clear" w:color="auto" w:fill="E5FFFF"/>
          </w:tcPr>
          <w:p>
            <w:pPr>
              <w:ind w:left="160"/>
              <w:spacing w:after="0" w:line="243" w:lineRule="exact"/>
              <w:rPr>
                <w:sz w:val="20"/>
                <w:szCs w:val="20"/>
                <w:color w:val="auto"/>
              </w:rPr>
            </w:pPr>
            <w:r>
              <w:rPr>
                <w:rFonts w:ascii="Times New Roman" w:cs="Times New Roman" w:eastAsia="Times New Roman" w:hAnsi="Times New Roman"/>
                <w:sz w:val="16"/>
                <w:szCs w:val="16"/>
                <w:i w:val="1"/>
                <w:iCs w:val="1"/>
                <w:color w:val="auto"/>
              </w:rPr>
              <w:t xml:space="preserve">GasLog Houston </w:t>
            </w:r>
            <w:r>
              <w:rPr>
                <w:rFonts w:ascii="Times New Roman" w:cs="Times New Roman" w:eastAsia="Times New Roman" w:hAnsi="Times New Roman"/>
                <w:sz w:val="26"/>
                <w:szCs w:val="26"/>
                <w:i w:val="1"/>
                <w:iCs w:val="1"/>
                <w:color w:val="auto"/>
                <w:vertAlign w:val="superscript"/>
              </w:rPr>
              <w:t>(17)</w:t>
            </w:r>
          </w:p>
        </w:tc>
        <w:tc>
          <w:tcPr>
            <w:tcW w:w="1260" w:type="dxa"/>
            <w:vAlign w:val="bottom"/>
            <w:shd w:val="clear" w:color="auto" w:fill="E5FFFF"/>
          </w:tcPr>
          <w:p>
            <w:pPr>
              <w:jc w:val="right"/>
              <w:ind w:right="359"/>
              <w:spacing w:after="0"/>
              <w:rPr>
                <w:sz w:val="20"/>
                <w:szCs w:val="20"/>
                <w:color w:val="auto"/>
              </w:rPr>
            </w:pPr>
            <w:r>
              <w:rPr>
                <w:rFonts w:ascii="Times New Roman" w:cs="Times New Roman" w:eastAsia="Times New Roman" w:hAnsi="Times New Roman"/>
                <w:sz w:val="16"/>
                <w:szCs w:val="16"/>
                <w:color w:val="auto"/>
              </w:rPr>
              <w:t>2018</w:t>
            </w:r>
          </w:p>
        </w:tc>
        <w:tc>
          <w:tcPr>
            <w:tcW w:w="220" w:type="dxa"/>
            <w:vAlign w:val="bottom"/>
            <w:shd w:val="clear" w:color="auto" w:fill="E5FFFF"/>
          </w:tcPr>
          <w:p>
            <w:pPr>
              <w:spacing w:after="0"/>
              <w:rPr>
                <w:sz w:val="21"/>
                <w:szCs w:val="21"/>
                <w:color w:val="auto"/>
              </w:rPr>
            </w:pPr>
          </w:p>
        </w:tc>
        <w:tc>
          <w:tcPr>
            <w:tcW w:w="1300" w:type="dxa"/>
            <w:vAlign w:val="bottom"/>
            <w:shd w:val="clear" w:color="auto" w:fill="E5FFFF"/>
          </w:tcPr>
          <w:p>
            <w:pPr>
              <w:ind w:left="420"/>
              <w:spacing w:after="0"/>
              <w:rPr>
                <w:sz w:val="20"/>
                <w:szCs w:val="20"/>
                <w:color w:val="auto"/>
              </w:rPr>
            </w:pPr>
            <w:r>
              <w:rPr>
                <w:rFonts w:ascii="Times New Roman" w:cs="Times New Roman" w:eastAsia="Times New Roman" w:hAnsi="Times New Roman"/>
                <w:sz w:val="16"/>
                <w:szCs w:val="16"/>
                <w:color w:val="auto"/>
              </w:rPr>
              <w:t>174,000</w:t>
            </w:r>
          </w:p>
        </w:tc>
        <w:tc>
          <w:tcPr>
            <w:tcW w:w="220" w:type="dxa"/>
            <w:vAlign w:val="bottom"/>
            <w:shd w:val="clear" w:color="auto" w:fill="E5FFFF"/>
          </w:tcPr>
          <w:p>
            <w:pPr>
              <w:spacing w:after="0"/>
              <w:rPr>
                <w:sz w:val="21"/>
                <w:szCs w:val="21"/>
                <w:color w:val="auto"/>
              </w:rPr>
            </w:pPr>
          </w:p>
        </w:tc>
        <w:tc>
          <w:tcPr>
            <w:tcW w:w="1540" w:type="dxa"/>
            <w:vAlign w:val="bottom"/>
            <w:gridSpan w:val="2"/>
            <w:shd w:val="clear" w:color="auto" w:fill="E5FFFF"/>
          </w:tcPr>
          <w:p>
            <w:pPr>
              <w:jc w:val="center"/>
              <w:ind w:right="160"/>
              <w:spacing w:after="0"/>
              <w:rPr>
                <w:sz w:val="20"/>
                <w:szCs w:val="20"/>
                <w:color w:val="auto"/>
              </w:rPr>
            </w:pPr>
            <w:r>
              <w:rPr>
                <w:rFonts w:ascii="Times New Roman" w:cs="Times New Roman" w:eastAsia="Times New Roman" w:hAnsi="Times New Roman"/>
                <w:sz w:val="16"/>
                <w:szCs w:val="16"/>
                <w:color w:val="auto"/>
              </w:rPr>
              <w:t>Shell</w:t>
            </w:r>
          </w:p>
        </w:tc>
        <w:tc>
          <w:tcPr>
            <w:tcW w:w="1540" w:type="dxa"/>
            <w:vAlign w:val="bottom"/>
            <w:gridSpan w:val="2"/>
            <w:shd w:val="clear" w:color="auto" w:fill="E5FFFF"/>
          </w:tcPr>
          <w:p>
            <w:pPr>
              <w:ind w:left="500"/>
              <w:spacing w:after="0"/>
              <w:rPr>
                <w:sz w:val="20"/>
                <w:szCs w:val="20"/>
                <w:color w:val="auto"/>
              </w:rPr>
            </w:pPr>
            <w:r>
              <w:rPr>
                <w:rFonts w:ascii="Times New Roman" w:cs="Times New Roman" w:eastAsia="Times New Roman" w:hAnsi="Times New Roman"/>
                <w:sz w:val="16"/>
                <w:szCs w:val="16"/>
                <w:color w:val="auto"/>
              </w:rPr>
              <w:t>X-DF</w:t>
            </w:r>
          </w:p>
        </w:tc>
        <w:tc>
          <w:tcPr>
            <w:tcW w:w="1540" w:type="dxa"/>
            <w:vAlign w:val="bottom"/>
            <w:gridSpan w:val="2"/>
            <w:shd w:val="clear" w:color="auto" w:fill="E5FFFF"/>
          </w:tcPr>
          <w:p>
            <w:pPr>
              <w:jc w:val="center"/>
              <w:ind w:right="160"/>
              <w:spacing w:after="0"/>
              <w:rPr>
                <w:sz w:val="20"/>
                <w:szCs w:val="20"/>
                <w:color w:val="auto"/>
              </w:rPr>
            </w:pPr>
            <w:r>
              <w:rPr>
                <w:rFonts w:ascii="Times New Roman" w:cs="Times New Roman" w:eastAsia="Times New Roman" w:hAnsi="Times New Roman"/>
                <w:sz w:val="16"/>
                <w:szCs w:val="16"/>
                <w:color w:val="auto"/>
              </w:rPr>
              <w:t>May 2028</w:t>
            </w:r>
          </w:p>
        </w:tc>
        <w:tc>
          <w:tcPr>
            <w:tcW w:w="134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6"/>
              </w:rPr>
              <w:t xml:space="preserve">2031-2034 </w:t>
            </w:r>
            <w:r>
              <w:rPr>
                <w:rFonts w:ascii="Times New Roman" w:cs="Times New Roman" w:eastAsia="Times New Roman" w:hAnsi="Times New Roman"/>
                <w:sz w:val="26"/>
                <w:szCs w:val="26"/>
                <w:color w:val="auto"/>
                <w:w w:val="96"/>
                <w:vertAlign w:val="superscript"/>
              </w:rPr>
              <w:t>(8)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November 10, 2022, the Partnership’s bareboat fleet consisted of the following vessel:</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Cargo</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Charterer (for</w:t>
            </w: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Charter</w:t>
            </w:r>
          </w:p>
        </w:tc>
        <w:tc>
          <w:tcPr>
            <w:tcW w:w="130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Optional</w:t>
            </w:r>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ind w:left="460"/>
              <w:spacing w:after="0" w:line="165" w:lineRule="exact"/>
              <w:rPr>
                <w:sz w:val="20"/>
                <w:szCs w:val="20"/>
                <w:color w:val="auto"/>
              </w:rPr>
            </w:pPr>
            <w:r>
              <w:rPr>
                <w:rFonts w:ascii="Times New Roman" w:cs="Times New Roman" w:eastAsia="Times New Roman" w:hAnsi="Times New Roman"/>
                <w:sz w:val="16"/>
                <w:szCs w:val="16"/>
                <w:b w:val="1"/>
                <w:bCs w:val="1"/>
                <w:color w:val="auto"/>
              </w:rPr>
              <w:t>Year</w:t>
            </w:r>
          </w:p>
        </w:tc>
        <w:tc>
          <w:tcPr>
            <w:tcW w:w="1480" w:type="dxa"/>
            <w:vAlign w:val="bottom"/>
            <w:gridSpan w:val="2"/>
          </w:tcPr>
          <w:p>
            <w:pPr>
              <w:ind w:left="320"/>
              <w:spacing w:after="0" w:line="165" w:lineRule="exact"/>
              <w:rPr>
                <w:sz w:val="20"/>
                <w:szCs w:val="20"/>
                <w:color w:val="auto"/>
              </w:rPr>
            </w:pPr>
            <w:r>
              <w:rPr>
                <w:rFonts w:ascii="Times New Roman" w:cs="Times New Roman" w:eastAsia="Times New Roman" w:hAnsi="Times New Roman"/>
                <w:sz w:val="16"/>
                <w:szCs w:val="16"/>
                <w:b w:val="1"/>
                <w:bCs w:val="1"/>
                <w:color w:val="auto"/>
              </w:rPr>
              <w:t>Capacity</w:t>
            </w:r>
          </w:p>
        </w:tc>
        <w:tc>
          <w:tcPr>
            <w:tcW w:w="1540" w:type="dxa"/>
            <w:vAlign w:val="bottom"/>
            <w:gridSpan w:val="2"/>
          </w:tcPr>
          <w:p>
            <w:pPr>
              <w:jc w:val="center"/>
              <w:ind w:right="200"/>
              <w:spacing w:after="0" w:line="165" w:lineRule="exact"/>
              <w:rPr>
                <w:sz w:val="20"/>
                <w:szCs w:val="20"/>
                <w:color w:val="auto"/>
              </w:rPr>
            </w:pPr>
            <w:r>
              <w:rPr>
                <w:rFonts w:ascii="Times New Roman" w:cs="Times New Roman" w:eastAsia="Times New Roman" w:hAnsi="Times New Roman"/>
                <w:sz w:val="16"/>
                <w:szCs w:val="16"/>
                <w:b w:val="1"/>
                <w:bCs w:val="1"/>
                <w:color w:val="auto"/>
              </w:rPr>
              <w:t>contracts of more</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4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Vessel Name</w:t>
            </w:r>
          </w:p>
        </w:tc>
        <w:tc>
          <w:tcPr>
            <w:tcW w:w="200" w:type="dxa"/>
            <w:vAlign w:val="bottom"/>
            <w:tcBorders>
              <w:bottom w:val="single" w:sz="8" w:color="E5FFFF"/>
            </w:tcBorders>
          </w:tcPr>
          <w:p>
            <w:pPr>
              <w:spacing w:after="0"/>
              <w:rPr>
                <w:sz w:val="22"/>
                <w:szCs w:val="22"/>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Built</w:t>
            </w:r>
          </w:p>
        </w:tc>
        <w:tc>
          <w:tcPr>
            <w:tcW w:w="200" w:type="dxa"/>
            <w:vAlign w:val="bottom"/>
            <w:tcBorders>
              <w:bottom w:val="single" w:sz="8" w:color="E5FFFF"/>
            </w:tcBorders>
          </w:tcPr>
          <w:p>
            <w:pPr>
              <w:spacing w:after="0"/>
              <w:rPr>
                <w:sz w:val="22"/>
                <w:szCs w:val="22"/>
                <w:color w:val="auto"/>
              </w:rPr>
            </w:pPr>
          </w:p>
        </w:tc>
        <w:tc>
          <w:tcPr>
            <w:tcW w:w="12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(cbm)</w:t>
            </w:r>
          </w:p>
        </w:tc>
        <w:tc>
          <w:tcPr>
            <w:tcW w:w="200" w:type="dxa"/>
            <w:vAlign w:val="bottom"/>
            <w:tcBorders>
              <w:bottom w:val="single" w:sz="8" w:color="E5FFFF"/>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than six months)</w:t>
            </w:r>
          </w:p>
        </w:tc>
        <w:tc>
          <w:tcPr>
            <w:tcW w:w="200" w:type="dxa"/>
            <w:vAlign w:val="bottom"/>
            <w:tcBorders>
              <w:bottom w:val="single" w:sz="8" w:color="E5FFFF"/>
            </w:tcBorders>
          </w:tcPr>
          <w:p>
            <w:pPr>
              <w:spacing w:after="0"/>
              <w:rPr>
                <w:sz w:val="22"/>
                <w:szCs w:val="22"/>
                <w:color w:val="auto"/>
              </w:rPr>
            </w:pP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Propulsion</w:t>
            </w:r>
          </w:p>
        </w:tc>
        <w:tc>
          <w:tcPr>
            <w:tcW w:w="220" w:type="dxa"/>
            <w:vAlign w:val="bottom"/>
            <w:tcBorders>
              <w:bottom w:val="single" w:sz="8" w:color="E5FFFF"/>
            </w:tcBorders>
          </w:tcPr>
          <w:p>
            <w:pPr>
              <w:spacing w:after="0"/>
              <w:rPr>
                <w:sz w:val="22"/>
                <w:szCs w:val="22"/>
                <w:color w:val="auto"/>
              </w:rPr>
            </w:pPr>
          </w:p>
        </w:tc>
        <w:tc>
          <w:tcPr>
            <w:tcW w:w="132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7"/>
              </w:rPr>
              <w:t>Expiration</w:t>
            </w:r>
            <w:r>
              <w:rPr>
                <w:rFonts w:ascii="Times New Roman" w:cs="Times New Roman" w:eastAsia="Times New Roman" w:hAnsi="Times New Roman"/>
                <w:sz w:val="26"/>
                <w:szCs w:val="26"/>
                <w:b w:val="1"/>
                <w:bCs w:val="1"/>
                <w:color w:val="auto"/>
                <w:w w:val="97"/>
                <w:vertAlign w:val="superscript"/>
              </w:rPr>
              <w:t>(1)</w:t>
            </w:r>
          </w:p>
        </w:tc>
        <w:tc>
          <w:tcPr>
            <w:tcW w:w="220" w:type="dxa"/>
            <w:vAlign w:val="bottom"/>
            <w:tcBorders>
              <w:bottom w:val="single" w:sz="8" w:color="E5FFFF"/>
            </w:tcBorders>
          </w:tcPr>
          <w:p>
            <w:pPr>
              <w:spacing w:after="0"/>
              <w:rPr>
                <w:sz w:val="22"/>
                <w:szCs w:val="22"/>
                <w:color w:val="auto"/>
              </w:rPr>
            </w:pPr>
          </w:p>
        </w:tc>
        <w:tc>
          <w:tcPr>
            <w:tcW w:w="1300" w:type="dxa"/>
            <w:vAlign w:val="bottom"/>
            <w:tcBorders>
              <w:bottom w:val="single" w:sz="8" w:color="auto"/>
            </w:tcBorders>
          </w:tcPr>
          <w:p>
            <w:pPr>
              <w:jc w:val="right"/>
              <w:ind w:right="259"/>
              <w:spacing w:after="0" w:line="256" w:lineRule="exact"/>
              <w:rPr>
                <w:sz w:val="20"/>
                <w:szCs w:val="20"/>
                <w:color w:val="auto"/>
              </w:rPr>
            </w:pPr>
            <w:r>
              <w:rPr>
                <w:rFonts w:ascii="Times New Roman" w:cs="Times New Roman" w:eastAsia="Times New Roman" w:hAnsi="Times New Roman"/>
                <w:sz w:val="16"/>
                <w:szCs w:val="16"/>
                <w:b w:val="1"/>
                <w:bCs w:val="1"/>
                <w:color w:val="auto"/>
              </w:rPr>
              <w:t>Period</w:t>
            </w:r>
            <w:r>
              <w:rPr>
                <w:rFonts w:ascii="Times New Roman" w:cs="Times New Roman" w:eastAsia="Times New Roman" w:hAnsi="Times New Roman"/>
                <w:sz w:val="26"/>
                <w:szCs w:val="26"/>
                <w:b w:val="1"/>
                <w:bCs w:val="1"/>
                <w:color w:val="auto"/>
                <w:vertAlign w:val="superscript"/>
              </w:rPr>
              <w:t>(2)</w:t>
            </w:r>
          </w:p>
        </w:tc>
        <w:tc>
          <w:tcPr>
            <w:tcW w:w="0" w:type="dxa"/>
            <w:vAlign w:val="bottom"/>
          </w:tcPr>
          <w:p>
            <w:pPr>
              <w:spacing w:after="0"/>
              <w:rPr>
                <w:sz w:val="1"/>
                <w:szCs w:val="1"/>
                <w:color w:val="auto"/>
              </w:rPr>
            </w:pPr>
          </w:p>
        </w:tc>
      </w:tr>
      <w:tr>
        <w:trPr>
          <w:trHeight w:val="183"/>
        </w:trPr>
        <w:tc>
          <w:tcPr>
            <w:tcW w:w="240" w:type="dxa"/>
            <w:vAlign w:val="bottom"/>
            <w:vMerge w:val="restart"/>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1</w:t>
            </w:r>
          </w:p>
        </w:tc>
        <w:tc>
          <w:tcPr>
            <w:tcW w:w="2160" w:type="dxa"/>
            <w:vAlign w:val="bottom"/>
            <w:gridSpan w:val="2"/>
            <w:vMerge w:val="restart"/>
            <w:shd w:val="clear" w:color="auto" w:fill="E5FFFF"/>
          </w:tcPr>
          <w:p>
            <w:pPr>
              <w:ind w:left="140"/>
              <w:spacing w:after="0"/>
              <w:rPr>
                <w:sz w:val="20"/>
                <w:szCs w:val="20"/>
                <w:color w:val="auto"/>
              </w:rPr>
            </w:pPr>
            <w:r>
              <w:rPr>
                <w:rFonts w:ascii="Times New Roman" w:cs="Times New Roman" w:eastAsia="Times New Roman" w:hAnsi="Times New Roman"/>
                <w:sz w:val="16"/>
                <w:szCs w:val="16"/>
                <w:i w:val="1"/>
                <w:iCs w:val="1"/>
                <w:color w:val="auto"/>
              </w:rPr>
              <w:t xml:space="preserve">GasLog Shanghai </w:t>
            </w:r>
            <w:r>
              <w:rPr>
                <w:rFonts w:ascii="Times New Roman" w:cs="Times New Roman" w:eastAsia="Times New Roman" w:hAnsi="Times New Roman"/>
                <w:sz w:val="26"/>
                <w:szCs w:val="26"/>
                <w:i w:val="1"/>
                <w:iCs w:val="1"/>
                <w:color w:val="auto"/>
                <w:vertAlign w:val="superscript"/>
              </w:rPr>
              <w:t>(17)</w:t>
            </w:r>
          </w:p>
        </w:tc>
        <w:tc>
          <w:tcPr>
            <w:tcW w:w="1260" w:type="dxa"/>
            <w:vAlign w:val="bottom"/>
            <w:vMerge w:val="restart"/>
            <w:shd w:val="clear" w:color="auto" w:fill="E5FFFF"/>
          </w:tcPr>
          <w:p>
            <w:pPr>
              <w:jc w:val="right"/>
              <w:ind w:right="359"/>
              <w:spacing w:after="0"/>
              <w:rPr>
                <w:sz w:val="20"/>
                <w:szCs w:val="20"/>
                <w:color w:val="auto"/>
              </w:rPr>
            </w:pPr>
            <w:r>
              <w:rPr>
                <w:rFonts w:ascii="Times New Roman" w:cs="Times New Roman" w:eastAsia="Times New Roman" w:hAnsi="Times New Roman"/>
                <w:sz w:val="16"/>
                <w:szCs w:val="16"/>
                <w:color w:val="auto"/>
              </w:rPr>
              <w:t>2013</w:t>
            </w:r>
          </w:p>
        </w:tc>
        <w:tc>
          <w:tcPr>
            <w:tcW w:w="200" w:type="dxa"/>
            <w:vAlign w:val="bottom"/>
            <w:shd w:val="clear" w:color="auto" w:fill="E5FFFF"/>
          </w:tcPr>
          <w:p>
            <w:pPr>
              <w:spacing w:after="0"/>
              <w:rPr>
                <w:sz w:val="15"/>
                <w:szCs w:val="15"/>
                <w:color w:val="auto"/>
              </w:rPr>
            </w:pPr>
          </w:p>
        </w:tc>
        <w:tc>
          <w:tcPr>
            <w:tcW w:w="1280" w:type="dxa"/>
            <w:vAlign w:val="bottom"/>
            <w:vMerge w:val="restart"/>
            <w:shd w:val="clear" w:color="auto" w:fill="E5FFFF"/>
          </w:tcPr>
          <w:p>
            <w:pPr>
              <w:ind w:left="400"/>
              <w:spacing w:after="0"/>
              <w:rPr>
                <w:sz w:val="20"/>
                <w:szCs w:val="20"/>
                <w:color w:val="auto"/>
              </w:rPr>
            </w:pPr>
            <w:r>
              <w:rPr>
                <w:rFonts w:ascii="Times New Roman" w:cs="Times New Roman" w:eastAsia="Times New Roman" w:hAnsi="Times New Roman"/>
                <w:sz w:val="16"/>
                <w:szCs w:val="16"/>
                <w:color w:val="auto"/>
              </w:rPr>
              <w:t>155,000</w:t>
            </w:r>
          </w:p>
        </w:tc>
        <w:tc>
          <w:tcPr>
            <w:tcW w:w="200" w:type="dxa"/>
            <w:vAlign w:val="bottom"/>
            <w:shd w:val="clear" w:color="auto" w:fill="E5FFFF"/>
          </w:tcPr>
          <w:p>
            <w:pPr>
              <w:spacing w:after="0"/>
              <w:rPr>
                <w:sz w:val="15"/>
                <w:szCs w:val="15"/>
                <w:color w:val="auto"/>
              </w:rPr>
            </w:pPr>
          </w:p>
        </w:tc>
        <w:tc>
          <w:tcPr>
            <w:tcW w:w="1340" w:type="dxa"/>
            <w:vAlign w:val="bottom"/>
            <w:shd w:val="clear" w:color="auto" w:fill="E5FFFF"/>
          </w:tcPr>
          <w:p>
            <w:pPr>
              <w:ind w:left="460"/>
              <w:spacing w:after="0"/>
              <w:rPr>
                <w:sz w:val="20"/>
                <w:szCs w:val="20"/>
                <w:color w:val="auto"/>
              </w:rPr>
            </w:pPr>
            <w:r>
              <w:rPr>
                <w:rFonts w:ascii="Times New Roman" w:cs="Times New Roman" w:eastAsia="Times New Roman" w:hAnsi="Times New Roman"/>
                <w:sz w:val="16"/>
                <w:szCs w:val="16"/>
                <w:color w:val="auto"/>
              </w:rPr>
              <w:t>Gunvor</w:t>
            </w:r>
          </w:p>
        </w:tc>
        <w:tc>
          <w:tcPr>
            <w:tcW w:w="200" w:type="dxa"/>
            <w:vAlign w:val="bottom"/>
            <w:shd w:val="clear" w:color="auto" w:fill="E5FFFF"/>
          </w:tcPr>
          <w:p>
            <w:pPr>
              <w:spacing w:after="0"/>
              <w:rPr>
                <w:sz w:val="15"/>
                <w:szCs w:val="15"/>
                <w:color w:val="auto"/>
              </w:rPr>
            </w:pPr>
          </w:p>
        </w:tc>
        <w:tc>
          <w:tcPr>
            <w:tcW w:w="1520" w:type="dxa"/>
            <w:vAlign w:val="bottom"/>
            <w:gridSpan w:val="2"/>
            <w:vMerge w:val="restart"/>
            <w:shd w:val="clear" w:color="auto" w:fill="E5FFFF"/>
          </w:tcPr>
          <w:p>
            <w:pPr>
              <w:ind w:left="480"/>
              <w:spacing w:after="0"/>
              <w:rPr>
                <w:sz w:val="20"/>
                <w:szCs w:val="20"/>
                <w:color w:val="auto"/>
              </w:rPr>
            </w:pPr>
            <w:r>
              <w:rPr>
                <w:rFonts w:ascii="Times New Roman" w:cs="Times New Roman" w:eastAsia="Times New Roman" w:hAnsi="Times New Roman"/>
                <w:sz w:val="16"/>
                <w:szCs w:val="16"/>
                <w:color w:val="auto"/>
              </w:rPr>
              <w:t>TFDE</w:t>
            </w:r>
          </w:p>
        </w:tc>
        <w:tc>
          <w:tcPr>
            <w:tcW w:w="132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January 2023</w:t>
            </w:r>
          </w:p>
        </w:tc>
        <w:tc>
          <w:tcPr>
            <w:tcW w:w="220" w:type="dxa"/>
            <w:vAlign w:val="bottom"/>
            <w:shd w:val="clear" w:color="auto" w:fill="E5FFFF"/>
          </w:tcPr>
          <w:p>
            <w:pPr>
              <w:spacing w:after="0"/>
              <w:rPr>
                <w:sz w:val="15"/>
                <w:szCs w:val="15"/>
                <w:color w:val="auto"/>
              </w:rPr>
            </w:pPr>
          </w:p>
        </w:tc>
        <w:tc>
          <w:tcPr>
            <w:tcW w:w="1300" w:type="dxa"/>
            <w:vAlign w:val="bottom"/>
            <w:shd w:val="clear" w:color="auto" w:fill="E5FFFF"/>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240" w:type="dxa"/>
            <w:vAlign w:val="bottom"/>
            <w:tcBorders>
              <w:bottom w:val="single" w:sz="8" w:color="E5FFFF"/>
            </w:tcBorders>
            <w:vMerge w:val="continue"/>
            <w:shd w:val="clear" w:color="auto" w:fill="E5FFFF"/>
          </w:tcPr>
          <w:p>
            <w:pPr>
              <w:spacing w:after="0"/>
              <w:rPr>
                <w:sz w:val="20"/>
                <w:szCs w:val="20"/>
                <w:color w:val="auto"/>
              </w:rPr>
            </w:pPr>
          </w:p>
        </w:tc>
        <w:tc>
          <w:tcPr>
            <w:tcW w:w="2160" w:type="dxa"/>
            <w:vAlign w:val="bottom"/>
            <w:tcBorders>
              <w:bottom w:val="single" w:sz="8" w:color="E5FFFF"/>
            </w:tcBorders>
            <w:gridSpan w:val="2"/>
            <w:vMerge w:val="continue"/>
            <w:shd w:val="clear" w:color="auto" w:fill="E5FFFF"/>
          </w:tcPr>
          <w:p>
            <w:pPr>
              <w:spacing w:after="0"/>
              <w:rPr>
                <w:sz w:val="20"/>
                <w:szCs w:val="20"/>
                <w:color w:val="auto"/>
              </w:rPr>
            </w:pPr>
          </w:p>
        </w:tc>
        <w:tc>
          <w:tcPr>
            <w:tcW w:w="1260" w:type="dxa"/>
            <w:vAlign w:val="bottom"/>
            <w:tcBorders>
              <w:bottom w:val="single" w:sz="8" w:color="E5FFFF"/>
            </w:tcBorders>
            <w:vMerge w:val="continue"/>
            <w:shd w:val="clear" w:color="auto" w:fill="E5FFFF"/>
          </w:tcPr>
          <w:p>
            <w:pPr>
              <w:spacing w:after="0"/>
              <w:rPr>
                <w:sz w:val="20"/>
                <w:szCs w:val="20"/>
                <w:color w:val="auto"/>
              </w:rPr>
            </w:pPr>
          </w:p>
        </w:tc>
        <w:tc>
          <w:tcPr>
            <w:tcW w:w="200" w:type="dxa"/>
            <w:vAlign w:val="bottom"/>
            <w:tcBorders>
              <w:bottom w:val="single" w:sz="8" w:color="E5FFFF"/>
            </w:tcBorders>
            <w:shd w:val="clear" w:color="auto" w:fill="E5FFFF"/>
          </w:tcPr>
          <w:p>
            <w:pPr>
              <w:spacing w:after="0"/>
              <w:rPr>
                <w:sz w:val="20"/>
                <w:szCs w:val="20"/>
                <w:color w:val="auto"/>
              </w:rPr>
            </w:pPr>
          </w:p>
        </w:tc>
        <w:tc>
          <w:tcPr>
            <w:tcW w:w="1280" w:type="dxa"/>
            <w:vAlign w:val="bottom"/>
            <w:tcBorders>
              <w:bottom w:val="single" w:sz="8" w:color="E5FFFF"/>
            </w:tcBorders>
            <w:vMerge w:val="continue"/>
            <w:shd w:val="clear" w:color="auto" w:fill="E5FFFF"/>
          </w:tcPr>
          <w:p>
            <w:pPr>
              <w:spacing w:after="0"/>
              <w:rPr>
                <w:sz w:val="20"/>
                <w:szCs w:val="20"/>
                <w:color w:val="auto"/>
              </w:rPr>
            </w:pPr>
          </w:p>
        </w:tc>
        <w:tc>
          <w:tcPr>
            <w:tcW w:w="200" w:type="dxa"/>
            <w:vAlign w:val="bottom"/>
            <w:tcBorders>
              <w:bottom w:val="single" w:sz="8" w:color="E5FFFF"/>
            </w:tcBorders>
            <w:shd w:val="clear" w:color="auto" w:fill="E5FFFF"/>
          </w:tcPr>
          <w:p>
            <w:pPr>
              <w:spacing w:after="0"/>
              <w:rPr>
                <w:sz w:val="20"/>
                <w:szCs w:val="20"/>
                <w:color w:val="auto"/>
              </w:rPr>
            </w:pPr>
          </w:p>
        </w:tc>
        <w:tc>
          <w:tcPr>
            <w:tcW w:w="1540" w:type="dxa"/>
            <w:vAlign w:val="bottom"/>
            <w:tcBorders>
              <w:bottom w:val="single" w:sz="8" w:color="E5FFFF"/>
            </w:tcBorders>
            <w:gridSpan w:val="2"/>
            <w:shd w:val="clear" w:color="auto" w:fill="E5FFFF"/>
          </w:tcPr>
          <w:p>
            <w:pPr>
              <w:jc w:val="center"/>
              <w:ind w:right="180"/>
              <w:spacing w:after="0" w:line="236" w:lineRule="exact"/>
              <w:rPr>
                <w:sz w:val="20"/>
                <w:szCs w:val="20"/>
                <w:color w:val="auto"/>
              </w:rPr>
            </w:pPr>
            <w:r>
              <w:rPr>
                <w:rFonts w:ascii="Times New Roman" w:cs="Times New Roman" w:eastAsia="Times New Roman" w:hAnsi="Times New Roman"/>
                <w:sz w:val="16"/>
                <w:szCs w:val="16"/>
                <w:color w:val="auto"/>
                <w:w w:val="94"/>
              </w:rPr>
              <w:t xml:space="preserve">Woodside </w:t>
            </w:r>
            <w:r>
              <w:rPr>
                <w:rFonts w:ascii="Times New Roman" w:cs="Times New Roman" w:eastAsia="Times New Roman" w:hAnsi="Times New Roman"/>
                <w:sz w:val="26"/>
                <w:szCs w:val="26"/>
                <w:color w:val="auto"/>
                <w:w w:val="94"/>
                <w:vertAlign w:val="superscript"/>
              </w:rPr>
              <w:t>(19)</w:t>
            </w:r>
          </w:p>
        </w:tc>
        <w:tc>
          <w:tcPr>
            <w:tcW w:w="1520" w:type="dxa"/>
            <w:vAlign w:val="bottom"/>
            <w:tcBorders>
              <w:bottom w:val="single" w:sz="8" w:color="E5FFFF"/>
            </w:tcBorders>
            <w:gridSpan w:val="2"/>
            <w:vMerge w:val="continue"/>
            <w:shd w:val="clear" w:color="auto" w:fill="E5FFFF"/>
          </w:tcPr>
          <w:p>
            <w:pPr>
              <w:spacing w:after="0"/>
              <w:rPr>
                <w:sz w:val="20"/>
                <w:szCs w:val="20"/>
                <w:color w:val="auto"/>
              </w:rPr>
            </w:pPr>
          </w:p>
        </w:tc>
        <w:tc>
          <w:tcPr>
            <w:tcW w:w="1540" w:type="dxa"/>
            <w:vAlign w:val="bottom"/>
            <w:tcBorders>
              <w:bottom w:val="single" w:sz="8" w:color="E5FFFF"/>
            </w:tcBorders>
            <w:gridSpan w:val="2"/>
            <w:shd w:val="clear" w:color="auto" w:fill="E5FFFF"/>
          </w:tcPr>
          <w:p>
            <w:pPr>
              <w:jc w:val="center"/>
              <w:ind w:right="200"/>
              <w:spacing w:after="0" w:line="236" w:lineRule="exact"/>
              <w:rPr>
                <w:sz w:val="20"/>
                <w:szCs w:val="20"/>
                <w:color w:val="auto"/>
              </w:rPr>
            </w:pPr>
            <w:r>
              <w:rPr>
                <w:rFonts w:ascii="Times New Roman" w:cs="Times New Roman" w:eastAsia="Times New Roman" w:hAnsi="Times New Roman"/>
                <w:sz w:val="16"/>
                <w:szCs w:val="16"/>
                <w:color w:val="auto"/>
                <w:w w:val="96"/>
              </w:rPr>
              <w:t xml:space="preserve">February 2025 </w:t>
            </w:r>
            <w:r>
              <w:rPr>
                <w:rFonts w:ascii="Times New Roman" w:cs="Times New Roman" w:eastAsia="Times New Roman" w:hAnsi="Times New Roman"/>
                <w:sz w:val="26"/>
                <w:szCs w:val="26"/>
                <w:color w:val="auto"/>
                <w:w w:val="96"/>
                <w:vertAlign w:val="superscript"/>
              </w:rPr>
              <w:t>(19)</w:t>
            </w:r>
          </w:p>
        </w:tc>
        <w:tc>
          <w:tcPr>
            <w:tcW w:w="1300" w:type="dxa"/>
            <w:vAlign w:val="bottom"/>
            <w:tcBorders>
              <w:bottom w:val="single" w:sz="8" w:color="E5FFFF"/>
            </w:tcBorders>
            <w:shd w:val="clear" w:color="auto" w:fill="E5FFFF"/>
          </w:tcPr>
          <w:p>
            <w:pPr>
              <w:jc w:val="right"/>
              <w:ind w:right="259"/>
              <w:spacing w:after="0" w:line="236" w:lineRule="exact"/>
              <w:rPr>
                <w:sz w:val="20"/>
                <w:szCs w:val="20"/>
                <w:color w:val="auto"/>
              </w:rPr>
            </w:pPr>
            <w:r>
              <w:rPr>
                <w:rFonts w:ascii="Times New Roman" w:cs="Times New Roman" w:eastAsia="Times New Roman" w:hAnsi="Times New Roman"/>
                <w:sz w:val="16"/>
                <w:szCs w:val="16"/>
                <w:color w:val="auto"/>
              </w:rPr>
              <w:t xml:space="preserve">2026 </w:t>
            </w:r>
            <w:r>
              <w:rPr>
                <w:rFonts w:ascii="Times New Roman" w:cs="Times New Roman" w:eastAsia="Times New Roman" w:hAnsi="Times New Roman"/>
                <w:sz w:val="26"/>
                <w:szCs w:val="26"/>
                <w:color w:val="auto"/>
                <w:vertAlign w:val="superscript"/>
              </w:rPr>
              <w:t>(19)</w:t>
            </w:r>
          </w:p>
        </w:tc>
        <w:tc>
          <w:tcPr>
            <w:tcW w:w="0" w:type="dxa"/>
            <w:vAlign w:val="bottom"/>
          </w:tcPr>
          <w:p>
            <w:pPr>
              <w:spacing w:after="0"/>
              <w:rPr>
                <w:sz w:val="1"/>
                <w:szCs w:val="1"/>
                <w:color w:val="auto"/>
              </w:rPr>
            </w:pPr>
          </w:p>
        </w:tc>
      </w:tr>
      <w:tr>
        <w:trPr>
          <w:trHeight w:val="357"/>
        </w:trPr>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2</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6"/>
                <w:szCs w:val="16"/>
                <w:i w:val="1"/>
                <w:iCs w:val="1"/>
                <w:color w:val="auto"/>
              </w:rPr>
              <w:t xml:space="preserve">Methane Heather Sally </w:t>
            </w:r>
            <w:r>
              <w:rPr>
                <w:rFonts w:ascii="Times New Roman" w:cs="Times New Roman" w:eastAsia="Times New Roman" w:hAnsi="Times New Roman"/>
                <w:sz w:val="26"/>
                <w:szCs w:val="26"/>
                <w:i w:val="1"/>
                <w:iCs w:val="1"/>
                <w:color w:val="auto"/>
                <w:vertAlign w:val="superscript"/>
              </w:rPr>
              <w:t>(17)</w:t>
            </w: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2007</w:t>
            </w:r>
          </w:p>
        </w:tc>
        <w:tc>
          <w:tcPr>
            <w:tcW w:w="200" w:type="dxa"/>
            <w:vAlign w:val="bottom"/>
          </w:tcPr>
          <w:p>
            <w:pPr>
              <w:spacing w:after="0"/>
              <w:rPr>
                <w:sz w:val="24"/>
                <w:szCs w:val="24"/>
                <w:color w:val="auto"/>
              </w:rPr>
            </w:pPr>
          </w:p>
        </w:tc>
        <w:tc>
          <w:tcPr>
            <w:tcW w:w="12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145,000</w:t>
            </w:r>
          </w:p>
        </w:tc>
        <w:tc>
          <w:tcPr>
            <w:tcW w:w="200" w:type="dxa"/>
            <w:vAlign w:val="bottom"/>
          </w:tcPr>
          <w:p>
            <w:pPr>
              <w:spacing w:after="0"/>
              <w:rPr>
                <w:sz w:val="24"/>
                <w:szCs w:val="24"/>
                <w:color w:val="auto"/>
              </w:rPr>
            </w:pPr>
          </w:p>
        </w:tc>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SEA Charterer</w:t>
            </w:r>
          </w:p>
        </w:tc>
        <w:tc>
          <w:tcPr>
            <w:tcW w:w="15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Steam</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8"/>
              </w:rPr>
              <w:t>July 2025</w:t>
            </w:r>
          </w:p>
        </w:tc>
        <w:tc>
          <w:tcPr>
            <w:tcW w:w="130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7"/>
        </w:trPr>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4" w:right="339" w:bottom="1440" w:gutter="0" w:footer="0" w:header="0"/>
        </w:sectPr>
      </w:pPr>
    </w:p>
    <w:bookmarkStart w:id="6" w:name="page7"/>
    <w:bookmarkEnd w:id="6"/>
    <w:p>
      <w:pPr>
        <w:ind w:left="340" w:hanging="332"/>
        <w:spacing w:after="0"/>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Indicates the expiration of the initial term.</w:t>
      </w:r>
    </w:p>
    <w:p>
      <w:pPr>
        <w:spacing w:after="0" w:line="244"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period shown reflects the expiration of the minimum optional period and the maximum optional period.</w:t>
      </w:r>
    </w:p>
    <w:p>
      <w:pPr>
        <w:spacing w:after="0" w:line="242"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The </w:t>
      </w:r>
      <w:r>
        <w:rPr>
          <w:rFonts w:ascii="Times New Roman" w:cs="Times New Roman" w:eastAsia="Times New Roman" w:hAnsi="Times New Roman"/>
          <w:sz w:val="14"/>
          <w:szCs w:val="14"/>
          <w:i w:val="1"/>
          <w:iCs w:val="1"/>
          <w:color w:val="auto"/>
        </w:rPr>
        <w:t>GasLog Chelsea</w:t>
      </w:r>
      <w:r>
        <w:rPr>
          <w:rFonts w:ascii="Times New Roman" w:cs="Times New Roman" w:eastAsia="Times New Roman" w:hAnsi="Times New Roman"/>
          <w:sz w:val="14"/>
          <w:szCs w:val="14"/>
          <w:color w:val="auto"/>
        </w:rPr>
        <w:t xml:space="preserve"> is scheduled to be converted into an FSRU in 2023.</w:t>
      </w:r>
    </w:p>
    <w:p>
      <w:pPr>
        <w:spacing w:after="0" w:line="246" w:lineRule="exact"/>
        <w:rPr>
          <w:rFonts w:ascii="Times New Roman" w:cs="Times New Roman" w:eastAsia="Times New Roman" w:hAnsi="Times New Roman"/>
          <w:sz w:val="12"/>
          <w:szCs w:val="12"/>
          <w:color w:val="auto"/>
        </w:rPr>
      </w:pPr>
    </w:p>
    <w:p>
      <w:pPr>
        <w:ind w:left="340" w:right="20" w:hanging="332"/>
        <w:spacing w:after="0" w:line="233"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Singapore LNG Corporation. Subject to receipt of firm notice by the end of 2023, the vessel is expected to be delivered to Sinolam LNG Terminal, S.A. (“Sinolam LNG”) no later than twelve months thereafter for use as a floating storage unit (“FSU”) in support of an LNG gas-fired power plant currently being developed near Colon, Panama, by Sinolam Smarter Energy LNG Power Company, a subsidiary of private Chinese investment group Shanghai Gorgeous Development Company. The completion of the power plant was initially scheduled for the second quarter of 2020 but has since been significantly delayed as a result of COVID-19 related impacts to the construction schedule. In the meantime, the vessel has undergone FSU conversion for the Sinolam LNG charter during its scheduled dry-dock in the second quarter of 2021.</w:t>
      </w:r>
    </w:p>
    <w:p>
      <w:pPr>
        <w:spacing w:after="0" w:line="175" w:lineRule="exact"/>
        <w:rPr>
          <w:rFonts w:ascii="Times New Roman" w:cs="Times New Roman" w:eastAsia="Times New Roman" w:hAnsi="Times New Roman"/>
          <w:sz w:val="12"/>
          <w:szCs w:val="12"/>
          <w:color w:val="auto"/>
        </w:rPr>
      </w:pPr>
    </w:p>
    <w:p>
      <w:pPr>
        <w:ind w:left="340" w:right="20" w:hanging="332"/>
        <w:spacing w:after="0" w:line="264"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The vessel </w:t>
      </w:r>
      <w:r>
        <w:rPr>
          <w:rFonts w:ascii="Times New Roman" w:cs="Times New Roman" w:eastAsia="Times New Roman" w:hAnsi="Times New Roman"/>
          <w:sz w:val="14"/>
          <w:szCs w:val="14"/>
          <w:i w:val="1"/>
          <w:iCs w:val="1"/>
          <w:color w:val="auto"/>
        </w:rPr>
        <w:t>Methane Lydon Volney</w:t>
      </w:r>
      <w:r>
        <w:rPr>
          <w:rFonts w:ascii="Times New Roman" w:cs="Times New Roman" w:eastAsia="Times New Roman" w:hAnsi="Times New Roman"/>
          <w:sz w:val="14"/>
          <w:szCs w:val="14"/>
          <w:color w:val="auto"/>
        </w:rPr>
        <w:t xml:space="preserve"> was renamed to </w:t>
      </w:r>
      <w:r>
        <w:rPr>
          <w:rFonts w:ascii="Times New Roman" w:cs="Times New Roman" w:eastAsia="Times New Roman" w:hAnsi="Times New Roman"/>
          <w:sz w:val="14"/>
          <w:szCs w:val="14"/>
          <w:i w:val="1"/>
          <w:iCs w:val="1"/>
          <w:color w:val="auto"/>
        </w:rPr>
        <w:t>GasLog Athens</w:t>
      </w:r>
      <w:r>
        <w:rPr>
          <w:rFonts w:ascii="Times New Roman" w:cs="Times New Roman" w:eastAsia="Times New Roman" w:hAnsi="Times New Roman"/>
          <w:sz w:val="14"/>
          <w:szCs w:val="14"/>
          <w:color w:val="auto"/>
        </w:rPr>
        <w:t xml:space="preserve"> in August 2022. The vessel is chartered to the Hellenic Gas Transmission System Operator (DESFA) S.A. (“DESFA”) for a period of one year. DESFA has the right to extend the charter by six additional months provided that DESFA gives us advance notice of declaration.</w:t>
      </w:r>
    </w:p>
    <w:p>
      <w:pPr>
        <w:spacing w:after="0" w:line="160" w:lineRule="exact"/>
        <w:rPr>
          <w:rFonts w:ascii="Times New Roman" w:cs="Times New Roman" w:eastAsia="Times New Roman" w:hAnsi="Times New Roman"/>
          <w:sz w:val="12"/>
          <w:szCs w:val="12"/>
          <w:color w:val="auto"/>
        </w:rPr>
      </w:pPr>
    </w:p>
    <w:p>
      <w:pPr>
        <w:ind w:left="340" w:right="300" w:hanging="332"/>
        <w:spacing w:after="0" w:line="261"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a multinational oil and gas company. The charterer has the right to extend the charter by one additional period of one year, provided that the charterer gives us advance notice of the declaration.</w:t>
      </w:r>
    </w:p>
    <w:p>
      <w:pPr>
        <w:spacing w:after="0" w:line="162"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Mitsui &amp; Co., Ltd. (“Mitsui”).</w:t>
      </w:r>
    </w:p>
    <w:p>
      <w:pPr>
        <w:spacing w:after="0" w:line="242" w:lineRule="exact"/>
        <w:rPr>
          <w:rFonts w:ascii="Times New Roman" w:cs="Times New Roman" w:eastAsia="Times New Roman" w:hAnsi="Times New Roman"/>
          <w:sz w:val="12"/>
          <w:szCs w:val="12"/>
          <w:color w:val="auto"/>
        </w:rPr>
      </w:pPr>
    </w:p>
    <w:p>
      <w:pPr>
        <w:jc w:val="both"/>
        <w:ind w:left="340" w:right="120" w:hanging="332"/>
        <w:spacing w:after="0" w:line="243"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The vessel is chartered to Shell plc (“Shell”). Shell has the right to extend the charters of (a) the </w:t>
      </w:r>
      <w:r>
        <w:rPr>
          <w:rFonts w:ascii="Times New Roman" w:cs="Times New Roman" w:eastAsia="Times New Roman" w:hAnsi="Times New Roman"/>
          <w:sz w:val="14"/>
          <w:szCs w:val="14"/>
          <w:i w:val="1"/>
          <w:iCs w:val="1"/>
          <w:color w:val="auto"/>
        </w:rPr>
        <w:t>GasLog Genoa</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i w:val="1"/>
          <w:iCs w:val="1"/>
          <w:color w:val="auto"/>
        </w:rPr>
        <w:t>GasLog Houston</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GasLog Gladstone</w:t>
      </w:r>
      <w:r>
        <w:rPr>
          <w:rFonts w:ascii="Times New Roman" w:cs="Times New Roman" w:eastAsia="Times New Roman" w:hAnsi="Times New Roman"/>
          <w:sz w:val="14"/>
          <w:szCs w:val="14"/>
          <w:color w:val="auto"/>
        </w:rPr>
        <w:t xml:space="preserve"> by two additional periods of three years, (b) the </w:t>
      </w:r>
      <w:r>
        <w:rPr>
          <w:rFonts w:ascii="Times New Roman" w:cs="Times New Roman" w:eastAsia="Times New Roman" w:hAnsi="Times New Roman"/>
          <w:sz w:val="14"/>
          <w:szCs w:val="14"/>
          <w:i w:val="1"/>
          <w:iCs w:val="1"/>
          <w:color w:val="auto"/>
        </w:rPr>
        <w:t>GasLog Geneva</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GasLog Gibraltar</w:t>
      </w:r>
      <w:r>
        <w:rPr>
          <w:rFonts w:ascii="Times New Roman" w:cs="Times New Roman" w:eastAsia="Times New Roman" w:hAnsi="Times New Roman"/>
          <w:sz w:val="14"/>
          <w:szCs w:val="14"/>
          <w:color w:val="auto"/>
        </w:rPr>
        <w:t xml:space="preserve"> by two additional periods of five and three years, respectively, (c) the </w:t>
      </w:r>
      <w:r>
        <w:rPr>
          <w:rFonts w:ascii="Times New Roman" w:cs="Times New Roman" w:eastAsia="Times New Roman" w:hAnsi="Times New Roman"/>
          <w:sz w:val="14"/>
          <w:szCs w:val="14"/>
          <w:i w:val="1"/>
          <w:iCs w:val="1"/>
          <w:color w:val="auto"/>
        </w:rPr>
        <w:t>Methane Becki Anne</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Methane Julia Louise</w:t>
      </w:r>
      <w:r>
        <w:rPr>
          <w:rFonts w:ascii="Times New Roman" w:cs="Times New Roman" w:eastAsia="Times New Roman" w:hAnsi="Times New Roman"/>
          <w:sz w:val="14"/>
          <w:szCs w:val="14"/>
          <w:color w:val="auto"/>
        </w:rPr>
        <w:t xml:space="preserve"> for a period of either three or five years, (d) the </w:t>
      </w:r>
      <w:r>
        <w:rPr>
          <w:rFonts w:ascii="Times New Roman" w:cs="Times New Roman" w:eastAsia="Times New Roman" w:hAnsi="Times New Roman"/>
          <w:sz w:val="14"/>
          <w:szCs w:val="14"/>
          <w:i w:val="1"/>
          <w:iCs w:val="1"/>
          <w:color w:val="auto"/>
        </w:rPr>
        <w:t>GasLog Greece</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GasLog Glasgow</w:t>
      </w:r>
      <w:r>
        <w:rPr>
          <w:rFonts w:ascii="Times New Roman" w:cs="Times New Roman" w:eastAsia="Times New Roman" w:hAnsi="Times New Roman"/>
          <w:sz w:val="14"/>
          <w:szCs w:val="14"/>
          <w:color w:val="auto"/>
        </w:rPr>
        <w:t xml:space="preserve"> for a period of five years, provided that Shell gives us advance notice of the declarations.</w:t>
      </w:r>
    </w:p>
    <w:p>
      <w:pPr>
        <w:spacing w:after="0" w:line="174" w:lineRule="exact"/>
        <w:rPr>
          <w:rFonts w:ascii="Times New Roman" w:cs="Times New Roman" w:eastAsia="Times New Roman" w:hAnsi="Times New Roman"/>
          <w:sz w:val="12"/>
          <w:szCs w:val="12"/>
          <w:color w:val="auto"/>
        </w:rPr>
      </w:pPr>
    </w:p>
    <w:p>
      <w:pPr>
        <w:ind w:left="340" w:right="200" w:hanging="332"/>
        <w:spacing w:after="0" w:line="261"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vessels are chartered to Pioneer Shipping Limited, a wholly owned subsidiary of Centrica Plc (“Centrica”). Centrica has the right to extend the charters by three additional periods of two years, provided that Centrica gives us advance notice of declaration.</w:t>
      </w:r>
    </w:p>
    <w:p>
      <w:pPr>
        <w:spacing w:after="0" w:line="160" w:lineRule="exact"/>
        <w:rPr>
          <w:rFonts w:ascii="Times New Roman" w:cs="Times New Roman" w:eastAsia="Times New Roman" w:hAnsi="Times New Roman"/>
          <w:sz w:val="12"/>
          <w:szCs w:val="12"/>
          <w:color w:val="auto"/>
        </w:rPr>
      </w:pPr>
    </w:p>
    <w:p>
      <w:pPr>
        <w:jc w:val="both"/>
        <w:ind w:left="340" w:right="420" w:hanging="332"/>
        <w:spacing w:after="0" w:line="243"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The vessels are chartered to Cheniere Marketing International LLP, a subsidiary of Cheniere Energy Inc. (“Cheniere”). Cheniere has the right to extend the charters of (a) the </w:t>
      </w:r>
      <w:r>
        <w:rPr>
          <w:rFonts w:ascii="Times New Roman" w:cs="Times New Roman" w:eastAsia="Times New Roman" w:hAnsi="Times New Roman"/>
          <w:sz w:val="14"/>
          <w:szCs w:val="14"/>
          <w:i w:val="1"/>
          <w:iCs w:val="1"/>
          <w:color w:val="auto"/>
        </w:rPr>
        <w:t>GasLog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Georgetown</w:t>
      </w:r>
      <w:r>
        <w:rPr>
          <w:rFonts w:ascii="Times New Roman" w:cs="Times New Roman" w:eastAsia="Times New Roman" w:hAnsi="Times New Roman"/>
          <w:sz w:val="14"/>
          <w:szCs w:val="14"/>
          <w:color w:val="auto"/>
        </w:rPr>
        <w:t>, the</w:t>
      </w:r>
      <w:r>
        <w:rPr>
          <w:rFonts w:ascii="Times New Roman" w:cs="Times New Roman" w:eastAsia="Times New Roman" w:hAnsi="Times New Roman"/>
          <w:sz w:val="14"/>
          <w:szCs w:val="14"/>
          <w:i w:val="1"/>
          <w:iCs w:val="1"/>
          <w:color w:val="auto"/>
        </w:rPr>
        <w:t xml:space="preserve"> GasLog Galveston, </w:t>
      </w:r>
      <w:r>
        <w:rPr>
          <w:rFonts w:ascii="Times New Roman" w:cs="Times New Roman" w:eastAsia="Times New Roman" w:hAnsi="Times New Roman"/>
          <w:sz w:val="14"/>
          <w:szCs w:val="14"/>
          <w:color w:val="auto"/>
        </w:rPr>
        <w:t>the</w:t>
      </w:r>
      <w:r>
        <w:rPr>
          <w:rFonts w:ascii="Times New Roman" w:cs="Times New Roman" w:eastAsia="Times New Roman" w:hAnsi="Times New Roman"/>
          <w:sz w:val="14"/>
          <w:szCs w:val="14"/>
          <w:i w:val="1"/>
          <w:iCs w:val="1"/>
          <w:color w:val="auto"/>
        </w:rPr>
        <w:t xml:space="preserve"> GasLog Wellington </w:t>
      </w:r>
      <w:r>
        <w:rPr>
          <w:rFonts w:ascii="Times New Roman" w:cs="Times New Roman" w:eastAsia="Times New Roman" w:hAnsi="Times New Roman"/>
          <w:sz w:val="14"/>
          <w:szCs w:val="14"/>
          <w:color w:val="auto"/>
        </w:rPr>
        <w:t>and the</w:t>
      </w:r>
      <w:r>
        <w:rPr>
          <w:rFonts w:ascii="Times New Roman" w:cs="Times New Roman" w:eastAsia="Times New Roman" w:hAnsi="Times New Roman"/>
          <w:sz w:val="14"/>
          <w:szCs w:val="14"/>
          <w:i w:val="1"/>
          <w:iCs w:val="1"/>
          <w:color w:val="auto"/>
        </w:rPr>
        <w:t xml:space="preserve"> GasLog Winchester </w:t>
      </w:r>
      <w:r>
        <w:rPr>
          <w:rFonts w:ascii="Times New Roman" w:cs="Times New Roman" w:eastAsia="Times New Roman" w:hAnsi="Times New Roman"/>
          <w:sz w:val="14"/>
          <w:szCs w:val="14"/>
          <w:color w:val="auto"/>
        </w:rPr>
        <w:t>by three consecutive periods of three years, two years and two years, respectively and (b) the</w:t>
      </w:r>
      <w:r>
        <w:rPr>
          <w:rFonts w:ascii="Times New Roman" w:cs="Times New Roman" w:eastAsia="Times New Roman" w:hAnsi="Times New Roman"/>
          <w:sz w:val="14"/>
          <w:szCs w:val="14"/>
          <w:i w:val="1"/>
          <w:iCs w:val="1"/>
          <w:color w:val="auto"/>
        </w:rPr>
        <w:t xml:space="preserve"> Methane Jane Elizabeth </w:t>
      </w:r>
      <w:r>
        <w:rPr>
          <w:rFonts w:ascii="Times New Roman" w:cs="Times New Roman" w:eastAsia="Times New Roman" w:hAnsi="Times New Roman"/>
          <w:sz w:val="14"/>
          <w:szCs w:val="14"/>
          <w:color w:val="auto"/>
        </w:rPr>
        <w:t>by two additional periods of one year, provided that Cheniere gives us advance notice of the declarations.</w:t>
      </w:r>
    </w:p>
    <w:p>
      <w:pPr>
        <w:spacing w:after="0" w:line="172" w:lineRule="exact"/>
        <w:rPr>
          <w:rFonts w:ascii="Times New Roman" w:cs="Times New Roman" w:eastAsia="Times New Roman" w:hAnsi="Times New Roman"/>
          <w:sz w:val="12"/>
          <w:szCs w:val="12"/>
          <w:color w:val="auto"/>
        </w:rPr>
      </w:pPr>
    </w:p>
    <w:p>
      <w:pPr>
        <w:ind w:left="340" w:right="280" w:hanging="332"/>
        <w:spacing w:after="0" w:line="264"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“Endesa” refers to Endesa S.A. Endesa has the right to extend the charter of the </w:t>
      </w:r>
      <w:r>
        <w:rPr>
          <w:rFonts w:ascii="Times New Roman" w:cs="Times New Roman" w:eastAsia="Times New Roman" w:hAnsi="Times New Roman"/>
          <w:sz w:val="14"/>
          <w:szCs w:val="14"/>
          <w:i w:val="1"/>
          <w:iCs w:val="1"/>
          <w:color w:val="auto"/>
        </w:rPr>
        <w:t>GasLog Warsaw</w:t>
      </w:r>
      <w:r>
        <w:rPr>
          <w:rFonts w:ascii="Times New Roman" w:cs="Times New Roman" w:eastAsia="Times New Roman" w:hAnsi="Times New Roman"/>
          <w:sz w:val="14"/>
          <w:szCs w:val="14"/>
          <w:color w:val="auto"/>
        </w:rPr>
        <w:t xml:space="preserve"> by two additional periods of six years, provided that Endesa gives us advance notice of declaration.</w:t>
      </w:r>
    </w:p>
    <w:p>
      <w:pPr>
        <w:spacing w:after="0" w:line="160" w:lineRule="exact"/>
        <w:rPr>
          <w:rFonts w:ascii="Times New Roman" w:cs="Times New Roman" w:eastAsia="Times New Roman" w:hAnsi="Times New Roman"/>
          <w:sz w:val="12"/>
          <w:szCs w:val="12"/>
          <w:color w:val="auto"/>
        </w:rPr>
      </w:pPr>
    </w:p>
    <w:p>
      <w:pPr>
        <w:ind w:left="340" w:right="140" w:hanging="332"/>
        <w:spacing w:after="0" w:line="261"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“Jera” refers to LNG Marine Transport Limited, the principal LNG shipping entity of Japan’s Jera Co., Inc. Jera has the right to extend the charter by two additional periods of three years, provided that Jera gives us advance notice of declaration.</w:t>
      </w:r>
    </w:p>
    <w:p>
      <w:pPr>
        <w:spacing w:after="0" w:line="162"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expected to commence its time charter with a Swiss-headquartered energy trading company following expiration of its current charter with a major trading house.</w:t>
      </w:r>
    </w:p>
    <w:p>
      <w:pPr>
        <w:spacing w:after="0" w:line="200"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 xml:space="preserve">The vessel is chartered to Naturgy Aprovisionamientos S.A. </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Naturgy”).</w:t>
      </w:r>
    </w:p>
    <w:p>
      <w:pPr>
        <w:spacing w:after="0" w:line="199" w:lineRule="exact"/>
        <w:rPr>
          <w:rFonts w:ascii="Times New Roman" w:cs="Times New Roman" w:eastAsia="Times New Roman" w:hAnsi="Times New Roman"/>
          <w:sz w:val="24"/>
          <w:szCs w:val="24"/>
          <w:color w:val="auto"/>
          <w:vertAlign w:val="superscript"/>
        </w:rPr>
      </w:pPr>
    </w:p>
    <w:p>
      <w:pPr>
        <w:ind w:left="340" w:right="220" w:hanging="332"/>
        <w:spacing w:after="0" w:line="261"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CNTIC VPower Energy Ltd. (“CNTIC VPower”), an independent Chinese energy company. CNTIC VPower may extend the term of the related charter by two additional periods of one year, provided that the charterer gives us advance notice of declaration.</w:t>
      </w:r>
    </w:p>
    <w:p>
      <w:pPr>
        <w:spacing w:after="0" w:line="162" w:lineRule="exact"/>
        <w:rPr>
          <w:rFonts w:ascii="Times New Roman" w:cs="Times New Roman" w:eastAsia="Times New Roman" w:hAnsi="Times New Roman"/>
          <w:sz w:val="12"/>
          <w:szCs w:val="12"/>
          <w:color w:val="auto"/>
        </w:rPr>
      </w:pPr>
    </w:p>
    <w:p>
      <w:pPr>
        <w:ind w:left="340" w:right="80" w:hanging="332"/>
        <w:spacing w:after="0" w:line="261"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Trafigura Maritime Logistics PTE Ltd. (“Trafigura”) may extend the term of this time charter for a period ranging from one to six years, provided that the charterer gives us advance notice of declaration.</w:t>
      </w:r>
    </w:p>
    <w:p>
      <w:pPr>
        <w:spacing w:after="0" w:line="160" w:lineRule="exact"/>
        <w:rPr>
          <w:rFonts w:ascii="Times New Roman" w:cs="Times New Roman" w:eastAsia="Times New Roman" w:hAnsi="Times New Roman"/>
          <w:sz w:val="12"/>
          <w:szCs w:val="12"/>
          <w:color w:val="auto"/>
        </w:rPr>
      </w:pPr>
    </w:p>
    <w:p>
      <w:pPr>
        <w:ind w:left="340" w:right="20" w:hanging="332"/>
        <w:spacing w:after="0" w:line="231"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Gas-six Ltd., GAS-ten Ltd. and GAS-three Ltd. have sold the </w:t>
      </w:r>
      <w:r>
        <w:rPr>
          <w:rFonts w:ascii="Times New Roman" w:cs="Times New Roman" w:eastAsia="Times New Roman" w:hAnsi="Times New Roman"/>
          <w:sz w:val="14"/>
          <w:szCs w:val="14"/>
          <w:i w:val="1"/>
          <w:iCs w:val="1"/>
          <w:color w:val="auto"/>
        </w:rPr>
        <w:t>GasLog Skagen</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i w:val="1"/>
          <w:iCs w:val="1"/>
          <w:color w:val="auto"/>
        </w:rPr>
        <w:t>GasLog Salem</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GasLog Shanghai</w:t>
      </w:r>
      <w:r>
        <w:rPr>
          <w:rFonts w:ascii="Times New Roman" w:cs="Times New Roman" w:eastAsia="Times New Roman" w:hAnsi="Times New Roman"/>
          <w:sz w:val="14"/>
          <w:szCs w:val="14"/>
          <w:color w:val="auto"/>
        </w:rPr>
        <w:t xml:space="preserve">, respectively, to a wholly owned subsidiary of China Development Bank Leasing and leased it back for a period of five years, with no repurchase option or obligation. GAS-twenty one Ltd. has sold the </w:t>
      </w:r>
      <w:r>
        <w:rPr>
          <w:rFonts w:ascii="Times New Roman" w:cs="Times New Roman" w:eastAsia="Times New Roman" w:hAnsi="Times New Roman"/>
          <w:sz w:val="14"/>
          <w:szCs w:val="14"/>
          <w:i w:val="1"/>
          <w:iCs w:val="1"/>
          <w:color w:val="auto"/>
        </w:rPr>
        <w:t>Methane Heather Sally</w:t>
      </w:r>
      <w:r>
        <w:rPr>
          <w:rFonts w:ascii="Times New Roman" w:cs="Times New Roman" w:eastAsia="Times New Roman" w:hAnsi="Times New Roman"/>
          <w:sz w:val="14"/>
          <w:szCs w:val="14"/>
          <w:color w:val="auto"/>
        </w:rPr>
        <w:t xml:space="preserve"> to an unrelated party and leased back under a bareboat charter until the middle of 2025 with no repurchase option or obligation. GAS-twenty five Ltd., GAS-twenty six Ltd. and GAS-twenty four Ltd. have sold the </w:t>
      </w:r>
      <w:r>
        <w:rPr>
          <w:rFonts w:ascii="Times New Roman" w:cs="Times New Roman" w:eastAsia="Times New Roman" w:hAnsi="Times New Roman"/>
          <w:sz w:val="14"/>
          <w:szCs w:val="14"/>
          <w:i w:val="1"/>
          <w:iCs w:val="1"/>
          <w:color w:val="auto"/>
        </w:rPr>
        <w:t>GasLog Hong Kong</w:t>
      </w:r>
      <w:r>
        <w:rPr>
          <w:rFonts w:ascii="Times New Roman" w:cs="Times New Roman" w:eastAsia="Times New Roman" w:hAnsi="Times New Roman"/>
          <w:sz w:val="14"/>
          <w:szCs w:val="14"/>
          <w:color w:val="auto"/>
        </w:rPr>
        <w:t xml:space="preserve"> to Sea 190 Leasing Co. Limited</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i w:val="1"/>
          <w:iCs w:val="1"/>
          <w:color w:val="auto"/>
        </w:rPr>
        <w:t>Methane Julia Louise</w:t>
      </w:r>
      <w:r>
        <w:rPr>
          <w:rFonts w:ascii="Times New Roman" w:cs="Times New Roman" w:eastAsia="Times New Roman" w:hAnsi="Times New Roman"/>
          <w:sz w:val="14"/>
          <w:szCs w:val="14"/>
          <w:color w:val="auto"/>
        </w:rPr>
        <w:t xml:space="preserve"> to Lepta Shipping Co. Ltd. and the </w:t>
      </w:r>
      <w:r>
        <w:rPr>
          <w:rFonts w:ascii="Times New Roman" w:cs="Times New Roman" w:eastAsia="Times New Roman" w:hAnsi="Times New Roman"/>
          <w:sz w:val="14"/>
          <w:szCs w:val="14"/>
          <w:i w:val="1"/>
          <w:iCs w:val="1"/>
          <w:color w:val="auto"/>
        </w:rPr>
        <w:t>GasLog Houston</w:t>
      </w:r>
      <w:r>
        <w:rPr>
          <w:rFonts w:ascii="Times New Roman" w:cs="Times New Roman" w:eastAsia="Times New Roman" w:hAnsi="Times New Roman"/>
          <w:sz w:val="14"/>
          <w:szCs w:val="14"/>
          <w:color w:val="auto"/>
        </w:rPr>
        <w:t xml:space="preserve"> to Hai Kuo Shipping 2051G Limited, respectively, and leased them back for a period of up to twelve, 17 and eight years, respectively. GAS-twenty five Ltd. and GAS-twenty six Ltd. have the option and GAS-twenty four Ltd. has the option and the obligation to re-purchase the vessels on pre-agreed terms.</w:t>
      </w:r>
    </w:p>
    <w:p>
      <w:pPr>
        <w:spacing w:after="0" w:line="179" w:lineRule="exact"/>
        <w:rPr>
          <w:rFonts w:ascii="Times New Roman" w:cs="Times New Roman" w:eastAsia="Times New Roman" w:hAnsi="Times New Roman"/>
          <w:sz w:val="12"/>
          <w:szCs w:val="12"/>
          <w:color w:val="auto"/>
        </w:rPr>
      </w:pPr>
    </w:p>
    <w:p>
      <w:pPr>
        <w:ind w:left="340" w:right="300" w:hanging="332"/>
        <w:spacing w:after="0" w:line="261"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TotalEnergies Gas &amp; Power Limited, a wholly owned subsidiary of TotalEnergies SE (“TotalEnergies”). TotalEnergies has the right to extend the charter for a period of three years, provided that TotalEnergies provides us with advance notice of declaration.</w:t>
      </w:r>
    </w:p>
    <w:p>
      <w:pPr>
        <w:spacing w:after="0" w:line="162" w:lineRule="exact"/>
        <w:rPr>
          <w:rFonts w:ascii="Times New Roman" w:cs="Times New Roman" w:eastAsia="Times New Roman" w:hAnsi="Times New Roman"/>
          <w:sz w:val="12"/>
          <w:szCs w:val="12"/>
          <w:color w:val="auto"/>
        </w:rPr>
      </w:pPr>
    </w:p>
    <w:p>
      <w:pPr>
        <w:ind w:left="340" w:right="80" w:hanging="332"/>
        <w:spacing w:after="0" w:line="261"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expected to commence its time charter with Woodside after completing its scheduled dry-docking. The charterer has the right to extend the charter by one additional period of one year, provided that the charterer gives us advance notice of declaration.</w:t>
      </w:r>
    </w:p>
    <w:p>
      <w:pPr>
        <w:spacing w:after="0" w:line="172"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6"/>
          <w:szCs w:val="16"/>
          <w:color w:val="auto"/>
        </w:rPr>
        <w:t>Under the omnibus agreement entered into with GasLog Partners and certain of its subsidiaries in connection with the Partnership’s initial public offering, as amended, GasLog has agreed, and has caused our controlled affiliates (other than GasLog Partners, its general partner and its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and offering GasLog Partners the opportunity to purchase such a vessel at fair market value.</w:t>
      </w: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23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Future Deliveries</w:t>
            </w: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8360" w:type="dxa"/>
            <w:vAlign w:val="bottom"/>
            <w:gridSpan w:val="1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9560" w:type="dxa"/>
            <w:vAlign w:val="bottom"/>
            <w:gridSpan w:val="11"/>
          </w:tcPr>
          <w:p>
            <w:pPr>
              <w:ind w:left="340"/>
              <w:spacing w:after="0"/>
              <w:rPr>
                <w:sz w:val="20"/>
                <w:szCs w:val="20"/>
                <w:color w:val="auto"/>
              </w:rPr>
            </w:pPr>
            <w:r>
              <w:rPr>
                <w:rFonts w:ascii="Times New Roman" w:cs="Times New Roman" w:eastAsia="Times New Roman" w:hAnsi="Times New Roman"/>
                <w:sz w:val="16"/>
                <w:szCs w:val="16"/>
                <w:color w:val="auto"/>
              </w:rPr>
              <w:t>As of November 10, 2022, GasLog has four newbuildings on order at Daewoo Shipbuilding and Marine Engineering Co., Ltd.:</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Cargo</w:t>
            </w: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Charter</w:t>
            </w: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6"/>
                <w:szCs w:val="16"/>
                <w:b w:val="1"/>
                <w:bCs w:val="1"/>
                <w:color w:val="auto"/>
              </w:rPr>
              <w:t>Capacity</w:t>
            </w: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Propulsion</w:t>
            </w:r>
            <w:r>
              <w:rPr>
                <w:rFonts w:ascii="Times New Roman" w:cs="Times New Roman" w:eastAsia="Times New Roman" w:hAnsi="Times New Roman"/>
                <w:sz w:val="26"/>
                <w:szCs w:val="26"/>
                <w:b w:val="1"/>
                <w:bCs w:val="1"/>
                <w:color w:val="auto"/>
                <w:w w:val="96"/>
                <w:vertAlign w:val="superscript"/>
              </w:rPr>
              <w:t>(1)</w:t>
            </w: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380" w:type="dxa"/>
            <w:vAlign w:val="bottom"/>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rPr>
              <w:t>LNG Carrier</w:t>
            </w: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Expected Delivery</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(cbm)</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Charterer</w:t>
            </w:r>
          </w:p>
        </w:tc>
        <w:tc>
          <w:tcPr>
            <w:tcW w:w="1540" w:type="dxa"/>
            <w:vAlign w:val="bottom"/>
            <w:gridSpan w:val="2"/>
            <w:vMerge w:val="continue"/>
          </w:tcPr>
          <w:p>
            <w:pPr>
              <w:spacing w:after="0"/>
              <w:rPr>
                <w:sz w:val="22"/>
                <w:szCs w:val="22"/>
                <w:color w:val="auto"/>
              </w:rPr>
            </w:pPr>
          </w:p>
        </w:tc>
        <w:tc>
          <w:tcPr>
            <w:tcW w:w="1680" w:type="dxa"/>
            <w:vAlign w:val="bottom"/>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5"/>
              </w:rPr>
              <w:t>Expiration</w:t>
            </w:r>
            <w:r>
              <w:rPr>
                <w:rFonts w:ascii="Times New Roman" w:cs="Times New Roman" w:eastAsia="Times New Roman" w:hAnsi="Times New Roman"/>
                <w:sz w:val="26"/>
                <w:szCs w:val="26"/>
                <w:b w:val="1"/>
                <w:bCs w:val="1"/>
                <w:color w:val="auto"/>
                <w:w w:val="95"/>
                <w:vertAlign w:val="superscript"/>
              </w:rPr>
              <w:t>(2)</w:t>
            </w:r>
          </w:p>
        </w:tc>
        <w:tc>
          <w:tcPr>
            <w:tcW w:w="0" w:type="dxa"/>
            <w:vAlign w:val="bottom"/>
          </w:tcPr>
          <w:p>
            <w:pPr>
              <w:spacing w:after="0"/>
              <w:rPr>
                <w:sz w:val="1"/>
                <w:szCs w:val="1"/>
                <w:color w:val="auto"/>
              </w:rPr>
            </w:pPr>
          </w:p>
        </w:tc>
      </w:tr>
      <w:tr>
        <w:trPr>
          <w:trHeight w:val="182"/>
        </w:trPr>
        <w:tc>
          <w:tcPr>
            <w:tcW w:w="1200" w:type="dxa"/>
            <w:vAlign w:val="bottom"/>
            <w:tcBorders>
              <w:top w:val="single" w:sz="8" w:color="auto"/>
            </w:tcBorders>
            <w:shd w:val="clear" w:color="auto" w:fill="E5FFFF"/>
          </w:tcPr>
          <w:p>
            <w:pPr>
              <w:spacing w:after="0"/>
              <w:rPr>
                <w:sz w:val="15"/>
                <w:szCs w:val="15"/>
                <w:color w:val="auto"/>
              </w:rPr>
            </w:pPr>
          </w:p>
        </w:tc>
        <w:tc>
          <w:tcPr>
            <w:tcW w:w="96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82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14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2020" w:type="dxa"/>
            <w:vAlign w:val="bottom"/>
            <w:tcBorders>
              <w:top w:val="single" w:sz="8" w:color="auto"/>
            </w:tcBorders>
            <w:shd w:val="clear" w:color="auto" w:fill="E5FFFF"/>
          </w:tcPr>
          <w:p>
            <w:pPr>
              <w:jc w:val="center"/>
              <w:spacing w:after="0" w:line="182" w:lineRule="exact"/>
              <w:rPr>
                <w:sz w:val="20"/>
                <w:szCs w:val="20"/>
                <w:color w:val="auto"/>
              </w:rPr>
            </w:pPr>
            <w:r>
              <w:rPr>
                <w:rFonts w:ascii="Times New Roman" w:cs="Times New Roman" w:eastAsia="Times New Roman" w:hAnsi="Times New Roman"/>
                <w:sz w:val="16"/>
                <w:szCs w:val="16"/>
                <w:color w:val="auto"/>
              </w:rPr>
              <w:t>Multinational Oil and Gas</w:t>
            </w:r>
          </w:p>
        </w:tc>
        <w:tc>
          <w:tcPr>
            <w:tcW w:w="220" w:type="dxa"/>
            <w:vAlign w:val="bottom"/>
            <w:tcBorders>
              <w:top w:val="single" w:sz="8" w:color="E5FFFF"/>
            </w:tcBorders>
            <w:shd w:val="clear" w:color="auto" w:fill="E5FFFF"/>
          </w:tcPr>
          <w:p>
            <w:pPr>
              <w:spacing w:after="0"/>
              <w:rPr>
                <w:sz w:val="15"/>
                <w:szCs w:val="15"/>
                <w:color w:val="auto"/>
              </w:rPr>
            </w:pPr>
          </w:p>
        </w:tc>
        <w:tc>
          <w:tcPr>
            <w:tcW w:w="132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680" w:type="dxa"/>
            <w:vAlign w:val="bottom"/>
            <w:tcBorders>
              <w:top w:val="single" w:sz="8" w:color="auto"/>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E5FFFF"/>
          </w:tcPr>
          <w:p>
            <w:pPr>
              <w:spacing w:after="0"/>
              <w:rPr>
                <w:sz w:val="20"/>
                <w:szCs w:val="20"/>
                <w:color w:val="auto"/>
              </w:rPr>
            </w:pPr>
            <w:r>
              <w:rPr>
                <w:rFonts w:ascii="Times New Roman" w:cs="Times New Roman" w:eastAsia="Times New Roman" w:hAnsi="Times New Roman"/>
                <w:sz w:val="16"/>
                <w:szCs w:val="16"/>
                <w:color w:val="auto"/>
              </w:rPr>
              <w:t>Hull No. 2532</w:t>
            </w:r>
          </w:p>
        </w:tc>
        <w:tc>
          <w:tcPr>
            <w:tcW w:w="2040" w:type="dxa"/>
            <w:vAlign w:val="bottom"/>
            <w:gridSpan w:val="2"/>
            <w:shd w:val="clear" w:color="auto" w:fill="E5FFFF"/>
          </w:tcPr>
          <w:p>
            <w:pPr>
              <w:jc w:val="center"/>
              <w:ind w:right="240"/>
              <w:spacing w:after="0"/>
              <w:rPr>
                <w:sz w:val="20"/>
                <w:szCs w:val="20"/>
                <w:color w:val="auto"/>
              </w:rPr>
            </w:pPr>
            <w:r>
              <w:rPr>
                <w:rFonts w:ascii="Times New Roman" w:cs="Times New Roman" w:eastAsia="Times New Roman" w:hAnsi="Times New Roman"/>
                <w:sz w:val="16"/>
                <w:szCs w:val="16"/>
                <w:color w:val="auto"/>
              </w:rPr>
              <w:t>Q3 2024</w:t>
            </w:r>
          </w:p>
        </w:tc>
        <w:tc>
          <w:tcPr>
            <w:tcW w:w="11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174,000</w:t>
            </w:r>
          </w:p>
        </w:tc>
        <w:tc>
          <w:tcPr>
            <w:tcW w:w="220" w:type="dxa"/>
            <w:vAlign w:val="bottom"/>
            <w:shd w:val="clear" w:color="auto" w:fill="E5FFFF"/>
          </w:tcPr>
          <w:p>
            <w:pPr>
              <w:spacing w:after="0"/>
              <w:rPr>
                <w:sz w:val="18"/>
                <w:szCs w:val="18"/>
                <w:color w:val="auto"/>
              </w:rPr>
            </w:pPr>
          </w:p>
        </w:tc>
        <w:tc>
          <w:tcPr>
            <w:tcW w:w="2240" w:type="dxa"/>
            <w:vAlign w:val="bottom"/>
            <w:gridSpan w:val="2"/>
            <w:shd w:val="clear" w:color="auto" w:fill="E5FF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Company</w:t>
            </w:r>
          </w:p>
        </w:tc>
        <w:tc>
          <w:tcPr>
            <w:tcW w:w="1540" w:type="dxa"/>
            <w:vAlign w:val="bottom"/>
            <w:gridSpan w:val="2"/>
            <w:shd w:val="clear" w:color="auto" w:fill="E5FF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MEGI</w:t>
            </w:r>
          </w:p>
        </w:tc>
        <w:tc>
          <w:tcPr>
            <w:tcW w:w="16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2031</w:t>
            </w:r>
          </w:p>
        </w:tc>
        <w:tc>
          <w:tcPr>
            <w:tcW w:w="0" w:type="dxa"/>
            <w:vAlign w:val="bottom"/>
          </w:tcPr>
          <w:p>
            <w:pPr>
              <w:spacing w:after="0"/>
              <w:rPr>
                <w:sz w:val="1"/>
                <w:szCs w:val="1"/>
                <w:color w:val="auto"/>
              </w:rPr>
            </w:pPr>
          </w:p>
        </w:tc>
      </w:tr>
      <w:tr>
        <w:trPr>
          <w:trHeight w:val="203"/>
        </w:trPr>
        <w:tc>
          <w:tcPr>
            <w:tcW w:w="2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Hull No. 2533</w:t>
            </w: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Q3 2024</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174,000</w:t>
            </w:r>
          </w:p>
        </w:tc>
        <w:tc>
          <w:tcPr>
            <w:tcW w:w="220" w:type="dxa"/>
            <w:vAlign w:val="bottom"/>
          </w:tcPr>
          <w:p>
            <w:pPr>
              <w:spacing w:after="0"/>
              <w:rPr>
                <w:sz w:val="17"/>
                <w:szCs w:val="17"/>
                <w:color w:val="auto"/>
              </w:rPr>
            </w:pP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Mitsui</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MEGI</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2033</w:t>
            </w:r>
          </w:p>
        </w:tc>
        <w:tc>
          <w:tcPr>
            <w:tcW w:w="0" w:type="dxa"/>
            <w:vAlign w:val="bottom"/>
          </w:tcPr>
          <w:p>
            <w:pPr>
              <w:spacing w:after="0"/>
              <w:rPr>
                <w:sz w:val="1"/>
                <w:szCs w:val="1"/>
                <w:color w:val="auto"/>
              </w:rPr>
            </w:pPr>
          </w:p>
        </w:tc>
      </w:tr>
      <w:tr>
        <w:trPr>
          <w:trHeight w:val="203"/>
        </w:trPr>
        <w:tc>
          <w:tcPr>
            <w:tcW w:w="2380" w:type="dxa"/>
            <w:vAlign w:val="bottom"/>
            <w:gridSpan w:val="3"/>
            <w:shd w:val="clear" w:color="auto" w:fill="E5FFFF"/>
          </w:tcPr>
          <w:p>
            <w:pPr>
              <w:spacing w:after="0"/>
              <w:rPr>
                <w:sz w:val="20"/>
                <w:szCs w:val="20"/>
                <w:color w:val="auto"/>
              </w:rPr>
            </w:pPr>
            <w:r>
              <w:rPr>
                <w:rFonts w:ascii="Times New Roman" w:cs="Times New Roman" w:eastAsia="Times New Roman" w:hAnsi="Times New Roman"/>
                <w:sz w:val="16"/>
                <w:szCs w:val="16"/>
                <w:color w:val="auto"/>
              </w:rPr>
              <w:t>Hull No. 2534</w:t>
            </w:r>
          </w:p>
        </w:tc>
        <w:tc>
          <w:tcPr>
            <w:tcW w:w="2040" w:type="dxa"/>
            <w:vAlign w:val="bottom"/>
            <w:gridSpan w:val="2"/>
            <w:shd w:val="clear" w:color="auto" w:fill="E5FFFF"/>
          </w:tcPr>
          <w:p>
            <w:pPr>
              <w:jc w:val="center"/>
              <w:ind w:right="240"/>
              <w:spacing w:after="0"/>
              <w:rPr>
                <w:sz w:val="20"/>
                <w:szCs w:val="20"/>
                <w:color w:val="auto"/>
              </w:rPr>
            </w:pPr>
            <w:r>
              <w:rPr>
                <w:rFonts w:ascii="Times New Roman" w:cs="Times New Roman" w:eastAsia="Times New Roman" w:hAnsi="Times New Roman"/>
                <w:sz w:val="16"/>
                <w:szCs w:val="16"/>
                <w:color w:val="auto"/>
              </w:rPr>
              <w:t>Q3 2025</w:t>
            </w:r>
          </w:p>
        </w:tc>
        <w:tc>
          <w:tcPr>
            <w:tcW w:w="11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174,000</w:t>
            </w:r>
          </w:p>
        </w:tc>
        <w:tc>
          <w:tcPr>
            <w:tcW w:w="220" w:type="dxa"/>
            <w:vAlign w:val="bottom"/>
            <w:shd w:val="clear" w:color="auto" w:fill="E5FFFF"/>
          </w:tcPr>
          <w:p>
            <w:pPr>
              <w:spacing w:after="0"/>
              <w:rPr>
                <w:sz w:val="17"/>
                <w:szCs w:val="17"/>
                <w:color w:val="auto"/>
              </w:rPr>
            </w:pPr>
          </w:p>
        </w:tc>
        <w:tc>
          <w:tcPr>
            <w:tcW w:w="2240" w:type="dxa"/>
            <w:vAlign w:val="bottom"/>
            <w:gridSpan w:val="2"/>
            <w:shd w:val="clear" w:color="auto" w:fill="E5FFFF"/>
          </w:tcPr>
          <w:p>
            <w:pPr>
              <w:jc w:val="center"/>
              <w:ind w:right="220"/>
              <w:spacing w:after="0"/>
              <w:rPr>
                <w:sz w:val="20"/>
                <w:szCs w:val="20"/>
                <w:color w:val="auto"/>
              </w:rPr>
            </w:pPr>
            <w:r>
              <w:rPr>
                <w:rFonts w:ascii="Times New Roman" w:cs="Times New Roman" w:eastAsia="Times New Roman" w:hAnsi="Times New Roman"/>
                <w:sz w:val="16"/>
                <w:szCs w:val="16"/>
                <w:color w:val="auto"/>
              </w:rPr>
              <w:t>Woodside</w:t>
            </w:r>
          </w:p>
        </w:tc>
        <w:tc>
          <w:tcPr>
            <w:tcW w:w="1540" w:type="dxa"/>
            <w:vAlign w:val="bottom"/>
            <w:gridSpan w:val="2"/>
            <w:shd w:val="clear" w:color="auto" w:fill="E5FF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MEGI</w:t>
            </w:r>
          </w:p>
        </w:tc>
        <w:tc>
          <w:tcPr>
            <w:tcW w:w="16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2035</w:t>
            </w:r>
          </w:p>
        </w:tc>
        <w:tc>
          <w:tcPr>
            <w:tcW w:w="0" w:type="dxa"/>
            <w:vAlign w:val="bottom"/>
          </w:tcPr>
          <w:p>
            <w:pPr>
              <w:spacing w:after="0"/>
              <w:rPr>
                <w:sz w:val="1"/>
                <w:szCs w:val="1"/>
                <w:color w:val="auto"/>
              </w:rPr>
            </w:pPr>
          </w:p>
        </w:tc>
      </w:tr>
      <w:tr>
        <w:trPr>
          <w:trHeight w:val="210"/>
        </w:trPr>
        <w:tc>
          <w:tcPr>
            <w:tcW w:w="2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Hull No. 2535</w:t>
            </w: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Q4 2025</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174,000</w:t>
            </w:r>
          </w:p>
        </w:tc>
        <w:tc>
          <w:tcPr>
            <w:tcW w:w="220" w:type="dxa"/>
            <w:vAlign w:val="bottom"/>
          </w:tcPr>
          <w:p>
            <w:pPr>
              <w:spacing w:after="0"/>
              <w:rPr>
                <w:sz w:val="18"/>
                <w:szCs w:val="18"/>
                <w:color w:val="auto"/>
              </w:rPr>
            </w:pP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Woodside</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MEGI</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8915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138" w:lineRule="exact"/>
        <w:rPr>
          <w:sz w:val="20"/>
          <w:szCs w:val="20"/>
          <w:color w:val="auto"/>
        </w:rPr>
      </w:pPr>
    </w:p>
    <w:p>
      <w:pPr>
        <w:ind w:left="240" w:hanging="232"/>
        <w:spacing w:after="0"/>
        <w:tabs>
          <w:tab w:leader="none" w:pos="240"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4"/>
          <w:szCs w:val="14"/>
          <w:color w:val="auto"/>
        </w:rPr>
        <w:t> M-type, Electronically controlled Gas Injection (“MEGI”) engine.</w:t>
      </w:r>
    </w:p>
    <w:p>
      <w:pPr>
        <w:spacing w:after="0" w:line="43" w:lineRule="exact"/>
        <w:rPr>
          <w:rFonts w:ascii="Times New Roman" w:cs="Times New Roman" w:eastAsia="Times New Roman" w:hAnsi="Times New Roman"/>
          <w:sz w:val="27"/>
          <w:szCs w:val="27"/>
          <w:color w:val="auto"/>
          <w:vertAlign w:val="superscript"/>
        </w:rPr>
      </w:pPr>
    </w:p>
    <w:p>
      <w:pPr>
        <w:ind w:left="240" w:hanging="232"/>
        <w:spacing w:after="0" w:line="189" w:lineRule="auto"/>
        <w:tabs>
          <w:tab w:leader="none" w:pos="24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 Charter expiration to be determined based upon actual date of delivery.</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I - Unaudited Interim Financial Information</w:t>
            </w:r>
          </w:p>
        </w:tc>
        <w:tc>
          <w:tcPr>
            <w:tcW w:w="2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financial position</w:t>
            </w:r>
          </w:p>
        </w:tc>
        <w:tc>
          <w:tcPr>
            <w:tcW w:w="2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2021 and September 30, 2022</w:t>
            </w:r>
          </w:p>
        </w:tc>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w:t>
            </w:r>
          </w:p>
        </w:tc>
        <w:tc>
          <w:tcPr>
            <w:tcW w:w="2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5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0" w:type="dxa"/>
            <w:vAlign w:val="bottom"/>
          </w:tcPr>
          <w:p>
            <w:pPr>
              <w:spacing w:after="0"/>
              <w:rPr>
                <w:sz w:val="1"/>
                <w:szCs w:val="1"/>
                <w:color w:val="auto"/>
              </w:rPr>
            </w:pPr>
          </w:p>
        </w:tc>
      </w:tr>
      <w:tr>
        <w:trPr>
          <w:trHeight w:val="213"/>
        </w:trPr>
        <w:tc>
          <w:tcPr>
            <w:tcW w:w="50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36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tcBorders>
            <w:shd w:val="clear" w:color="auto" w:fill="E5FFFF"/>
          </w:tcPr>
          <w:p>
            <w:pPr>
              <w:spacing w:after="0"/>
              <w:rPr>
                <w:sz w:val="18"/>
                <w:szCs w:val="18"/>
                <w:color w:val="auto"/>
              </w:rPr>
            </w:pPr>
          </w:p>
        </w:tc>
        <w:tc>
          <w:tcPr>
            <w:tcW w:w="320" w:type="dxa"/>
            <w:vAlign w:val="bottom"/>
            <w:tcBorders>
              <w:top w:val="single" w:sz="8" w:color="E5FFFF"/>
            </w:tcBorders>
            <w:shd w:val="clear" w:color="auto" w:fill="E5FFFF"/>
          </w:tcPr>
          <w:p>
            <w:pPr>
              <w:spacing w:after="0"/>
              <w:rPr>
                <w:sz w:val="18"/>
                <w:szCs w:val="18"/>
                <w:color w:val="auto"/>
              </w:rPr>
            </w:pPr>
          </w:p>
        </w:tc>
        <w:tc>
          <w:tcPr>
            <w:tcW w:w="16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Goodwill</w:t>
            </w:r>
          </w:p>
        </w:tc>
        <w:tc>
          <w:tcPr>
            <w:tcW w:w="4380" w:type="dxa"/>
            <w:vAlign w:val="bottom"/>
            <w:gridSpan w:val="3"/>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9,511</w:t>
            </w:r>
          </w:p>
        </w:tc>
        <w:tc>
          <w:tcPr>
            <w:tcW w:w="17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9,511</w:t>
            </w: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 associates</w:t>
            </w:r>
          </w:p>
        </w:tc>
        <w:tc>
          <w:tcPr>
            <w:tcW w:w="43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23,508</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24,827</w:t>
            </w: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Deferred financing costs</w:t>
            </w:r>
          </w:p>
        </w:tc>
        <w:tc>
          <w:tcPr>
            <w:tcW w:w="4380" w:type="dxa"/>
            <w:vAlign w:val="bottom"/>
            <w:gridSpan w:val="3"/>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5,564</w:t>
            </w:r>
          </w:p>
        </w:tc>
        <w:tc>
          <w:tcPr>
            <w:tcW w:w="17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9,079</w:t>
            </w: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43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4,866</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3,217</w:t>
            </w: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Derivative financial instruments, non-current portion</w:t>
            </w:r>
          </w:p>
        </w:tc>
        <w:tc>
          <w:tcPr>
            <w:tcW w:w="4380" w:type="dxa"/>
            <w:vAlign w:val="bottom"/>
            <w:gridSpan w:val="3"/>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1,913</w:t>
            </w:r>
          </w:p>
        </w:tc>
        <w:tc>
          <w:tcPr>
            <w:tcW w:w="17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20,949</w:t>
            </w: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Tangible fixed assets</w:t>
            </w:r>
          </w:p>
        </w:tc>
        <w:tc>
          <w:tcPr>
            <w:tcW w:w="43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5,002,829</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4,560,538</w:t>
            </w: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Vessels under construction</w:t>
            </w:r>
          </w:p>
        </w:tc>
        <w:tc>
          <w:tcPr>
            <w:tcW w:w="4380" w:type="dxa"/>
            <w:vAlign w:val="bottom"/>
            <w:gridSpan w:val="3"/>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22,939</w:t>
            </w:r>
          </w:p>
        </w:tc>
        <w:tc>
          <w:tcPr>
            <w:tcW w:w="17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145,372</w:t>
            </w: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43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363,035</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403,612</w:t>
            </w:r>
          </w:p>
        </w:tc>
        <w:tc>
          <w:tcPr>
            <w:tcW w:w="0" w:type="dxa"/>
            <w:vAlign w:val="bottom"/>
          </w:tcPr>
          <w:p>
            <w:pPr>
              <w:spacing w:after="0"/>
              <w:rPr>
                <w:sz w:val="1"/>
                <w:szCs w:val="1"/>
                <w:color w:val="auto"/>
              </w:rPr>
            </w:pPr>
          </w:p>
        </w:tc>
      </w:tr>
      <w:tr>
        <w:trPr>
          <w:trHeight w:val="199"/>
        </w:trPr>
        <w:tc>
          <w:tcPr>
            <w:tcW w:w="50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236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5,434,165</w:t>
            </w:r>
          </w:p>
        </w:tc>
        <w:tc>
          <w:tcPr>
            <w:tcW w:w="32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5,177,105</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Vessel held for sale</w:t>
            </w:r>
          </w:p>
        </w:tc>
        <w:tc>
          <w:tcPr>
            <w:tcW w:w="2360" w:type="dxa"/>
            <w:vAlign w:val="bottom"/>
            <w:shd w:val="clear" w:color="auto" w:fill="E5FFFF"/>
          </w:tcPr>
          <w:p>
            <w:pPr>
              <w:spacing w:after="0"/>
              <w:rPr>
                <w:sz w:val="17"/>
                <w:szCs w:val="17"/>
                <w:color w:val="auto"/>
              </w:rPr>
            </w:pPr>
          </w:p>
        </w:tc>
        <w:tc>
          <w:tcPr>
            <w:tcW w:w="202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60,760</w:t>
            </w: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43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28,595</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53,142</w:t>
            </w: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Dividends receivable and other amounts due from related parties</w:t>
            </w:r>
          </w:p>
        </w:tc>
        <w:tc>
          <w:tcPr>
            <w:tcW w:w="4380" w:type="dxa"/>
            <w:vAlign w:val="bottom"/>
            <w:gridSpan w:val="3"/>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18</w:t>
            </w:r>
          </w:p>
        </w:tc>
        <w:tc>
          <w:tcPr>
            <w:tcW w:w="17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Derivative financial instruments, current portion</w:t>
            </w:r>
          </w:p>
        </w:tc>
        <w:tc>
          <w:tcPr>
            <w:tcW w:w="43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596</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15,249</w:t>
            </w: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Inventories</w:t>
            </w:r>
          </w:p>
        </w:tc>
        <w:tc>
          <w:tcPr>
            <w:tcW w:w="4380" w:type="dxa"/>
            <w:vAlign w:val="bottom"/>
            <w:gridSpan w:val="3"/>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8,327</w:t>
            </w:r>
          </w:p>
        </w:tc>
        <w:tc>
          <w:tcPr>
            <w:tcW w:w="17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9,005</w:t>
            </w: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43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5,798</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5,225</w:t>
            </w: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Short-term cash deposits</w:t>
            </w:r>
          </w:p>
        </w:tc>
        <w:tc>
          <w:tcPr>
            <w:tcW w:w="2360" w:type="dxa"/>
            <w:vAlign w:val="bottom"/>
            <w:shd w:val="clear" w:color="auto" w:fill="E5FFFF"/>
          </w:tcPr>
          <w:p>
            <w:pPr>
              <w:spacing w:after="0"/>
              <w:rPr>
                <w:sz w:val="17"/>
                <w:szCs w:val="17"/>
                <w:color w:val="auto"/>
              </w:rPr>
            </w:pPr>
          </w:p>
        </w:tc>
        <w:tc>
          <w:tcPr>
            <w:tcW w:w="202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25,000</w:t>
            </w: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3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282,246</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283,997</w:t>
            </w:r>
          </w:p>
        </w:tc>
        <w:tc>
          <w:tcPr>
            <w:tcW w:w="0" w:type="dxa"/>
            <w:vAlign w:val="bottom"/>
          </w:tcPr>
          <w:p>
            <w:pPr>
              <w:spacing w:after="0"/>
              <w:rPr>
                <w:sz w:val="1"/>
                <w:szCs w:val="1"/>
                <w:color w:val="auto"/>
              </w:rPr>
            </w:pPr>
          </w:p>
        </w:tc>
      </w:tr>
      <w:tr>
        <w:trPr>
          <w:trHeight w:val="199"/>
        </w:trPr>
        <w:tc>
          <w:tcPr>
            <w:tcW w:w="50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36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325,580</w:t>
            </w:r>
          </w:p>
        </w:tc>
        <w:tc>
          <w:tcPr>
            <w:tcW w:w="32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452,397</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0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360" w:type="dxa"/>
            <w:vAlign w:val="bottom"/>
            <w:tcBorders>
              <w:bottom w:val="single" w:sz="8" w:color="E5FFFF"/>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5,759,745</w:t>
            </w:r>
          </w:p>
        </w:tc>
        <w:tc>
          <w:tcPr>
            <w:tcW w:w="320" w:type="dxa"/>
            <w:vAlign w:val="bottom"/>
            <w:tcBorders>
              <w:bottom w:val="single" w:sz="8" w:color="E5FFFF"/>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5,629,502</w:t>
            </w:r>
          </w:p>
        </w:tc>
        <w:tc>
          <w:tcPr>
            <w:tcW w:w="100" w:type="dxa"/>
            <w:vAlign w:val="bottom"/>
            <w:tcBorders>
              <w:bottom w:val="single" w:sz="8" w:color="E5FFFF"/>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5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Equity and liabilities</w:t>
            </w:r>
          </w:p>
        </w:tc>
        <w:tc>
          <w:tcPr>
            <w:tcW w:w="2360" w:type="dxa"/>
            <w:vAlign w:val="bottom"/>
            <w:shd w:val="clear" w:color="auto" w:fill="E5FFFF"/>
          </w:tcPr>
          <w:p>
            <w:pPr>
              <w:spacing w:after="0"/>
              <w:rPr>
                <w:sz w:val="17"/>
                <w:szCs w:val="17"/>
                <w:color w:val="auto"/>
              </w:rPr>
            </w:pPr>
          </w:p>
        </w:tc>
        <w:tc>
          <w:tcPr>
            <w:tcW w:w="17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6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Preference shares</w:t>
            </w:r>
          </w:p>
        </w:tc>
        <w:tc>
          <w:tcPr>
            <w:tcW w:w="4380" w:type="dxa"/>
            <w:vAlign w:val="bottom"/>
            <w:gridSpan w:val="3"/>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46</w:t>
            </w:r>
          </w:p>
        </w:tc>
        <w:tc>
          <w:tcPr>
            <w:tcW w:w="17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2"/>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Share capital</w:t>
            </w:r>
          </w:p>
        </w:tc>
        <w:tc>
          <w:tcPr>
            <w:tcW w:w="43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954</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954</w:t>
            </w: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Contributed surplus</w:t>
            </w:r>
          </w:p>
        </w:tc>
        <w:tc>
          <w:tcPr>
            <w:tcW w:w="4380" w:type="dxa"/>
            <w:vAlign w:val="bottom"/>
            <w:gridSpan w:val="3"/>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692,536</w:t>
            </w:r>
          </w:p>
        </w:tc>
        <w:tc>
          <w:tcPr>
            <w:tcW w:w="17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658,888</w:t>
            </w: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Reserves</w:t>
            </w:r>
          </w:p>
        </w:tc>
        <w:tc>
          <w:tcPr>
            <w:tcW w:w="43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15,322</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12,587</w:t>
            </w:r>
          </w:p>
        </w:tc>
        <w:tc>
          <w:tcPr>
            <w:tcW w:w="0" w:type="dxa"/>
            <w:vAlign w:val="bottom"/>
          </w:tcPr>
          <w:p>
            <w:pPr>
              <w:spacing w:after="0"/>
              <w:rPr>
                <w:sz w:val="1"/>
                <w:szCs w:val="1"/>
                <w:color w:val="auto"/>
              </w:rPr>
            </w:pPr>
          </w:p>
        </w:tc>
      </w:tr>
      <w:tr>
        <w:trPr>
          <w:trHeight w:val="216"/>
        </w:trPr>
        <w:tc>
          <w:tcPr>
            <w:tcW w:w="5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(Accumulated deficit)/Retained earnings</w:t>
            </w:r>
          </w:p>
        </w:tc>
        <w:tc>
          <w:tcPr>
            <w:tcW w:w="4380" w:type="dxa"/>
            <w:vAlign w:val="bottom"/>
            <w:gridSpan w:val="3"/>
            <w:shd w:val="clear" w:color="auto" w:fill="E5FFFF"/>
          </w:tcPr>
          <w:p>
            <w:pPr>
              <w:jc w:val="right"/>
              <w:ind w:right="280"/>
              <w:spacing w:after="0"/>
              <w:rPr>
                <w:sz w:val="20"/>
                <w:szCs w:val="20"/>
                <w:color w:val="auto"/>
              </w:rPr>
            </w:pPr>
            <w:r>
              <w:rPr>
                <w:rFonts w:ascii="Times New Roman" w:cs="Times New Roman" w:eastAsia="Times New Roman" w:hAnsi="Times New Roman"/>
                <w:sz w:val="16"/>
                <w:szCs w:val="16"/>
                <w:color w:val="auto"/>
              </w:rPr>
              <w:t>(65,117)</w:t>
            </w:r>
          </w:p>
        </w:tc>
        <w:tc>
          <w:tcPr>
            <w:tcW w:w="17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86,500</w:t>
            </w:r>
          </w:p>
        </w:tc>
        <w:tc>
          <w:tcPr>
            <w:tcW w:w="0" w:type="dxa"/>
            <w:vAlign w:val="bottom"/>
          </w:tcPr>
          <w:p>
            <w:pPr>
              <w:spacing w:after="0"/>
              <w:rPr>
                <w:sz w:val="1"/>
                <w:szCs w:val="1"/>
                <w:color w:val="auto"/>
              </w:rPr>
            </w:pPr>
          </w:p>
        </w:tc>
      </w:tr>
      <w:tr>
        <w:trPr>
          <w:trHeight w:val="196"/>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 attributable to owners of the Group</w:t>
            </w:r>
          </w:p>
        </w:tc>
        <w:tc>
          <w:tcPr>
            <w:tcW w:w="2360" w:type="dxa"/>
            <w:vAlign w:val="bottom"/>
          </w:tcPr>
          <w:p>
            <w:pPr>
              <w:spacing w:after="0"/>
              <w:rPr>
                <w:sz w:val="17"/>
                <w:szCs w:val="17"/>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643,741</w:t>
            </w:r>
          </w:p>
        </w:tc>
        <w:tc>
          <w:tcPr>
            <w:tcW w:w="320" w:type="dxa"/>
            <w:vAlign w:val="bottom"/>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758,975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4380" w:type="dxa"/>
            <w:vAlign w:val="bottom"/>
            <w:gridSpan w:val="3"/>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924,630</w:t>
            </w:r>
          </w:p>
        </w:tc>
        <w:tc>
          <w:tcPr>
            <w:tcW w:w="17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924,126</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2360" w:type="dxa"/>
            <w:vAlign w:val="bottom"/>
            <w:tcBorders>
              <w:bottom w:val="single" w:sz="8" w:color="E5FF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1,568,371</w:t>
            </w:r>
          </w:p>
        </w:tc>
        <w:tc>
          <w:tcPr>
            <w:tcW w:w="320" w:type="dxa"/>
            <w:vAlign w:val="bottom"/>
            <w:tcBorders>
              <w:bottom w:val="single" w:sz="8" w:color="E5FFFF"/>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1,683,101</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360" w:type="dxa"/>
            <w:vAlign w:val="bottom"/>
            <w:shd w:val="clear" w:color="auto" w:fill="E5FFFF"/>
          </w:tcPr>
          <w:p>
            <w:pPr>
              <w:spacing w:after="0"/>
              <w:rPr>
                <w:sz w:val="18"/>
                <w:szCs w:val="18"/>
                <w:color w:val="auto"/>
              </w:rPr>
            </w:pPr>
          </w:p>
        </w:tc>
        <w:tc>
          <w:tcPr>
            <w:tcW w:w="17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6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Trade accounts payable</w:t>
            </w:r>
          </w:p>
        </w:tc>
        <w:tc>
          <w:tcPr>
            <w:tcW w:w="43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15,892</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17,910</w:t>
            </w: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Ship management creditors</w:t>
            </w:r>
          </w:p>
        </w:tc>
        <w:tc>
          <w:tcPr>
            <w:tcW w:w="4380" w:type="dxa"/>
            <w:vAlign w:val="bottom"/>
            <w:gridSpan w:val="3"/>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119</w:t>
            </w:r>
          </w:p>
        </w:tc>
        <w:tc>
          <w:tcPr>
            <w:tcW w:w="17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1,569</w:t>
            </w: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Amounts due to related parties</w:t>
            </w:r>
          </w:p>
        </w:tc>
        <w:tc>
          <w:tcPr>
            <w:tcW w:w="43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27</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02"/>
        </w:trPr>
        <w:tc>
          <w:tcPr>
            <w:tcW w:w="5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Derivative financial instruments, current portion</w:t>
            </w:r>
          </w:p>
        </w:tc>
        <w:tc>
          <w:tcPr>
            <w:tcW w:w="4380" w:type="dxa"/>
            <w:vAlign w:val="bottom"/>
            <w:gridSpan w:val="3"/>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25,518</w:t>
            </w:r>
          </w:p>
        </w:tc>
        <w:tc>
          <w:tcPr>
            <w:tcW w:w="17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7,786</w:t>
            </w: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Other payables and accruals</w:t>
            </w:r>
          </w:p>
        </w:tc>
        <w:tc>
          <w:tcPr>
            <w:tcW w:w="43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153,501</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142,286</w:t>
            </w: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Borrowings, current portion</w:t>
            </w:r>
          </w:p>
        </w:tc>
        <w:tc>
          <w:tcPr>
            <w:tcW w:w="4380" w:type="dxa"/>
            <w:vAlign w:val="bottom"/>
            <w:gridSpan w:val="3"/>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553,161</w:t>
            </w:r>
          </w:p>
        </w:tc>
        <w:tc>
          <w:tcPr>
            <w:tcW w:w="17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329,169</w:t>
            </w: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 current portion</w:t>
            </w:r>
          </w:p>
        </w:tc>
        <w:tc>
          <w:tcPr>
            <w:tcW w:w="43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30,905</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41,523</w:t>
            </w:r>
          </w:p>
        </w:tc>
        <w:tc>
          <w:tcPr>
            <w:tcW w:w="0" w:type="dxa"/>
            <w:vAlign w:val="bottom"/>
          </w:tcPr>
          <w:p>
            <w:pPr>
              <w:spacing w:after="0"/>
              <w:rPr>
                <w:sz w:val="1"/>
                <w:szCs w:val="1"/>
                <w:color w:val="auto"/>
              </w:rPr>
            </w:pPr>
          </w:p>
        </w:tc>
      </w:tr>
      <w:tr>
        <w:trPr>
          <w:trHeight w:val="199"/>
        </w:trPr>
        <w:tc>
          <w:tcPr>
            <w:tcW w:w="50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36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779,123</w:t>
            </w:r>
          </w:p>
        </w:tc>
        <w:tc>
          <w:tcPr>
            <w:tcW w:w="32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540,446</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Derivative financial instruments, non-current portion</w:t>
            </w:r>
          </w:p>
        </w:tc>
        <w:tc>
          <w:tcPr>
            <w:tcW w:w="4380" w:type="dxa"/>
            <w:vAlign w:val="bottom"/>
            <w:gridSpan w:val="3"/>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28,694</w:t>
            </w:r>
          </w:p>
        </w:tc>
        <w:tc>
          <w:tcPr>
            <w:tcW w:w="17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15,946</w:t>
            </w: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Borrowings, non-current portion</w:t>
            </w:r>
          </w:p>
        </w:tc>
        <w:tc>
          <w:tcPr>
            <w:tcW w:w="43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3,105,059</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3,000,496</w:t>
            </w: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Lease liabilities, non-current portion</w:t>
            </w:r>
          </w:p>
        </w:tc>
        <w:tc>
          <w:tcPr>
            <w:tcW w:w="4380" w:type="dxa"/>
            <w:vAlign w:val="bottom"/>
            <w:gridSpan w:val="3"/>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271,945</w:t>
            </w:r>
          </w:p>
        </w:tc>
        <w:tc>
          <w:tcPr>
            <w:tcW w:w="17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288,515</w:t>
            </w: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3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6,553</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100,998</w:t>
            </w:r>
          </w:p>
        </w:tc>
        <w:tc>
          <w:tcPr>
            <w:tcW w:w="0" w:type="dxa"/>
            <w:vAlign w:val="bottom"/>
          </w:tcPr>
          <w:p>
            <w:pPr>
              <w:spacing w:after="0"/>
              <w:rPr>
                <w:sz w:val="1"/>
                <w:szCs w:val="1"/>
                <w:color w:val="auto"/>
              </w:rPr>
            </w:pPr>
          </w:p>
        </w:tc>
      </w:tr>
      <w:tr>
        <w:trPr>
          <w:trHeight w:val="199"/>
        </w:trPr>
        <w:tc>
          <w:tcPr>
            <w:tcW w:w="50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236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3,412,251</w:t>
            </w:r>
          </w:p>
        </w:tc>
        <w:tc>
          <w:tcPr>
            <w:tcW w:w="32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3,405,955</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236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5,759,745</w:t>
            </w:r>
          </w:p>
        </w:tc>
        <w:tc>
          <w:tcPr>
            <w:tcW w:w="320" w:type="dxa"/>
            <w:vAlign w:val="bottom"/>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5,629,502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360" w:type="dxa"/>
            <w:vAlign w:val="bottom"/>
            <w:vMerge w:val="restart"/>
          </w:tcPr>
          <w:p>
            <w:pPr>
              <w:jc w:val="right"/>
              <w:ind w:right="1719"/>
              <w:spacing w:after="0"/>
              <w:rPr>
                <w:sz w:val="20"/>
                <w:szCs w:val="20"/>
                <w:color w:val="auto"/>
              </w:rPr>
            </w:pPr>
            <w:r>
              <w:rPr>
                <w:rFonts w:ascii="Times New Roman" w:cs="Times New Roman" w:eastAsia="Times New Roman" w:hAnsi="Times New Roman"/>
                <w:sz w:val="14"/>
                <w:szCs w:val="14"/>
                <w:color w:val="auto"/>
              </w:rPr>
              <w:t>9</w:t>
            </w: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50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vMerge w:val="continue"/>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profit or loss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three and nine months ended September 30, 2021 and 2022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3160" w:type="dxa"/>
            <w:vAlign w:val="bottom"/>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880" w:type="dxa"/>
            <w:vAlign w:val="bottom"/>
            <w:gridSpan w:val="4"/>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03"/>
        </w:trPr>
        <w:tc>
          <w:tcPr>
            <w:tcW w:w="5200" w:type="dxa"/>
            <w:vAlign w:val="bottom"/>
          </w:tcPr>
          <w:p>
            <w:pPr>
              <w:spacing w:after="0"/>
              <w:rPr>
                <w:sz w:val="17"/>
                <w:szCs w:val="17"/>
                <w:color w:val="auto"/>
              </w:rPr>
            </w:pPr>
          </w:p>
        </w:tc>
        <w:tc>
          <w:tcPr>
            <w:tcW w:w="1600" w:type="dxa"/>
            <w:vAlign w:val="bottom"/>
            <w:gridSpan w:val="2"/>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September</w:t>
            </w:r>
          </w:p>
        </w:tc>
        <w:tc>
          <w:tcPr>
            <w:tcW w:w="1560" w:type="dxa"/>
            <w:vAlign w:val="bottom"/>
            <w:gridSpan w:val="2"/>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September</w:t>
            </w:r>
          </w:p>
        </w:tc>
        <w:tc>
          <w:tcPr>
            <w:tcW w:w="1540" w:type="dxa"/>
            <w:vAlign w:val="bottom"/>
            <w:gridSpan w:val="2"/>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September</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September</w:t>
            </w:r>
          </w:p>
        </w:tc>
      </w:tr>
      <w:tr>
        <w:trPr>
          <w:trHeight w:val="215"/>
        </w:trPr>
        <w:tc>
          <w:tcPr>
            <w:tcW w:w="520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30, 2021</w:t>
            </w:r>
          </w:p>
        </w:tc>
        <w:tc>
          <w:tcPr>
            <w:tcW w:w="36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30, 2022</w:t>
            </w:r>
          </w:p>
        </w:tc>
        <w:tc>
          <w:tcPr>
            <w:tcW w:w="34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30, 2021</w:t>
            </w:r>
          </w:p>
        </w:tc>
        <w:tc>
          <w:tcPr>
            <w:tcW w:w="32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30, 2022</w:t>
            </w:r>
          </w:p>
        </w:tc>
        <w:tc>
          <w:tcPr>
            <w:tcW w:w="100" w:type="dxa"/>
            <w:vAlign w:val="bottom"/>
            <w:tcBorders>
              <w:bottom w:val="single" w:sz="8" w:color="E5FFFF"/>
            </w:tcBorders>
          </w:tcPr>
          <w:p>
            <w:pPr>
              <w:spacing w:after="0"/>
              <w:rPr>
                <w:sz w:val="18"/>
                <w:szCs w:val="18"/>
                <w:color w:val="auto"/>
              </w:rPr>
            </w:pPr>
          </w:p>
        </w:tc>
      </w:tr>
      <w:tr>
        <w:trPr>
          <w:trHeight w:val="199"/>
        </w:trPr>
        <w:tc>
          <w:tcPr>
            <w:tcW w:w="5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Revenues</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208,162</w:t>
            </w:r>
          </w:p>
        </w:tc>
        <w:tc>
          <w:tcPr>
            <w:tcW w:w="36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241,918</w:t>
            </w:r>
          </w:p>
        </w:tc>
        <w:tc>
          <w:tcPr>
            <w:tcW w:w="34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586,499</w:t>
            </w:r>
          </w:p>
        </w:tc>
        <w:tc>
          <w:tcPr>
            <w:tcW w:w="32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671,737</w:t>
            </w:r>
          </w:p>
        </w:tc>
        <w:tc>
          <w:tcPr>
            <w:tcW w:w="100" w:type="dxa"/>
            <w:vAlign w:val="bottom"/>
            <w:shd w:val="clear" w:color="auto" w:fill="E5FFFF"/>
          </w:tcPr>
          <w:p>
            <w:pPr>
              <w:spacing w:after="0"/>
              <w:rPr>
                <w:sz w:val="17"/>
                <w:szCs w:val="17"/>
                <w:color w:val="auto"/>
              </w:rPr>
            </w:pPr>
          </w:p>
        </w:tc>
      </w:tr>
      <w:tr>
        <w:trPr>
          <w:trHeight w:val="20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Voyage expenses and commissions</w:t>
            </w:r>
          </w:p>
        </w:tc>
        <w:tc>
          <w:tcPr>
            <w:tcW w:w="16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(3,158)</w:t>
            </w:r>
          </w:p>
        </w:tc>
        <w:tc>
          <w:tcPr>
            <w:tcW w:w="15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(3,757)</w:t>
            </w:r>
          </w:p>
        </w:tc>
        <w:tc>
          <w:tcPr>
            <w:tcW w:w="15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(12,751)</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(11,084)</w:t>
            </w:r>
          </w:p>
        </w:tc>
      </w:tr>
      <w:tr>
        <w:trPr>
          <w:trHeight w:val="203"/>
        </w:trPr>
        <w:tc>
          <w:tcPr>
            <w:tcW w:w="5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Vessel operating and supervision costs</w:t>
            </w:r>
          </w:p>
        </w:tc>
        <w:tc>
          <w:tcPr>
            <w:tcW w:w="1600" w:type="dxa"/>
            <w:vAlign w:val="bottom"/>
            <w:gridSpan w:val="2"/>
            <w:shd w:val="clear" w:color="auto" w:fill="E5FFFF"/>
          </w:tcPr>
          <w:p>
            <w:pPr>
              <w:jc w:val="right"/>
              <w:ind w:right="219"/>
              <w:spacing w:after="0"/>
              <w:rPr>
                <w:sz w:val="20"/>
                <w:szCs w:val="20"/>
                <w:color w:val="auto"/>
              </w:rPr>
            </w:pPr>
            <w:r>
              <w:rPr>
                <w:rFonts w:ascii="Times New Roman" w:cs="Times New Roman" w:eastAsia="Times New Roman" w:hAnsi="Times New Roman"/>
                <w:sz w:val="16"/>
                <w:szCs w:val="16"/>
                <w:color w:val="auto"/>
              </w:rPr>
              <w:t>(41,929)</w:t>
            </w:r>
          </w:p>
        </w:tc>
        <w:tc>
          <w:tcPr>
            <w:tcW w:w="1560" w:type="dxa"/>
            <w:vAlign w:val="bottom"/>
            <w:gridSpan w:val="2"/>
            <w:shd w:val="clear" w:color="auto" w:fill="E5FFFF"/>
          </w:tcPr>
          <w:p>
            <w:pPr>
              <w:jc w:val="right"/>
              <w:ind w:right="199"/>
              <w:spacing w:after="0"/>
              <w:rPr>
                <w:sz w:val="20"/>
                <w:szCs w:val="20"/>
                <w:color w:val="auto"/>
              </w:rPr>
            </w:pPr>
            <w:r>
              <w:rPr>
                <w:rFonts w:ascii="Times New Roman" w:cs="Times New Roman" w:eastAsia="Times New Roman" w:hAnsi="Times New Roman"/>
                <w:sz w:val="16"/>
                <w:szCs w:val="16"/>
                <w:color w:val="auto"/>
              </w:rPr>
              <w:t>(39,091)</w:t>
            </w:r>
          </w:p>
        </w:tc>
        <w:tc>
          <w:tcPr>
            <w:tcW w:w="1540" w:type="dxa"/>
            <w:vAlign w:val="bottom"/>
            <w:gridSpan w:val="2"/>
            <w:shd w:val="clear" w:color="auto" w:fill="E5FFFF"/>
          </w:tcPr>
          <w:p>
            <w:pPr>
              <w:jc w:val="right"/>
              <w:ind w:right="179"/>
              <w:spacing w:after="0"/>
              <w:rPr>
                <w:sz w:val="20"/>
                <w:szCs w:val="20"/>
                <w:color w:val="auto"/>
              </w:rPr>
            </w:pPr>
            <w:r>
              <w:rPr>
                <w:rFonts w:ascii="Times New Roman" w:cs="Times New Roman" w:eastAsia="Times New Roman" w:hAnsi="Times New Roman"/>
                <w:sz w:val="16"/>
                <w:szCs w:val="16"/>
                <w:color w:val="auto"/>
              </w:rPr>
              <w:t>(121,870)</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(125,174)</w:t>
            </w:r>
          </w:p>
        </w:tc>
      </w:tr>
      <w:tr>
        <w:trPr>
          <w:trHeight w:val="20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6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(51,384)</w:t>
            </w:r>
          </w:p>
        </w:tc>
        <w:tc>
          <w:tcPr>
            <w:tcW w:w="15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(57,233)</w:t>
            </w:r>
          </w:p>
        </w:tc>
        <w:tc>
          <w:tcPr>
            <w:tcW w:w="15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(147,567)</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(170,074)</w:t>
            </w:r>
          </w:p>
        </w:tc>
      </w:tr>
      <w:tr>
        <w:trPr>
          <w:trHeight w:val="202"/>
        </w:trPr>
        <w:tc>
          <w:tcPr>
            <w:tcW w:w="5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Impairment loss</w:t>
            </w:r>
          </w:p>
        </w:tc>
        <w:tc>
          <w:tcPr>
            <w:tcW w:w="1600" w:type="dxa"/>
            <w:vAlign w:val="bottom"/>
            <w:gridSpan w:val="2"/>
            <w:shd w:val="clear" w:color="auto" w:fill="E5FFFF"/>
          </w:tcPr>
          <w:p>
            <w:pPr>
              <w:jc w:val="right"/>
              <w:ind w:right="219"/>
              <w:spacing w:after="0"/>
              <w:rPr>
                <w:sz w:val="20"/>
                <w:szCs w:val="20"/>
                <w:color w:val="auto"/>
              </w:rPr>
            </w:pPr>
            <w:r>
              <w:rPr>
                <w:rFonts w:ascii="Times New Roman" w:cs="Times New Roman" w:eastAsia="Times New Roman" w:hAnsi="Times New Roman"/>
                <w:sz w:val="16"/>
                <w:szCs w:val="16"/>
                <w:color w:val="auto"/>
              </w:rPr>
              <w:t>(16,853)</w:t>
            </w:r>
          </w:p>
        </w:tc>
        <w:tc>
          <w:tcPr>
            <w:tcW w:w="1560" w:type="dxa"/>
            <w:vAlign w:val="bottom"/>
            <w:gridSpan w:val="2"/>
            <w:shd w:val="clear" w:color="auto" w:fill="E5FF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E5FFFF"/>
          </w:tcPr>
          <w:p>
            <w:pPr>
              <w:jc w:val="right"/>
              <w:ind w:right="179"/>
              <w:spacing w:after="0"/>
              <w:rPr>
                <w:sz w:val="20"/>
                <w:szCs w:val="20"/>
                <w:color w:val="auto"/>
              </w:rPr>
            </w:pPr>
            <w:r>
              <w:rPr>
                <w:rFonts w:ascii="Times New Roman" w:cs="Times New Roman" w:eastAsia="Times New Roman" w:hAnsi="Times New Roman"/>
                <w:sz w:val="16"/>
                <w:szCs w:val="16"/>
                <w:color w:val="auto"/>
              </w:rPr>
              <w:t>(16,853)</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(56,911)</w:t>
            </w:r>
          </w:p>
        </w:tc>
      </w:tr>
      <w:tr>
        <w:trPr>
          <w:trHeight w:val="20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 of non-current assets</w:t>
            </w:r>
          </w:p>
        </w:tc>
        <w:tc>
          <w:tcPr>
            <w:tcW w:w="160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(167)</w:t>
            </w:r>
          </w:p>
        </w:tc>
        <w:tc>
          <w:tcPr>
            <w:tcW w:w="154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(744)</w:t>
            </w:r>
          </w:p>
        </w:tc>
      </w:tr>
      <w:tr>
        <w:trPr>
          <w:trHeight w:val="216"/>
        </w:trPr>
        <w:tc>
          <w:tcPr>
            <w:tcW w:w="5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600" w:type="dxa"/>
            <w:vAlign w:val="bottom"/>
            <w:gridSpan w:val="2"/>
            <w:shd w:val="clear" w:color="auto" w:fill="E5FFFF"/>
          </w:tcPr>
          <w:p>
            <w:pPr>
              <w:jc w:val="right"/>
              <w:ind w:right="219"/>
              <w:spacing w:after="0"/>
              <w:rPr>
                <w:sz w:val="20"/>
                <w:szCs w:val="20"/>
                <w:color w:val="auto"/>
              </w:rPr>
            </w:pPr>
            <w:r>
              <w:rPr>
                <w:rFonts w:ascii="Times New Roman" w:cs="Times New Roman" w:eastAsia="Times New Roman" w:hAnsi="Times New Roman"/>
                <w:sz w:val="16"/>
                <w:szCs w:val="16"/>
                <w:color w:val="auto"/>
              </w:rPr>
              <w:t>(7,043)</w:t>
            </w:r>
          </w:p>
        </w:tc>
        <w:tc>
          <w:tcPr>
            <w:tcW w:w="1560" w:type="dxa"/>
            <w:vAlign w:val="bottom"/>
            <w:gridSpan w:val="2"/>
            <w:shd w:val="clear" w:color="auto" w:fill="E5FFFF"/>
          </w:tcPr>
          <w:p>
            <w:pPr>
              <w:jc w:val="right"/>
              <w:ind w:right="199"/>
              <w:spacing w:after="0"/>
              <w:rPr>
                <w:sz w:val="20"/>
                <w:szCs w:val="20"/>
                <w:color w:val="auto"/>
              </w:rPr>
            </w:pPr>
            <w:r>
              <w:rPr>
                <w:rFonts w:ascii="Times New Roman" w:cs="Times New Roman" w:eastAsia="Times New Roman" w:hAnsi="Times New Roman"/>
                <w:sz w:val="16"/>
                <w:szCs w:val="16"/>
                <w:color w:val="auto"/>
              </w:rPr>
              <w:t>(5,706)</w:t>
            </w:r>
          </w:p>
        </w:tc>
        <w:tc>
          <w:tcPr>
            <w:tcW w:w="1540" w:type="dxa"/>
            <w:vAlign w:val="bottom"/>
            <w:gridSpan w:val="2"/>
            <w:shd w:val="clear" w:color="auto" w:fill="E5FFFF"/>
          </w:tcPr>
          <w:p>
            <w:pPr>
              <w:jc w:val="right"/>
              <w:ind w:right="179"/>
              <w:spacing w:after="0"/>
              <w:rPr>
                <w:sz w:val="20"/>
                <w:szCs w:val="20"/>
                <w:color w:val="auto"/>
              </w:rPr>
            </w:pPr>
            <w:r>
              <w:rPr>
                <w:rFonts w:ascii="Times New Roman" w:cs="Times New Roman" w:eastAsia="Times New Roman" w:hAnsi="Times New Roman"/>
                <w:sz w:val="16"/>
                <w:szCs w:val="16"/>
                <w:color w:val="auto"/>
              </w:rPr>
              <w:t>(32,283)</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(22,608)</w:t>
            </w:r>
          </w:p>
        </w:tc>
      </w:tr>
      <w:tr>
        <w:trPr>
          <w:trHeight w:val="196"/>
        </w:trPr>
        <w:tc>
          <w:tcPr>
            <w:tcW w:w="520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Profit from operations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87,795</w:t>
            </w:r>
          </w:p>
        </w:tc>
        <w:tc>
          <w:tcPr>
            <w:tcW w:w="360" w:type="dxa"/>
            <w:vAlign w:val="bottom"/>
            <w:tcBorders>
              <w:bottom w:val="single" w:sz="8" w:color="E5FF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135,964</w:t>
            </w:r>
          </w:p>
        </w:tc>
        <w:tc>
          <w:tcPr>
            <w:tcW w:w="340" w:type="dxa"/>
            <w:vAlign w:val="bottom"/>
            <w:tcBorders>
              <w:bottom w:val="single" w:sz="8" w:color="E5FF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255,175</w:t>
            </w:r>
          </w:p>
        </w:tc>
        <w:tc>
          <w:tcPr>
            <w:tcW w:w="32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285,142</w:t>
            </w:r>
          </w:p>
        </w:tc>
        <w:tc>
          <w:tcPr>
            <w:tcW w:w="100" w:type="dxa"/>
            <w:vAlign w:val="bottom"/>
            <w:tcBorders>
              <w:bottom w:val="single" w:sz="8" w:color="E5FFFF"/>
            </w:tcBorders>
          </w:tcPr>
          <w:p>
            <w:pPr>
              <w:spacing w:after="0"/>
              <w:rPr>
                <w:sz w:val="17"/>
                <w:szCs w:val="17"/>
                <w:color w:val="auto"/>
              </w:rPr>
            </w:pPr>
          </w:p>
        </w:tc>
      </w:tr>
      <w:tr>
        <w:trPr>
          <w:trHeight w:val="196"/>
        </w:trPr>
        <w:tc>
          <w:tcPr>
            <w:tcW w:w="5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(38,193)</w:t>
            </w:r>
          </w:p>
        </w:tc>
        <w:tc>
          <w:tcPr>
            <w:tcW w:w="36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(49,338)</w:t>
            </w:r>
          </w:p>
        </w:tc>
        <w:tc>
          <w:tcPr>
            <w:tcW w:w="34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(128,797)</w:t>
            </w:r>
          </w:p>
        </w:tc>
        <w:tc>
          <w:tcPr>
            <w:tcW w:w="32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(126,173)</w:t>
            </w:r>
          </w:p>
        </w:tc>
        <w:tc>
          <w:tcPr>
            <w:tcW w:w="100" w:type="dxa"/>
            <w:vAlign w:val="bottom"/>
            <w:shd w:val="clear" w:color="auto" w:fill="E5FFFF"/>
          </w:tcPr>
          <w:p>
            <w:pPr>
              <w:spacing w:after="0"/>
              <w:rPr>
                <w:sz w:val="17"/>
                <w:szCs w:val="17"/>
                <w:color w:val="auto"/>
              </w:rPr>
            </w:pPr>
          </w:p>
        </w:tc>
      </w:tr>
      <w:tr>
        <w:trPr>
          <w:trHeight w:val="20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360" w:type="dxa"/>
            <w:vAlign w:val="bottom"/>
          </w:tcPr>
          <w:p>
            <w:pPr>
              <w:spacing w:after="0"/>
              <w:rPr>
                <w:sz w:val="17"/>
                <w:szCs w:val="17"/>
                <w:color w:val="auto"/>
              </w:rPr>
            </w:pPr>
          </w:p>
        </w:tc>
        <w:tc>
          <w:tcPr>
            <w:tcW w:w="156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1,081</w:t>
            </w:r>
          </w:p>
        </w:tc>
        <w:tc>
          <w:tcPr>
            <w:tcW w:w="154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116</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1,493</w:t>
            </w:r>
          </w:p>
        </w:tc>
      </w:tr>
      <w:tr>
        <w:trPr>
          <w:trHeight w:val="203"/>
        </w:trPr>
        <w:tc>
          <w:tcPr>
            <w:tcW w:w="5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(Loss)/gain on derivatives</w:t>
            </w:r>
          </w:p>
        </w:tc>
        <w:tc>
          <w:tcPr>
            <w:tcW w:w="1600" w:type="dxa"/>
            <w:vAlign w:val="bottom"/>
            <w:gridSpan w:val="2"/>
            <w:shd w:val="clear" w:color="auto" w:fill="E5FFFF"/>
          </w:tcPr>
          <w:p>
            <w:pPr>
              <w:jc w:val="right"/>
              <w:ind w:right="219"/>
              <w:spacing w:after="0"/>
              <w:rPr>
                <w:sz w:val="20"/>
                <w:szCs w:val="20"/>
                <w:color w:val="auto"/>
              </w:rPr>
            </w:pPr>
            <w:r>
              <w:rPr>
                <w:rFonts w:ascii="Times New Roman" w:cs="Times New Roman" w:eastAsia="Times New Roman" w:hAnsi="Times New Roman"/>
                <w:sz w:val="16"/>
                <w:szCs w:val="16"/>
                <w:color w:val="auto"/>
              </w:rPr>
              <w:t>(1,737)</w:t>
            </w:r>
          </w:p>
        </w:tc>
        <w:tc>
          <w:tcPr>
            <w:tcW w:w="1560" w:type="dxa"/>
            <w:vAlign w:val="bottom"/>
            <w:gridSpan w:val="2"/>
            <w:shd w:val="clear" w:color="auto" w:fill="E5FFFF"/>
          </w:tcPr>
          <w:p>
            <w:pPr>
              <w:jc w:val="right"/>
              <w:ind w:right="259"/>
              <w:spacing w:after="0"/>
              <w:rPr>
                <w:sz w:val="20"/>
                <w:szCs w:val="20"/>
                <w:color w:val="auto"/>
              </w:rPr>
            </w:pPr>
            <w:r>
              <w:rPr>
                <w:rFonts w:ascii="Times New Roman" w:cs="Times New Roman" w:eastAsia="Times New Roman" w:hAnsi="Times New Roman"/>
                <w:sz w:val="16"/>
                <w:szCs w:val="16"/>
                <w:color w:val="auto"/>
              </w:rPr>
              <w:t>21,611</w:t>
            </w: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12,236</w:t>
            </w:r>
          </w:p>
        </w:tc>
        <w:tc>
          <w:tcPr>
            <w:tcW w:w="3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67,342</w:t>
            </w:r>
          </w:p>
        </w:tc>
      </w:tr>
      <w:tr>
        <w:trPr>
          <w:trHeight w:val="21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Share of profit/(loss) of associates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360" w:type="dxa"/>
            <w:vAlign w:val="bottom"/>
          </w:tcPr>
          <w:p>
            <w:pPr>
              <w:spacing w:after="0"/>
              <w:rPr>
                <w:sz w:val="18"/>
                <w:szCs w:val="18"/>
                <w:color w:val="auto"/>
              </w:rPr>
            </w:pPr>
          </w:p>
        </w:tc>
        <w:tc>
          <w:tcPr>
            <w:tcW w:w="15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(195)</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w:t>
            </w:r>
          </w:p>
        </w:tc>
        <w:tc>
          <w:tcPr>
            <w:tcW w:w="3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740</w:t>
            </w:r>
          </w:p>
        </w:tc>
      </w:tr>
      <w:tr>
        <w:trPr>
          <w:trHeight w:val="199"/>
        </w:trPr>
        <w:tc>
          <w:tcPr>
            <w:tcW w:w="520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other expenses, net</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(39,253</w:t>
            </w:r>
          </w:p>
        </w:tc>
        <w:tc>
          <w:tcPr>
            <w:tcW w:w="360" w:type="dxa"/>
            <w:vAlign w:val="bottom"/>
            <w:tcBorders>
              <w:top w:val="single" w:sz="8" w:color="E5FFFF"/>
            </w:tcBorders>
            <w:shd w:val="clear" w:color="auto" w:fill="E5FF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(26,841</w:t>
            </w:r>
          </w:p>
        </w:tc>
        <w:tc>
          <w:tcPr>
            <w:tcW w:w="340" w:type="dxa"/>
            <w:vAlign w:val="bottom"/>
            <w:tcBorders>
              <w:top w:val="single" w:sz="8" w:color="E5FFFF"/>
            </w:tcBorders>
            <w:shd w:val="clear" w:color="auto" w:fill="E5FF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(114,678</w:t>
            </w:r>
          </w:p>
        </w:tc>
        <w:tc>
          <w:tcPr>
            <w:tcW w:w="320" w:type="dxa"/>
            <w:vAlign w:val="bottom"/>
            <w:tcBorders>
              <w:top w:val="single" w:sz="8" w:color="E5FFFF"/>
            </w:tcBorders>
            <w:shd w:val="clear" w:color="auto" w:fill="E5FF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(56,598</w:t>
            </w:r>
          </w:p>
        </w:tc>
        <w:tc>
          <w:tcPr>
            <w:tcW w:w="100" w:type="dxa"/>
            <w:vAlign w:val="bottom"/>
            <w:tcBorders>
              <w:top w:val="single" w:sz="8" w:color="E5FFFF"/>
            </w:tcBorders>
            <w:shd w:val="clear" w:color="auto" w:fill="E5FFFF"/>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48"/>
        </w:trPr>
        <w:tc>
          <w:tcPr>
            <w:tcW w:w="520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Profit for the period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48,542</w:t>
            </w:r>
          </w:p>
        </w:tc>
        <w:tc>
          <w:tcPr>
            <w:tcW w:w="360" w:type="dxa"/>
            <w:vAlign w:val="bottom"/>
            <w:tcBorders>
              <w:bottom w:val="single" w:sz="8" w:color="E5FFFF"/>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109,123</w:t>
            </w:r>
          </w:p>
        </w:tc>
        <w:tc>
          <w:tcPr>
            <w:tcW w:w="340" w:type="dxa"/>
            <w:vAlign w:val="bottom"/>
            <w:tcBorders>
              <w:bottom w:val="single" w:sz="8" w:color="E5FFFF"/>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140,497</w:t>
            </w:r>
          </w:p>
        </w:tc>
        <w:tc>
          <w:tcPr>
            <w:tcW w:w="320" w:type="dxa"/>
            <w:vAlign w:val="bottom"/>
            <w:tcBorders>
              <w:bottom w:val="single" w:sz="8" w:color="E5FF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228,544</w:t>
            </w:r>
          </w:p>
        </w:tc>
        <w:tc>
          <w:tcPr>
            <w:tcW w:w="100" w:type="dxa"/>
            <w:vAlign w:val="bottom"/>
            <w:tcBorders>
              <w:bottom w:val="single" w:sz="8" w:color="E5FFFF"/>
            </w:tcBorders>
          </w:tcPr>
          <w:p>
            <w:pPr>
              <w:spacing w:after="0"/>
              <w:rPr>
                <w:sz w:val="21"/>
                <w:szCs w:val="21"/>
                <w:color w:val="auto"/>
              </w:rPr>
            </w:pPr>
          </w:p>
        </w:tc>
      </w:tr>
      <w:tr>
        <w:trPr>
          <w:trHeight w:val="198"/>
        </w:trPr>
        <w:tc>
          <w:tcPr>
            <w:tcW w:w="5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Attributable to:</w:t>
            </w:r>
          </w:p>
        </w:tc>
        <w:tc>
          <w:tcPr>
            <w:tcW w:w="12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Owners of the Group</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28,031</w:t>
            </w:r>
          </w:p>
        </w:tc>
        <w:tc>
          <w:tcPr>
            <w:tcW w:w="360" w:type="dxa"/>
            <w:vAlign w:val="bottom"/>
          </w:tcPr>
          <w:p>
            <w:pPr>
              <w:spacing w:after="0"/>
              <w:rPr>
                <w:sz w:val="17"/>
                <w:szCs w:val="17"/>
                <w:color w:val="auto"/>
              </w:rPr>
            </w:pPr>
          </w:p>
        </w:tc>
        <w:tc>
          <w:tcPr>
            <w:tcW w:w="156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77,917</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81,181</w:t>
            </w:r>
          </w:p>
        </w:tc>
        <w:tc>
          <w:tcPr>
            <w:tcW w:w="3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168,441</w:t>
            </w:r>
          </w:p>
        </w:tc>
      </w:tr>
      <w:tr>
        <w:trPr>
          <w:trHeight w:val="213"/>
        </w:trPr>
        <w:tc>
          <w:tcPr>
            <w:tcW w:w="5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600" w:type="dxa"/>
            <w:vAlign w:val="bottom"/>
            <w:gridSpan w:val="2"/>
            <w:shd w:val="clear" w:color="auto" w:fill="E5FFFF"/>
          </w:tcPr>
          <w:p>
            <w:pPr>
              <w:jc w:val="right"/>
              <w:ind w:right="279"/>
              <w:spacing w:after="0"/>
              <w:rPr>
                <w:sz w:val="20"/>
                <w:szCs w:val="20"/>
                <w:color w:val="auto"/>
              </w:rPr>
            </w:pPr>
            <w:r>
              <w:rPr>
                <w:rFonts w:ascii="Times New Roman" w:cs="Times New Roman" w:eastAsia="Times New Roman" w:hAnsi="Times New Roman"/>
                <w:sz w:val="16"/>
                <w:szCs w:val="16"/>
                <w:color w:val="auto"/>
              </w:rPr>
              <w:t>20,511</w:t>
            </w:r>
          </w:p>
        </w:tc>
        <w:tc>
          <w:tcPr>
            <w:tcW w:w="1560" w:type="dxa"/>
            <w:vAlign w:val="bottom"/>
            <w:gridSpan w:val="2"/>
            <w:shd w:val="clear" w:color="auto" w:fill="E5FFFF"/>
          </w:tcPr>
          <w:p>
            <w:pPr>
              <w:jc w:val="right"/>
              <w:ind w:right="259"/>
              <w:spacing w:after="0"/>
              <w:rPr>
                <w:sz w:val="20"/>
                <w:szCs w:val="20"/>
                <w:color w:val="auto"/>
              </w:rPr>
            </w:pPr>
            <w:r>
              <w:rPr>
                <w:rFonts w:ascii="Times New Roman" w:cs="Times New Roman" w:eastAsia="Times New Roman" w:hAnsi="Times New Roman"/>
                <w:sz w:val="16"/>
                <w:szCs w:val="16"/>
                <w:color w:val="auto"/>
              </w:rPr>
              <w:t>31,206</w:t>
            </w: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59,316</w:t>
            </w:r>
          </w:p>
        </w:tc>
        <w:tc>
          <w:tcPr>
            <w:tcW w:w="32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60,103</w:t>
            </w:r>
          </w:p>
        </w:tc>
      </w:tr>
      <w:tr>
        <w:trPr>
          <w:trHeight w:val="20"/>
        </w:trPr>
        <w:tc>
          <w:tcPr>
            <w:tcW w:w="5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48,542</w:t>
            </w:r>
          </w:p>
        </w:tc>
        <w:tc>
          <w:tcPr>
            <w:tcW w:w="360" w:type="dxa"/>
            <w:vAlign w:val="bottom"/>
          </w:tcPr>
          <w:p>
            <w:pPr>
              <w:spacing w:after="0"/>
              <w:rPr>
                <w:sz w:val="19"/>
                <w:szCs w:val="19"/>
                <w:color w:val="auto"/>
              </w:rPr>
            </w:pPr>
          </w:p>
        </w:tc>
        <w:tc>
          <w:tcPr>
            <w:tcW w:w="156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109,123</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140,497</w:t>
            </w:r>
          </w:p>
        </w:tc>
        <w:tc>
          <w:tcPr>
            <w:tcW w:w="3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228,544</w:t>
            </w:r>
          </w:p>
        </w:tc>
      </w:tr>
      <w:tr>
        <w:trPr>
          <w:trHeight w:val="20"/>
        </w:trPr>
        <w:tc>
          <w:tcPr>
            <w:tcW w:w="5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4"/>
        </w:trPr>
        <w:tc>
          <w:tcPr>
            <w:tcW w:w="5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10</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cash flows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2021 and 2022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900" w:type="dxa"/>
            <w:vAlign w:val="bottom"/>
            <w:gridSpan w:val="4"/>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8340" w:type="dxa"/>
            <w:vAlign w:val="bottom"/>
          </w:tcPr>
          <w:p>
            <w:pPr>
              <w:spacing w:after="0"/>
              <w:rPr>
                <w:sz w:val="17"/>
                <w:szCs w:val="17"/>
                <w:color w:val="auto"/>
              </w:rPr>
            </w:pPr>
          </w:p>
        </w:tc>
        <w:tc>
          <w:tcPr>
            <w:tcW w:w="156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5"/>
        </w:trPr>
        <w:tc>
          <w:tcPr>
            <w:tcW w:w="834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32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40" w:type="dxa"/>
            <w:vAlign w:val="bottom"/>
          </w:tcPr>
          <w:p>
            <w:pPr>
              <w:spacing w:after="0"/>
              <w:rPr>
                <w:sz w:val="20"/>
                <w:szCs w:val="20"/>
                <w:color w:val="auto"/>
              </w:rPr>
            </w:pPr>
            <w:r>
              <w:rPr>
                <w:rFonts w:ascii="Times New Roman" w:cs="Times New Roman" w:eastAsia="Times New Roman" w:hAnsi="Times New Roman"/>
                <w:sz w:val="16"/>
                <w:szCs w:val="16"/>
                <w:color w:val="auto"/>
              </w:rPr>
              <w:t>Profit for the period</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140,497</w:t>
            </w:r>
          </w:p>
        </w:tc>
        <w:tc>
          <w:tcPr>
            <w:tcW w:w="3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228,544</w:t>
            </w:r>
          </w:p>
        </w:tc>
        <w:tc>
          <w:tcPr>
            <w:tcW w:w="0" w:type="dxa"/>
            <w:vAlign w:val="bottom"/>
          </w:tcPr>
          <w:p>
            <w:pPr>
              <w:spacing w:after="0"/>
              <w:rPr>
                <w:sz w:val="1"/>
                <w:szCs w:val="1"/>
                <w:color w:val="auto"/>
              </w:rPr>
            </w:pPr>
          </w:p>
        </w:tc>
      </w:tr>
      <w:tr>
        <w:trPr>
          <w:trHeight w:val="216"/>
        </w:trPr>
        <w:tc>
          <w:tcPr>
            <w:tcW w:w="83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12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147,567</w:t>
            </w:r>
          </w:p>
        </w:tc>
        <w:tc>
          <w:tcPr>
            <w:tcW w:w="3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170,074</w:t>
            </w:r>
          </w:p>
        </w:tc>
        <w:tc>
          <w:tcPr>
            <w:tcW w:w="0" w:type="dxa"/>
            <w:vAlign w:val="bottom"/>
          </w:tcPr>
          <w:p>
            <w:pPr>
              <w:spacing w:after="0"/>
              <w:rPr>
                <w:sz w:val="1"/>
                <w:szCs w:val="1"/>
                <w:color w:val="auto"/>
              </w:rPr>
            </w:pPr>
          </w:p>
        </w:tc>
      </w:tr>
      <w:tr>
        <w:trPr>
          <w:trHeight w:val="203"/>
        </w:trPr>
        <w:tc>
          <w:tcPr>
            <w:tcW w:w="83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Impairment loss</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16,853</w:t>
            </w:r>
          </w:p>
        </w:tc>
        <w:tc>
          <w:tcPr>
            <w:tcW w:w="3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56,911</w:t>
            </w:r>
          </w:p>
        </w:tc>
        <w:tc>
          <w:tcPr>
            <w:tcW w:w="0" w:type="dxa"/>
            <w:vAlign w:val="bottom"/>
          </w:tcPr>
          <w:p>
            <w:pPr>
              <w:spacing w:after="0"/>
              <w:rPr>
                <w:sz w:val="1"/>
                <w:szCs w:val="1"/>
                <w:color w:val="auto"/>
              </w:rPr>
            </w:pPr>
          </w:p>
        </w:tc>
      </w:tr>
      <w:tr>
        <w:trPr>
          <w:trHeight w:val="203"/>
        </w:trPr>
        <w:tc>
          <w:tcPr>
            <w:tcW w:w="834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 of non-current assets</w:t>
            </w:r>
          </w:p>
        </w:tc>
        <w:tc>
          <w:tcPr>
            <w:tcW w:w="156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744</w:t>
            </w:r>
          </w:p>
        </w:tc>
        <w:tc>
          <w:tcPr>
            <w:tcW w:w="0" w:type="dxa"/>
            <w:vAlign w:val="bottom"/>
          </w:tcPr>
          <w:p>
            <w:pPr>
              <w:spacing w:after="0"/>
              <w:rPr>
                <w:sz w:val="1"/>
                <w:szCs w:val="1"/>
                <w:color w:val="auto"/>
              </w:rPr>
            </w:pPr>
          </w:p>
        </w:tc>
      </w:tr>
      <w:tr>
        <w:trPr>
          <w:trHeight w:val="203"/>
        </w:trPr>
        <w:tc>
          <w:tcPr>
            <w:tcW w:w="83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Share of profit of associates</w:t>
            </w:r>
          </w:p>
        </w:tc>
        <w:tc>
          <w:tcPr>
            <w:tcW w:w="1560" w:type="dxa"/>
            <w:vAlign w:val="bottom"/>
            <w:gridSpan w:val="2"/>
            <w:shd w:val="clear" w:color="auto" w:fill="E5FFFF"/>
          </w:tcPr>
          <w:p>
            <w:pPr>
              <w:jc w:val="right"/>
              <w:ind w:right="179"/>
              <w:spacing w:after="0"/>
              <w:rPr>
                <w:sz w:val="20"/>
                <w:szCs w:val="20"/>
                <w:color w:val="auto"/>
              </w:rPr>
            </w:pPr>
            <w:r>
              <w:rPr>
                <w:rFonts w:ascii="Times New Roman" w:cs="Times New Roman" w:eastAsia="Times New Roman" w:hAnsi="Times New Roman"/>
                <w:sz w:val="16"/>
                <w:szCs w:val="16"/>
                <w:color w:val="auto"/>
              </w:rPr>
              <w:t>(1,767)</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(740)</w:t>
            </w:r>
          </w:p>
        </w:tc>
        <w:tc>
          <w:tcPr>
            <w:tcW w:w="0" w:type="dxa"/>
            <w:vAlign w:val="bottom"/>
          </w:tcPr>
          <w:p>
            <w:pPr>
              <w:spacing w:after="0"/>
              <w:rPr>
                <w:sz w:val="1"/>
                <w:szCs w:val="1"/>
                <w:color w:val="auto"/>
              </w:rPr>
            </w:pPr>
          </w:p>
        </w:tc>
      </w:tr>
      <w:tr>
        <w:trPr>
          <w:trHeight w:val="203"/>
        </w:trPr>
        <w:tc>
          <w:tcPr>
            <w:tcW w:w="834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5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(116)</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(1,493)</w:t>
            </w:r>
          </w:p>
        </w:tc>
        <w:tc>
          <w:tcPr>
            <w:tcW w:w="0" w:type="dxa"/>
            <w:vAlign w:val="bottom"/>
          </w:tcPr>
          <w:p>
            <w:pPr>
              <w:spacing w:after="0"/>
              <w:rPr>
                <w:sz w:val="1"/>
                <w:szCs w:val="1"/>
                <w:color w:val="auto"/>
              </w:rPr>
            </w:pPr>
          </w:p>
        </w:tc>
      </w:tr>
      <w:tr>
        <w:trPr>
          <w:trHeight w:val="203"/>
        </w:trPr>
        <w:tc>
          <w:tcPr>
            <w:tcW w:w="83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128,797</w:t>
            </w:r>
          </w:p>
        </w:tc>
        <w:tc>
          <w:tcPr>
            <w:tcW w:w="3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126,173</w:t>
            </w:r>
          </w:p>
        </w:tc>
        <w:tc>
          <w:tcPr>
            <w:tcW w:w="0" w:type="dxa"/>
            <w:vAlign w:val="bottom"/>
          </w:tcPr>
          <w:p>
            <w:pPr>
              <w:spacing w:after="0"/>
              <w:rPr>
                <w:sz w:val="1"/>
                <w:szCs w:val="1"/>
                <w:color w:val="auto"/>
              </w:rPr>
            </w:pPr>
          </w:p>
        </w:tc>
      </w:tr>
      <w:tr>
        <w:trPr>
          <w:trHeight w:val="203"/>
        </w:trPr>
        <w:tc>
          <w:tcPr>
            <w:tcW w:w="8340" w:type="dxa"/>
            <w:vAlign w:val="bottom"/>
          </w:tcPr>
          <w:p>
            <w:pPr>
              <w:spacing w:after="0"/>
              <w:rPr>
                <w:sz w:val="20"/>
                <w:szCs w:val="20"/>
                <w:color w:val="auto"/>
              </w:rPr>
            </w:pPr>
            <w:r>
              <w:rPr>
                <w:rFonts w:ascii="Times New Roman" w:cs="Times New Roman" w:eastAsia="Times New Roman" w:hAnsi="Times New Roman"/>
                <w:sz w:val="16"/>
                <w:szCs w:val="16"/>
                <w:color w:val="auto"/>
              </w:rPr>
              <w:t>Gain on derivatives (excluding realized gain/loss on forward foreign exchange contracts held for trading)</w:t>
            </w:r>
          </w:p>
        </w:tc>
        <w:tc>
          <w:tcPr>
            <w:tcW w:w="15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(12,417)</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(71,218)</w:t>
            </w:r>
          </w:p>
        </w:tc>
        <w:tc>
          <w:tcPr>
            <w:tcW w:w="0" w:type="dxa"/>
            <w:vAlign w:val="bottom"/>
          </w:tcPr>
          <w:p>
            <w:pPr>
              <w:spacing w:after="0"/>
              <w:rPr>
                <w:sz w:val="1"/>
                <w:szCs w:val="1"/>
                <w:color w:val="auto"/>
              </w:rPr>
            </w:pPr>
          </w:p>
        </w:tc>
      </w:tr>
      <w:tr>
        <w:trPr>
          <w:trHeight w:val="216"/>
        </w:trPr>
        <w:tc>
          <w:tcPr>
            <w:tcW w:w="83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3,337</w:t>
            </w:r>
          </w:p>
        </w:tc>
        <w:tc>
          <w:tcPr>
            <w:tcW w:w="32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612</w:t>
            </w:r>
          </w:p>
        </w:tc>
        <w:tc>
          <w:tcPr>
            <w:tcW w:w="0" w:type="dxa"/>
            <w:vAlign w:val="bottom"/>
          </w:tcPr>
          <w:p>
            <w:pPr>
              <w:spacing w:after="0"/>
              <w:rPr>
                <w:sz w:val="1"/>
                <w:szCs w:val="1"/>
                <w:color w:val="auto"/>
              </w:rPr>
            </w:pPr>
          </w:p>
        </w:tc>
      </w:tr>
      <w:tr>
        <w:trPr>
          <w:trHeight w:val="207"/>
        </w:trPr>
        <w:tc>
          <w:tcPr>
            <w:tcW w:w="834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422,751</w:t>
            </w:r>
          </w:p>
        </w:tc>
        <w:tc>
          <w:tcPr>
            <w:tcW w:w="32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509,607</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3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Movements in working capital</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320" w:type="dxa"/>
            <w:vAlign w:val="bottom"/>
            <w:shd w:val="clear" w:color="auto" w:fill="E5FFFF"/>
          </w:tcPr>
          <w:p>
            <w:pPr>
              <w:spacing w:after="0"/>
              <w:rPr>
                <w:sz w:val="17"/>
                <w:szCs w:val="17"/>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(37,361</w:t>
            </w:r>
          </w:p>
        </w:tc>
        <w:tc>
          <w:tcPr>
            <w:tcW w:w="100" w:type="dxa"/>
            <w:vAlign w:val="bottom"/>
            <w:shd w:val="clear" w:color="auto" w:fill="E5FF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96"/>
        </w:trPr>
        <w:tc>
          <w:tcPr>
            <w:tcW w:w="834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424,101</w:t>
            </w:r>
          </w:p>
        </w:tc>
        <w:tc>
          <w:tcPr>
            <w:tcW w:w="320" w:type="dxa"/>
            <w:vAlign w:val="bottom"/>
            <w:tcBorders>
              <w:bottom w:val="single" w:sz="8" w:color="E5FF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472,246</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40" w:type="dxa"/>
            <w:vAlign w:val="bottom"/>
          </w:tcPr>
          <w:p>
            <w:pPr>
              <w:spacing w:after="0"/>
              <w:rPr>
                <w:sz w:val="20"/>
                <w:szCs w:val="20"/>
                <w:color w:val="auto"/>
              </w:rPr>
            </w:pPr>
            <w:r>
              <w:rPr>
                <w:rFonts w:ascii="Times New Roman" w:cs="Times New Roman" w:eastAsia="Times New Roman" w:hAnsi="Times New Roman"/>
                <w:sz w:val="16"/>
                <w:szCs w:val="16"/>
                <w:color w:val="auto"/>
              </w:rPr>
              <w:t>Payments for tangible fixed assets and vessels under construction</w:t>
            </w:r>
          </w:p>
        </w:tc>
        <w:tc>
          <w:tcPr>
            <w:tcW w:w="15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(492,287)</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(125,847)</w:t>
            </w:r>
          </w:p>
        </w:tc>
        <w:tc>
          <w:tcPr>
            <w:tcW w:w="0" w:type="dxa"/>
            <w:vAlign w:val="bottom"/>
          </w:tcPr>
          <w:p>
            <w:pPr>
              <w:spacing w:after="0"/>
              <w:rPr>
                <w:sz w:val="1"/>
                <w:szCs w:val="1"/>
                <w:color w:val="auto"/>
              </w:rPr>
            </w:pPr>
          </w:p>
        </w:tc>
      </w:tr>
      <w:tr>
        <w:trPr>
          <w:trHeight w:val="203"/>
        </w:trPr>
        <w:tc>
          <w:tcPr>
            <w:tcW w:w="83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Proceeds from sale and sale and leaseback, net of commissions</w:t>
            </w:r>
          </w:p>
        </w:tc>
        <w:tc>
          <w:tcPr>
            <w:tcW w:w="1560" w:type="dxa"/>
            <w:vAlign w:val="bottom"/>
            <w:gridSpan w:val="2"/>
            <w:shd w:val="clear" w:color="auto" w:fill="E5FF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177,032</w:t>
            </w:r>
          </w:p>
        </w:tc>
        <w:tc>
          <w:tcPr>
            <w:tcW w:w="0" w:type="dxa"/>
            <w:vAlign w:val="bottom"/>
          </w:tcPr>
          <w:p>
            <w:pPr>
              <w:spacing w:after="0"/>
              <w:rPr>
                <w:sz w:val="1"/>
                <w:szCs w:val="1"/>
                <w:color w:val="auto"/>
              </w:rPr>
            </w:pPr>
          </w:p>
        </w:tc>
      </w:tr>
      <w:tr>
        <w:trPr>
          <w:trHeight w:val="203"/>
        </w:trPr>
        <w:tc>
          <w:tcPr>
            <w:tcW w:w="83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FSRU forthcoming sale</w:t>
            </w:r>
          </w:p>
        </w:tc>
        <w:tc>
          <w:tcPr>
            <w:tcW w:w="156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92,780</w:t>
            </w:r>
          </w:p>
        </w:tc>
        <w:tc>
          <w:tcPr>
            <w:tcW w:w="0" w:type="dxa"/>
            <w:vAlign w:val="bottom"/>
          </w:tcPr>
          <w:p>
            <w:pPr>
              <w:spacing w:after="0"/>
              <w:rPr>
                <w:sz w:val="1"/>
                <w:szCs w:val="1"/>
                <w:color w:val="auto"/>
              </w:rPr>
            </w:pPr>
          </w:p>
        </w:tc>
      </w:tr>
      <w:tr>
        <w:trPr>
          <w:trHeight w:val="203"/>
        </w:trPr>
        <w:tc>
          <w:tcPr>
            <w:tcW w:w="83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Other investments</w:t>
            </w:r>
          </w:p>
        </w:tc>
        <w:tc>
          <w:tcPr>
            <w:tcW w:w="1560" w:type="dxa"/>
            <w:vAlign w:val="bottom"/>
            <w:gridSpan w:val="2"/>
            <w:shd w:val="clear" w:color="auto" w:fill="E5FF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(579)</w:t>
            </w:r>
          </w:p>
        </w:tc>
        <w:tc>
          <w:tcPr>
            <w:tcW w:w="0" w:type="dxa"/>
            <w:vAlign w:val="bottom"/>
          </w:tcPr>
          <w:p>
            <w:pPr>
              <w:spacing w:after="0"/>
              <w:rPr>
                <w:sz w:val="1"/>
                <w:szCs w:val="1"/>
                <w:color w:val="auto"/>
              </w:rPr>
            </w:pPr>
          </w:p>
        </w:tc>
      </w:tr>
      <w:tr>
        <w:trPr>
          <w:trHeight w:val="203"/>
        </w:trPr>
        <w:tc>
          <w:tcPr>
            <w:tcW w:w="8340" w:type="dxa"/>
            <w:vAlign w:val="bottom"/>
          </w:tcPr>
          <w:p>
            <w:pPr>
              <w:spacing w:after="0"/>
              <w:rPr>
                <w:sz w:val="20"/>
                <w:szCs w:val="20"/>
                <w:color w:val="auto"/>
              </w:rPr>
            </w:pPr>
            <w:r>
              <w:rPr>
                <w:rFonts w:ascii="Times New Roman" w:cs="Times New Roman" w:eastAsia="Times New Roman" w:hAnsi="Times New Roman"/>
                <w:sz w:val="16"/>
                <w:szCs w:val="16"/>
                <w:color w:val="auto"/>
              </w:rPr>
              <w:t>Dividends received from associate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3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83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Purchase of short-term cash deposits</w:t>
            </w:r>
          </w:p>
        </w:tc>
        <w:tc>
          <w:tcPr>
            <w:tcW w:w="1560" w:type="dxa"/>
            <w:vAlign w:val="bottom"/>
            <w:gridSpan w:val="2"/>
            <w:shd w:val="clear" w:color="auto" w:fill="E5FFFF"/>
          </w:tcPr>
          <w:p>
            <w:pPr>
              <w:jc w:val="right"/>
              <w:ind w:right="179"/>
              <w:spacing w:after="0"/>
              <w:rPr>
                <w:sz w:val="20"/>
                <w:szCs w:val="20"/>
                <w:color w:val="auto"/>
              </w:rPr>
            </w:pPr>
            <w:r>
              <w:rPr>
                <w:rFonts w:ascii="Times New Roman" w:cs="Times New Roman" w:eastAsia="Times New Roman" w:hAnsi="Times New Roman"/>
                <w:sz w:val="16"/>
                <w:szCs w:val="16"/>
                <w:color w:val="auto"/>
              </w:rPr>
              <w:t>(2,500)</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(25,000)</w:t>
            </w:r>
          </w:p>
        </w:tc>
        <w:tc>
          <w:tcPr>
            <w:tcW w:w="0" w:type="dxa"/>
            <w:vAlign w:val="bottom"/>
          </w:tcPr>
          <w:p>
            <w:pPr>
              <w:spacing w:after="0"/>
              <w:rPr>
                <w:sz w:val="1"/>
                <w:szCs w:val="1"/>
                <w:color w:val="auto"/>
              </w:rPr>
            </w:pPr>
          </w:p>
        </w:tc>
      </w:tr>
      <w:tr>
        <w:trPr>
          <w:trHeight w:val="203"/>
        </w:trPr>
        <w:tc>
          <w:tcPr>
            <w:tcW w:w="8340" w:type="dxa"/>
            <w:vAlign w:val="bottom"/>
          </w:tcPr>
          <w:p>
            <w:pPr>
              <w:spacing w:after="0"/>
              <w:rPr>
                <w:sz w:val="20"/>
                <w:szCs w:val="20"/>
                <w:color w:val="auto"/>
              </w:rPr>
            </w:pPr>
            <w:r>
              <w:rPr>
                <w:rFonts w:ascii="Times New Roman" w:cs="Times New Roman" w:eastAsia="Times New Roman" w:hAnsi="Times New Roman"/>
                <w:sz w:val="16"/>
                <w:szCs w:val="16"/>
                <w:color w:val="auto"/>
              </w:rPr>
              <w:t>Maturity of short-term cash deposits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3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3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income received</w:t>
            </w:r>
          </w:p>
        </w:tc>
        <w:tc>
          <w:tcPr>
            <w:tcW w:w="1560" w:type="dxa"/>
            <w:vAlign w:val="bottom"/>
            <w:gridSpan w:val="2"/>
            <w:shd w:val="clear" w:color="auto" w:fill="E5FFFF"/>
          </w:tcPr>
          <w:p>
            <w:pPr>
              <w:jc w:val="right"/>
              <w:ind w:right="239"/>
              <w:spacing w:after="0"/>
              <w:rPr>
                <w:sz w:val="20"/>
                <w:szCs w:val="20"/>
                <w:color w:val="auto"/>
              </w:rPr>
            </w:pPr>
            <w:r>
              <w:rPr>
                <w:rFonts w:ascii="Times New Roman" w:cs="Times New Roman" w:eastAsia="Times New Roman" w:hAnsi="Times New Roman"/>
                <w:sz w:val="16"/>
                <w:szCs w:val="16"/>
                <w:color w:val="auto"/>
              </w:rPr>
              <w:t>116</w:t>
            </w:r>
          </w:p>
        </w:tc>
        <w:tc>
          <w:tcPr>
            <w:tcW w:w="13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1,004</w:t>
            </w:r>
          </w:p>
        </w:tc>
        <w:tc>
          <w:tcPr>
            <w:tcW w:w="0" w:type="dxa"/>
            <w:vAlign w:val="bottom"/>
          </w:tcPr>
          <w:p>
            <w:pPr>
              <w:spacing w:after="0"/>
              <w:rPr>
                <w:sz w:val="1"/>
                <w:szCs w:val="1"/>
                <w:color w:val="auto"/>
              </w:rPr>
            </w:pPr>
          </w:p>
        </w:tc>
      </w:tr>
      <w:tr>
        <w:trPr>
          <w:trHeight w:val="196"/>
        </w:trPr>
        <w:tc>
          <w:tcPr>
            <w:tcW w:w="834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(used in)/provided by investing activities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(490,921</w:t>
            </w:r>
          </w:p>
        </w:tc>
        <w:tc>
          <w:tcPr>
            <w:tcW w:w="320" w:type="dxa"/>
            <w:vAlign w:val="bottom"/>
            <w:tcBorders>
              <w:bottom w:val="single" w:sz="8" w:color="E5FFFF"/>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119,390</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loans and bonds, net of discount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471,867</w:t>
            </w:r>
          </w:p>
        </w:tc>
        <w:tc>
          <w:tcPr>
            <w:tcW w:w="3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333,248</w:t>
            </w:r>
          </w:p>
        </w:tc>
        <w:tc>
          <w:tcPr>
            <w:tcW w:w="0" w:type="dxa"/>
            <w:vAlign w:val="bottom"/>
          </w:tcPr>
          <w:p>
            <w:pPr>
              <w:spacing w:after="0"/>
              <w:rPr>
                <w:sz w:val="1"/>
                <w:szCs w:val="1"/>
                <w:color w:val="auto"/>
              </w:rPr>
            </w:pPr>
          </w:p>
        </w:tc>
      </w:tr>
      <w:tr>
        <w:trPr>
          <w:trHeight w:val="203"/>
        </w:trPr>
        <w:tc>
          <w:tcPr>
            <w:tcW w:w="83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Loan and bond repayments</w:t>
            </w:r>
          </w:p>
        </w:tc>
        <w:tc>
          <w:tcPr>
            <w:tcW w:w="1560" w:type="dxa"/>
            <w:vAlign w:val="bottom"/>
            <w:gridSpan w:val="2"/>
            <w:shd w:val="clear" w:color="auto" w:fill="E5FFFF"/>
          </w:tcPr>
          <w:p>
            <w:pPr>
              <w:jc w:val="right"/>
              <w:ind w:right="179"/>
              <w:spacing w:after="0"/>
              <w:rPr>
                <w:sz w:val="20"/>
                <w:szCs w:val="20"/>
                <w:color w:val="auto"/>
              </w:rPr>
            </w:pPr>
            <w:r>
              <w:rPr>
                <w:rFonts w:ascii="Times New Roman" w:cs="Times New Roman" w:eastAsia="Times New Roman" w:hAnsi="Times New Roman"/>
                <w:sz w:val="16"/>
                <w:szCs w:val="16"/>
                <w:color w:val="auto"/>
              </w:rPr>
              <w:t>(340,592)</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(648,553)</w:t>
            </w:r>
          </w:p>
        </w:tc>
        <w:tc>
          <w:tcPr>
            <w:tcW w:w="0" w:type="dxa"/>
            <w:vAlign w:val="bottom"/>
          </w:tcPr>
          <w:p>
            <w:pPr>
              <w:spacing w:after="0"/>
              <w:rPr>
                <w:sz w:val="1"/>
                <w:szCs w:val="1"/>
                <w:color w:val="auto"/>
              </w:rPr>
            </w:pPr>
          </w:p>
        </w:tc>
      </w:tr>
      <w:tr>
        <w:trPr>
          <w:trHeight w:val="203"/>
        </w:trPr>
        <w:tc>
          <w:tcPr>
            <w:tcW w:w="8340" w:type="dxa"/>
            <w:vAlign w:val="bottom"/>
          </w:tcPr>
          <w:p>
            <w:pPr>
              <w:spacing w:after="0"/>
              <w:rPr>
                <w:sz w:val="20"/>
                <w:szCs w:val="20"/>
                <w:color w:val="auto"/>
              </w:rPr>
            </w:pPr>
            <w:r>
              <w:rPr>
                <w:rFonts w:ascii="Times New Roman" w:cs="Times New Roman" w:eastAsia="Times New Roman" w:hAnsi="Times New Roman"/>
                <w:sz w:val="16"/>
                <w:szCs w:val="16"/>
                <w:color w:val="auto"/>
              </w:rPr>
              <w:t>Principal elements of lease payments</w:t>
            </w:r>
          </w:p>
        </w:tc>
        <w:tc>
          <w:tcPr>
            <w:tcW w:w="15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(8,293)</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(29,835)</w:t>
            </w:r>
          </w:p>
        </w:tc>
        <w:tc>
          <w:tcPr>
            <w:tcW w:w="0" w:type="dxa"/>
            <w:vAlign w:val="bottom"/>
          </w:tcPr>
          <w:p>
            <w:pPr>
              <w:spacing w:after="0"/>
              <w:rPr>
                <w:sz w:val="1"/>
                <w:szCs w:val="1"/>
                <w:color w:val="auto"/>
              </w:rPr>
            </w:pPr>
          </w:p>
        </w:tc>
      </w:tr>
      <w:tr>
        <w:trPr>
          <w:trHeight w:val="203"/>
        </w:trPr>
        <w:tc>
          <w:tcPr>
            <w:tcW w:w="83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1560" w:type="dxa"/>
            <w:vAlign w:val="bottom"/>
            <w:gridSpan w:val="2"/>
            <w:shd w:val="clear" w:color="auto" w:fill="E5FFFF"/>
          </w:tcPr>
          <w:p>
            <w:pPr>
              <w:jc w:val="right"/>
              <w:ind w:right="179"/>
              <w:spacing w:after="0"/>
              <w:rPr>
                <w:sz w:val="20"/>
                <w:szCs w:val="20"/>
                <w:color w:val="auto"/>
              </w:rPr>
            </w:pPr>
            <w:r>
              <w:rPr>
                <w:rFonts w:ascii="Times New Roman" w:cs="Times New Roman" w:eastAsia="Times New Roman" w:hAnsi="Times New Roman"/>
                <w:sz w:val="16"/>
                <w:szCs w:val="16"/>
                <w:color w:val="auto"/>
              </w:rPr>
              <w:t>(133,850)</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(122,105)</w:t>
            </w:r>
          </w:p>
        </w:tc>
        <w:tc>
          <w:tcPr>
            <w:tcW w:w="0" w:type="dxa"/>
            <w:vAlign w:val="bottom"/>
          </w:tcPr>
          <w:p>
            <w:pPr>
              <w:spacing w:after="0"/>
              <w:rPr>
                <w:sz w:val="1"/>
                <w:szCs w:val="1"/>
                <w:color w:val="auto"/>
              </w:rPr>
            </w:pPr>
          </w:p>
        </w:tc>
      </w:tr>
      <w:tr>
        <w:trPr>
          <w:trHeight w:val="189"/>
        </w:trPr>
        <w:tc>
          <w:tcPr>
            <w:tcW w:w="8340" w:type="dxa"/>
            <w:vAlign w:val="bottom"/>
          </w:tcPr>
          <w:p>
            <w:pPr>
              <w:spacing w:after="0"/>
              <w:rPr>
                <w:sz w:val="20"/>
                <w:szCs w:val="20"/>
                <w:color w:val="auto"/>
              </w:rPr>
            </w:pPr>
            <w:r>
              <w:rPr>
                <w:rFonts w:ascii="Times New Roman" w:cs="Times New Roman" w:eastAsia="Times New Roman" w:hAnsi="Times New Roman"/>
                <w:sz w:val="16"/>
                <w:szCs w:val="16"/>
                <w:color w:val="auto"/>
              </w:rPr>
              <w:t>Loan/bond modification costs related to the take-private transaction with BlackRock’s Global Energy &amp; Power</w:t>
            </w: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Infrastructure team (the “Transaction”)</w:t>
            </w:r>
          </w:p>
        </w:tc>
        <w:tc>
          <w:tcPr>
            <w:tcW w:w="15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(15,718)</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83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Payment of cash collaterals for swaps</w:t>
            </w:r>
          </w:p>
        </w:tc>
        <w:tc>
          <w:tcPr>
            <w:tcW w:w="1560" w:type="dxa"/>
            <w:vAlign w:val="bottom"/>
            <w:gridSpan w:val="2"/>
            <w:shd w:val="clear" w:color="auto" w:fill="E5FFFF"/>
          </w:tcPr>
          <w:p>
            <w:pPr>
              <w:jc w:val="right"/>
              <w:ind w:right="179"/>
              <w:spacing w:after="0"/>
              <w:rPr>
                <w:sz w:val="20"/>
                <w:szCs w:val="20"/>
                <w:color w:val="auto"/>
              </w:rPr>
            </w:pPr>
            <w:r>
              <w:rPr>
                <w:rFonts w:ascii="Times New Roman" w:cs="Times New Roman" w:eastAsia="Times New Roman" w:hAnsi="Times New Roman"/>
                <w:sz w:val="16"/>
                <w:szCs w:val="16"/>
                <w:color w:val="auto"/>
              </w:rPr>
              <w:t>(7,100)</w:t>
            </w:r>
          </w:p>
        </w:tc>
        <w:tc>
          <w:tcPr>
            <w:tcW w:w="13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340" w:type="dxa"/>
            <w:vAlign w:val="bottom"/>
          </w:tcPr>
          <w:p>
            <w:pPr>
              <w:spacing w:after="0"/>
              <w:rPr>
                <w:sz w:val="20"/>
                <w:szCs w:val="20"/>
                <w:color w:val="auto"/>
              </w:rPr>
            </w:pPr>
            <w:r>
              <w:rPr>
                <w:rFonts w:ascii="Times New Roman" w:cs="Times New Roman" w:eastAsia="Times New Roman" w:hAnsi="Times New Roman"/>
                <w:sz w:val="16"/>
                <w:szCs w:val="16"/>
                <w:color w:val="auto"/>
              </w:rPr>
              <w:t>Release of cash collaterals for swaps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25,427</w:t>
            </w:r>
          </w:p>
        </w:tc>
        <w:tc>
          <w:tcPr>
            <w:tcW w:w="3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990</w:t>
            </w:r>
          </w:p>
        </w:tc>
        <w:tc>
          <w:tcPr>
            <w:tcW w:w="0" w:type="dxa"/>
            <w:vAlign w:val="bottom"/>
          </w:tcPr>
          <w:p>
            <w:pPr>
              <w:spacing w:after="0"/>
              <w:rPr>
                <w:sz w:val="1"/>
                <w:szCs w:val="1"/>
                <w:color w:val="auto"/>
              </w:rPr>
            </w:pPr>
          </w:p>
        </w:tc>
      </w:tr>
      <w:tr>
        <w:trPr>
          <w:trHeight w:val="203"/>
        </w:trPr>
        <w:tc>
          <w:tcPr>
            <w:tcW w:w="83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Payment of loan and bond issuance costs</w:t>
            </w:r>
          </w:p>
        </w:tc>
        <w:tc>
          <w:tcPr>
            <w:tcW w:w="1560" w:type="dxa"/>
            <w:vAlign w:val="bottom"/>
            <w:gridSpan w:val="2"/>
            <w:shd w:val="clear" w:color="auto" w:fill="E5FFFF"/>
          </w:tcPr>
          <w:p>
            <w:pPr>
              <w:jc w:val="right"/>
              <w:ind w:right="179"/>
              <w:spacing w:after="0"/>
              <w:rPr>
                <w:sz w:val="20"/>
                <w:szCs w:val="20"/>
                <w:color w:val="auto"/>
              </w:rPr>
            </w:pPr>
            <w:r>
              <w:rPr>
                <w:rFonts w:ascii="Times New Roman" w:cs="Times New Roman" w:eastAsia="Times New Roman" w:hAnsi="Times New Roman"/>
                <w:sz w:val="16"/>
                <w:szCs w:val="16"/>
                <w:color w:val="auto"/>
              </w:rPr>
              <w:t>(10,274)</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(4,652)</w:t>
            </w:r>
          </w:p>
        </w:tc>
        <w:tc>
          <w:tcPr>
            <w:tcW w:w="0" w:type="dxa"/>
            <w:vAlign w:val="bottom"/>
          </w:tcPr>
          <w:p>
            <w:pPr>
              <w:spacing w:after="0"/>
              <w:rPr>
                <w:sz w:val="1"/>
                <w:szCs w:val="1"/>
                <w:color w:val="auto"/>
              </w:rPr>
            </w:pPr>
          </w:p>
        </w:tc>
      </w:tr>
      <w:tr>
        <w:trPr>
          <w:trHeight w:val="203"/>
        </w:trPr>
        <w:tc>
          <w:tcPr>
            <w:tcW w:w="8340" w:type="dxa"/>
            <w:vAlign w:val="bottom"/>
          </w:tcPr>
          <w:p>
            <w:pPr>
              <w:spacing w:after="0"/>
              <w:rPr>
                <w:sz w:val="20"/>
                <w:szCs w:val="20"/>
                <w:color w:val="auto"/>
              </w:rPr>
            </w:pPr>
            <w:r>
              <w:rPr>
                <w:rFonts w:ascii="Times New Roman" w:cs="Times New Roman" w:eastAsia="Times New Roman" w:hAnsi="Times New Roman"/>
                <w:sz w:val="16"/>
                <w:szCs w:val="16"/>
                <w:color w:val="auto"/>
              </w:rPr>
              <w:t>Loan issuance costs received</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3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3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Payment of equity raising costs</w:t>
            </w:r>
          </w:p>
        </w:tc>
        <w:tc>
          <w:tcPr>
            <w:tcW w:w="1560" w:type="dxa"/>
            <w:vAlign w:val="bottom"/>
            <w:gridSpan w:val="2"/>
            <w:shd w:val="clear" w:color="auto" w:fill="E5FFFF"/>
          </w:tcPr>
          <w:p>
            <w:pPr>
              <w:jc w:val="right"/>
              <w:ind w:right="179"/>
              <w:spacing w:after="0"/>
              <w:rPr>
                <w:sz w:val="20"/>
                <w:szCs w:val="20"/>
                <w:color w:val="auto"/>
              </w:rPr>
            </w:pPr>
            <w:r>
              <w:rPr>
                <w:rFonts w:ascii="Times New Roman" w:cs="Times New Roman" w:eastAsia="Times New Roman" w:hAnsi="Times New Roman"/>
                <w:sz w:val="16"/>
                <w:szCs w:val="16"/>
                <w:color w:val="auto"/>
              </w:rPr>
              <w:t>(334)</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2"/>
        </w:trPr>
        <w:tc>
          <w:tcPr>
            <w:tcW w:w="83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GasLog Partners’ common unit offerings (net of underwriting discounts and commissions)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3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3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Dividends paid (common and preference)</w:t>
            </w:r>
          </w:p>
        </w:tc>
        <w:tc>
          <w:tcPr>
            <w:tcW w:w="1560" w:type="dxa"/>
            <w:vAlign w:val="bottom"/>
            <w:gridSpan w:val="2"/>
            <w:shd w:val="clear" w:color="auto" w:fill="E5FFFF"/>
          </w:tcPr>
          <w:p>
            <w:pPr>
              <w:jc w:val="right"/>
              <w:ind w:right="179"/>
              <w:spacing w:after="0"/>
              <w:rPr>
                <w:sz w:val="20"/>
                <w:szCs w:val="20"/>
                <w:color w:val="auto"/>
              </w:rPr>
            </w:pPr>
            <w:r>
              <w:rPr>
                <w:rFonts w:ascii="Times New Roman" w:cs="Times New Roman" w:eastAsia="Times New Roman" w:hAnsi="Times New Roman"/>
                <w:sz w:val="16"/>
                <w:szCs w:val="16"/>
                <w:color w:val="auto"/>
              </w:rPr>
              <w:t>(54,974)</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(79,362)</w:t>
            </w:r>
          </w:p>
        </w:tc>
        <w:tc>
          <w:tcPr>
            <w:tcW w:w="0" w:type="dxa"/>
            <w:vAlign w:val="bottom"/>
          </w:tcPr>
          <w:p>
            <w:pPr>
              <w:spacing w:after="0"/>
              <w:rPr>
                <w:sz w:val="1"/>
                <w:szCs w:val="1"/>
                <w:color w:val="auto"/>
              </w:rPr>
            </w:pPr>
          </w:p>
        </w:tc>
      </w:tr>
      <w:tr>
        <w:trPr>
          <w:trHeight w:val="213"/>
        </w:trPr>
        <w:tc>
          <w:tcPr>
            <w:tcW w:w="834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GasLog Partners’ preference units</w:t>
            </w:r>
          </w:p>
        </w:tc>
        <w:tc>
          <w:tcPr>
            <w:tcW w:w="15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(12,361)</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(38,740)</w:t>
            </w:r>
          </w:p>
        </w:tc>
        <w:tc>
          <w:tcPr>
            <w:tcW w:w="0" w:type="dxa"/>
            <w:vAlign w:val="bottom"/>
          </w:tcPr>
          <w:p>
            <w:pPr>
              <w:spacing w:after="0"/>
              <w:rPr>
                <w:sz w:val="1"/>
                <w:szCs w:val="1"/>
                <w:color w:val="auto"/>
              </w:rPr>
            </w:pPr>
          </w:p>
        </w:tc>
      </w:tr>
      <w:tr>
        <w:trPr>
          <w:trHeight w:val="199"/>
        </w:trPr>
        <w:tc>
          <w:tcPr>
            <w:tcW w:w="834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(75,823</w:t>
            </w:r>
          </w:p>
        </w:tc>
        <w:tc>
          <w:tcPr>
            <w:tcW w:w="320" w:type="dxa"/>
            <w:vAlign w:val="bottom"/>
            <w:tcBorders>
              <w:top w:val="single" w:sz="8" w:color="E5FFFF"/>
            </w:tcBorders>
            <w:shd w:val="clear" w:color="auto" w:fill="E5FF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(589,029</w:t>
            </w:r>
          </w:p>
        </w:tc>
        <w:tc>
          <w:tcPr>
            <w:tcW w:w="100" w:type="dxa"/>
            <w:vAlign w:val="bottom"/>
            <w:tcBorders>
              <w:top w:val="single" w:sz="8" w:color="E5FFFF"/>
            </w:tcBorders>
            <w:shd w:val="clear" w:color="auto" w:fill="E5FFFF"/>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834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color w:val="auto"/>
              </w:rPr>
              <w:t>Effects of exchange rate changes on cash and cash equivalents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320" w:type="dxa"/>
            <w:vAlign w:val="bottom"/>
            <w:tcBorders>
              <w:bottom w:val="single" w:sz="8" w:color="E5FFFF"/>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100" w:type="dxa"/>
            <w:vAlign w:val="bottom"/>
            <w:tcBorders>
              <w:bottom w:val="single" w:sz="8" w:color="E5FFFF"/>
            </w:tcBorders>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96"/>
        </w:trPr>
        <w:tc>
          <w:tcPr>
            <w:tcW w:w="83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(Decrease)/increase in cash and cash equivalents</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(142,980</w:t>
            </w:r>
          </w:p>
        </w:tc>
        <w:tc>
          <w:tcPr>
            <w:tcW w:w="320" w:type="dxa"/>
            <w:vAlign w:val="bottom"/>
            <w:shd w:val="clear" w:color="auto" w:fill="E5FF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1,751</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4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color w:val="auto"/>
              </w:rPr>
              <w:t>Cash and cash equivalents, beginning of the period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367,269</w:t>
            </w:r>
          </w:p>
        </w:tc>
        <w:tc>
          <w:tcPr>
            <w:tcW w:w="320" w:type="dxa"/>
            <w:vAlign w:val="bottom"/>
            <w:tcBorders>
              <w:bottom w:val="single" w:sz="8" w:color="E5FF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282,246</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34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the period</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224,289</w:t>
            </w:r>
          </w:p>
        </w:tc>
        <w:tc>
          <w:tcPr>
            <w:tcW w:w="320" w:type="dxa"/>
            <w:vAlign w:val="bottom"/>
            <w:tcBorders>
              <w:bottom w:val="single" w:sz="8" w:color="E5FFFF"/>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283,997</w:t>
            </w:r>
          </w:p>
        </w:tc>
        <w:tc>
          <w:tcPr>
            <w:tcW w:w="100" w:type="dxa"/>
            <w:vAlign w:val="bottom"/>
            <w:tcBorders>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ind w:left="5540"/>
              <w:spacing w:after="0"/>
              <w:rPr>
                <w:sz w:val="20"/>
                <w:szCs w:val="20"/>
                <w:color w:val="auto"/>
              </w:rPr>
            </w:pPr>
            <w:r>
              <w:rPr>
                <w:rFonts w:ascii="Times New Roman" w:cs="Times New Roman" w:eastAsia="Times New Roman" w:hAnsi="Times New Roman"/>
                <w:sz w:val="14"/>
                <w:szCs w:val="14"/>
                <w:color w:val="auto"/>
              </w:rPr>
              <w:t>11</w:t>
            </w: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834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EXHIBIT II</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EBITDA, Adjusted EBITDA and Adjusted Profit</w:t>
      </w:r>
    </w:p>
    <w:p>
      <w:pPr>
        <w:spacing w:after="0" w:line="23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6"/>
          <w:szCs w:val="16"/>
          <w:color w:val="auto"/>
        </w:rPr>
        <w:t>EBITDA is defined as earnings before depreciation, amortization, financial income and costs, gain/loss on derivatives and taxes. Adjusted EBITDA is defined as EBITDA before foreign exchange gains/losses, impairment loss, gain/loss on disposal of non-current assets, restructuring costs and the costs relating to the Transaction (such costs, the “Transaction Costs”). Adjusted Profit represents earnings before write-off and accelerated amortization of unamortized loan fees/bond fees and premium, foreign exchange gains/losses, unrealized foreign exchange losses on cash and bond, impairment loss, swap optimization costs (with respect to cash collateral amendments), gain/loss on disposal of non-current assets, restructuring costs, Transaction Costs and non-cash gain/loss on derivatives that includes (if any) (a) unrealized gain/loss on derivative financial instruments held for trading, (b) recycled loss of cash flow hedges reclassified to profit or loss and (c) ineffective portion of cash flow hedges. EBITDA, Adjusted EBITDA and Adjusted Profit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and Adjusted Profit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shares. This is achieved by excluding the potentially disparate effects between periods of, in the case of EBITDA and Adjusted EBITDA, financial costs, gain/loss on derivatives, taxes, depreciation and amortization; in the case of Adjusted EBITDA, foreign exchange gains/losses, impairment loss, gain/loss on disposal of non-current assets, restructuring costs and Transaction Costs; and in the case of Adjusted Profit, write-off and accelerated amortization of unamortized loan/bond fees and premium, foreign exchange gains/losses, unrealized foreign exchange losses on cash and bond, impairment loss, swap optimization costs (with respect to cash collateral amendments), gain/loss on disposal of non-current assets, restructuring costs, Transaction Costs and non-cash gain/loss on derivatives, which items are affected by various and possibly changing financing methods, financial market conditions, capital structure and historical cost basis, and which items may significantly affect results of operations between periods.</w:t>
      </w:r>
    </w:p>
    <w:p>
      <w:pPr>
        <w:spacing w:after="0" w:line="394"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EBITDA, Adjusted EBITDA and Adjusted Profit have limitations as analytical tools and should not be considered as alternatives to, or as substitutes for, or superior to, profit, profit from operations, earnings per share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and Adjusted Profit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9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In evaluating Adjusted EBITDA and Adjusted Profit, you should be aware that in the future we may incur expenses that are the same as, or similar to, some of the adjustments in this presentation. Our presentation of Adjusted EBITDA and Adjusted Profit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Reconciliation of Profit to EBITDA and Adjusted EBITDA: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3160" w:type="dxa"/>
            <w:vAlign w:val="bottom"/>
            <w:gridSpan w:val="4"/>
          </w:tcPr>
          <w:p>
            <w:pPr>
              <w:ind w:left="4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880" w:type="dxa"/>
            <w:vAlign w:val="bottom"/>
            <w:gridSpan w:val="4"/>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03"/>
        </w:trPr>
        <w:tc>
          <w:tcPr>
            <w:tcW w:w="520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5"/>
        </w:trPr>
        <w:tc>
          <w:tcPr>
            <w:tcW w:w="520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36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4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32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5FFFF"/>
            </w:tcBorders>
          </w:tcPr>
          <w:p>
            <w:pPr>
              <w:spacing w:after="0"/>
              <w:rPr>
                <w:sz w:val="18"/>
                <w:szCs w:val="18"/>
                <w:color w:val="auto"/>
              </w:rPr>
            </w:pPr>
          </w:p>
        </w:tc>
      </w:tr>
      <w:tr>
        <w:trPr>
          <w:trHeight w:val="199"/>
        </w:trPr>
        <w:tc>
          <w:tcPr>
            <w:tcW w:w="5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Profit for the period</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48,542</w:t>
            </w:r>
          </w:p>
        </w:tc>
        <w:tc>
          <w:tcPr>
            <w:tcW w:w="36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109,123</w:t>
            </w:r>
          </w:p>
        </w:tc>
        <w:tc>
          <w:tcPr>
            <w:tcW w:w="34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140,497</w:t>
            </w:r>
          </w:p>
        </w:tc>
        <w:tc>
          <w:tcPr>
            <w:tcW w:w="32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228,544</w:t>
            </w:r>
          </w:p>
        </w:tc>
        <w:tc>
          <w:tcPr>
            <w:tcW w:w="100" w:type="dxa"/>
            <w:vAlign w:val="bottom"/>
            <w:shd w:val="clear" w:color="auto" w:fill="E5FFFF"/>
          </w:tcPr>
          <w:p>
            <w:pPr>
              <w:spacing w:after="0"/>
              <w:rPr>
                <w:sz w:val="17"/>
                <w:szCs w:val="17"/>
                <w:color w:val="auto"/>
              </w:rPr>
            </w:pPr>
          </w:p>
        </w:tc>
      </w:tr>
      <w:tr>
        <w:trPr>
          <w:trHeight w:val="20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51,384</w:t>
            </w:r>
          </w:p>
        </w:tc>
        <w:tc>
          <w:tcPr>
            <w:tcW w:w="360" w:type="dxa"/>
            <w:vAlign w:val="bottom"/>
          </w:tcPr>
          <w:p>
            <w:pPr>
              <w:spacing w:after="0"/>
              <w:rPr>
                <w:sz w:val="17"/>
                <w:szCs w:val="17"/>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57,233</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147,567</w:t>
            </w:r>
          </w:p>
        </w:tc>
        <w:tc>
          <w:tcPr>
            <w:tcW w:w="3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170,074</w:t>
            </w:r>
          </w:p>
        </w:tc>
      </w:tr>
      <w:tr>
        <w:trPr>
          <w:trHeight w:val="203"/>
        </w:trPr>
        <w:tc>
          <w:tcPr>
            <w:tcW w:w="5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38,193</w:t>
            </w:r>
          </w:p>
        </w:tc>
        <w:tc>
          <w:tcPr>
            <w:tcW w:w="36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6"/>
                <w:szCs w:val="16"/>
                <w:color w:val="auto"/>
              </w:rPr>
              <w:t>49,338</w:t>
            </w: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128,797</w:t>
            </w:r>
          </w:p>
        </w:tc>
        <w:tc>
          <w:tcPr>
            <w:tcW w:w="3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126,173</w:t>
            </w:r>
          </w:p>
        </w:tc>
      </w:tr>
      <w:tr>
        <w:trPr>
          <w:trHeight w:val="20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(30)</w:t>
            </w: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(1,081)</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(116)</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(1,493)</w:t>
            </w:r>
          </w:p>
        </w:tc>
      </w:tr>
      <w:tr>
        <w:trPr>
          <w:trHeight w:val="216"/>
        </w:trPr>
        <w:tc>
          <w:tcPr>
            <w:tcW w:w="5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Loss/(gain) on derivatives</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36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6"/>
                <w:szCs w:val="16"/>
                <w:color w:val="auto"/>
              </w:rPr>
              <w:t>(21,611)</w:t>
            </w:r>
          </w:p>
        </w:tc>
        <w:tc>
          <w:tcPr>
            <w:tcW w:w="1540" w:type="dxa"/>
            <w:vAlign w:val="bottom"/>
            <w:gridSpan w:val="2"/>
            <w:shd w:val="clear" w:color="auto" w:fill="E5FFFF"/>
          </w:tcPr>
          <w:p>
            <w:pPr>
              <w:jc w:val="right"/>
              <w:ind w:right="260"/>
              <w:spacing w:after="0"/>
              <w:rPr>
                <w:sz w:val="20"/>
                <w:szCs w:val="20"/>
                <w:color w:val="auto"/>
              </w:rPr>
            </w:pPr>
            <w:r>
              <w:rPr>
                <w:rFonts w:ascii="Times New Roman" w:cs="Times New Roman" w:eastAsia="Times New Roman" w:hAnsi="Times New Roman"/>
                <w:sz w:val="16"/>
                <w:szCs w:val="16"/>
                <w:color w:val="auto"/>
              </w:rPr>
              <w:t>(12,236)</w:t>
            </w:r>
          </w:p>
        </w:tc>
        <w:tc>
          <w:tcPr>
            <w:tcW w:w="13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(67,342)</w:t>
            </w:r>
          </w:p>
        </w:tc>
      </w:tr>
      <w:tr>
        <w:trPr>
          <w:trHeight w:val="196"/>
        </w:trPr>
        <w:tc>
          <w:tcPr>
            <w:tcW w:w="520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139,826</w:t>
            </w:r>
          </w:p>
        </w:tc>
        <w:tc>
          <w:tcPr>
            <w:tcW w:w="360" w:type="dxa"/>
            <w:vAlign w:val="bottom"/>
            <w:tcBorders>
              <w:bottom w:val="single" w:sz="8" w:color="E5FF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193,002</w:t>
            </w:r>
          </w:p>
        </w:tc>
        <w:tc>
          <w:tcPr>
            <w:tcW w:w="340" w:type="dxa"/>
            <w:vAlign w:val="bottom"/>
            <w:tcBorders>
              <w:bottom w:val="single" w:sz="8" w:color="E5FF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404,509</w:t>
            </w:r>
          </w:p>
        </w:tc>
        <w:tc>
          <w:tcPr>
            <w:tcW w:w="32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455,956</w:t>
            </w:r>
          </w:p>
        </w:tc>
        <w:tc>
          <w:tcPr>
            <w:tcW w:w="100" w:type="dxa"/>
            <w:vAlign w:val="bottom"/>
            <w:tcBorders>
              <w:bottom w:val="single" w:sz="8" w:color="E5FFFF"/>
            </w:tcBorders>
          </w:tcPr>
          <w:p>
            <w:pPr>
              <w:spacing w:after="0"/>
              <w:rPr>
                <w:sz w:val="17"/>
                <w:szCs w:val="17"/>
                <w:color w:val="auto"/>
              </w:rPr>
            </w:pPr>
          </w:p>
        </w:tc>
      </w:tr>
      <w:tr>
        <w:trPr>
          <w:trHeight w:val="196"/>
        </w:trPr>
        <w:tc>
          <w:tcPr>
            <w:tcW w:w="5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Foreign exchange gains, net</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36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34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32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E5FFFF"/>
          </w:tcPr>
          <w:p>
            <w:pPr>
              <w:spacing w:after="0"/>
              <w:rPr>
                <w:sz w:val="17"/>
                <w:szCs w:val="17"/>
                <w:color w:val="auto"/>
              </w:rPr>
            </w:pPr>
          </w:p>
        </w:tc>
      </w:tr>
      <w:tr>
        <w:trPr>
          <w:trHeight w:val="20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costs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360" w:type="dxa"/>
            <w:vAlign w:val="bottom"/>
          </w:tcPr>
          <w:p>
            <w:pPr>
              <w:spacing w:after="0"/>
              <w:rPr>
                <w:sz w:val="17"/>
                <w:szCs w:val="17"/>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3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1,685</w:t>
            </w:r>
          </w:p>
        </w:tc>
      </w:tr>
      <w:tr>
        <w:trPr>
          <w:trHeight w:val="202"/>
        </w:trPr>
        <w:tc>
          <w:tcPr>
            <w:tcW w:w="5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Transaction Costs</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36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9,666</w:t>
            </w:r>
          </w:p>
        </w:tc>
        <w:tc>
          <w:tcPr>
            <w:tcW w:w="3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840</w:t>
            </w:r>
          </w:p>
        </w:tc>
      </w:tr>
      <w:tr>
        <w:trPr>
          <w:trHeight w:val="20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Impairment loss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16,853</w:t>
            </w:r>
          </w:p>
        </w:tc>
        <w:tc>
          <w:tcPr>
            <w:tcW w:w="360" w:type="dxa"/>
            <w:vAlign w:val="bottom"/>
          </w:tcPr>
          <w:p>
            <w:pPr>
              <w:spacing w:after="0"/>
              <w:rPr>
                <w:sz w:val="17"/>
                <w:szCs w:val="17"/>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16,853</w:t>
            </w:r>
          </w:p>
        </w:tc>
        <w:tc>
          <w:tcPr>
            <w:tcW w:w="3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56,911</w:t>
            </w:r>
          </w:p>
        </w:tc>
      </w:tr>
      <w:tr>
        <w:trPr>
          <w:trHeight w:val="216"/>
        </w:trPr>
        <w:tc>
          <w:tcPr>
            <w:tcW w:w="5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 on disposal of non-current assets</w:t>
            </w:r>
          </w:p>
        </w:tc>
        <w:tc>
          <w:tcPr>
            <w:tcW w:w="1600" w:type="dxa"/>
            <w:vAlign w:val="bottom"/>
            <w:gridSpan w:val="2"/>
            <w:shd w:val="clear" w:color="auto" w:fill="E5FF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6"/>
                <w:szCs w:val="16"/>
                <w:color w:val="auto"/>
              </w:rPr>
              <w:t>167</w:t>
            </w:r>
          </w:p>
        </w:tc>
        <w:tc>
          <w:tcPr>
            <w:tcW w:w="154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744</w:t>
            </w:r>
          </w:p>
        </w:tc>
      </w:tr>
      <w:tr>
        <w:trPr>
          <w:trHeight w:val="208"/>
        </w:trPr>
        <w:tc>
          <w:tcPr>
            <w:tcW w:w="5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157,722</w:t>
            </w:r>
          </w:p>
        </w:tc>
        <w:tc>
          <w:tcPr>
            <w:tcW w:w="3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192,861</w:t>
            </w:r>
          </w:p>
        </w:tc>
        <w:tc>
          <w:tcPr>
            <w:tcW w:w="3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431,118</w:t>
            </w:r>
          </w:p>
        </w:tc>
        <w:tc>
          <w:tcPr>
            <w:tcW w:w="3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515,904</w:t>
            </w:r>
          </w:p>
        </w:tc>
        <w:tc>
          <w:tcPr>
            <w:tcW w:w="1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3"/>
        </w:trPr>
        <w:tc>
          <w:tcPr>
            <w:tcW w:w="5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color w:val="auto"/>
              </w:rPr>
              <w:t>12</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color w:val="auto"/>
        </w:rPr>
        <w:t>Reconciliation of Profit to Adjusted Profit: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3160" w:type="dxa"/>
            <w:vAlign w:val="bottom"/>
            <w:gridSpan w:val="4"/>
          </w:tcPr>
          <w:p>
            <w:pPr>
              <w:ind w:left="4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880" w:type="dxa"/>
            <w:vAlign w:val="bottom"/>
            <w:gridSpan w:val="4"/>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02"/>
        </w:trPr>
        <w:tc>
          <w:tcPr>
            <w:tcW w:w="5200" w:type="dxa"/>
            <w:vAlign w:val="bottom"/>
          </w:tcPr>
          <w:p>
            <w:pPr>
              <w:spacing w:after="0"/>
              <w:rPr>
                <w:sz w:val="17"/>
                <w:szCs w:val="17"/>
                <w:color w:val="auto"/>
              </w:rPr>
            </w:pP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5"/>
        </w:trPr>
        <w:tc>
          <w:tcPr>
            <w:tcW w:w="520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36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4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32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5FFFF"/>
            </w:tcBorders>
          </w:tcPr>
          <w:p>
            <w:pPr>
              <w:spacing w:after="0"/>
              <w:rPr>
                <w:sz w:val="18"/>
                <w:szCs w:val="18"/>
                <w:color w:val="auto"/>
              </w:rPr>
            </w:pPr>
          </w:p>
        </w:tc>
      </w:tr>
      <w:tr>
        <w:trPr>
          <w:trHeight w:val="199"/>
        </w:trPr>
        <w:tc>
          <w:tcPr>
            <w:tcW w:w="5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Profit for the period</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48,542</w:t>
            </w:r>
          </w:p>
        </w:tc>
        <w:tc>
          <w:tcPr>
            <w:tcW w:w="36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109,123</w:t>
            </w:r>
          </w:p>
        </w:tc>
        <w:tc>
          <w:tcPr>
            <w:tcW w:w="34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140,497</w:t>
            </w:r>
          </w:p>
        </w:tc>
        <w:tc>
          <w:tcPr>
            <w:tcW w:w="32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228,544</w:t>
            </w:r>
          </w:p>
        </w:tc>
        <w:tc>
          <w:tcPr>
            <w:tcW w:w="100" w:type="dxa"/>
            <w:vAlign w:val="bottom"/>
            <w:shd w:val="clear" w:color="auto" w:fill="E5FFFF"/>
          </w:tcPr>
          <w:p>
            <w:pPr>
              <w:spacing w:after="0"/>
              <w:rPr>
                <w:sz w:val="17"/>
                <w:szCs w:val="17"/>
                <w:color w:val="auto"/>
              </w:rPr>
            </w:pPr>
          </w:p>
        </w:tc>
      </w:tr>
      <w:tr>
        <w:trPr>
          <w:trHeight w:val="20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Non-cash gain on derivatives</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(7,448)</w:t>
            </w: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(24,890)</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(39,019)</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(85,544)</w:t>
            </w:r>
          </w:p>
        </w:tc>
      </w:tr>
      <w:tr>
        <w:trPr>
          <w:trHeight w:val="203"/>
        </w:trPr>
        <w:tc>
          <w:tcPr>
            <w:tcW w:w="5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Write-off of unamortized loan fees</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36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6"/>
                <w:szCs w:val="16"/>
                <w:color w:val="auto"/>
              </w:rPr>
              <w:t>294</w:t>
            </w: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4,369</w:t>
            </w:r>
          </w:p>
        </w:tc>
        <w:tc>
          <w:tcPr>
            <w:tcW w:w="3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1,444</w:t>
            </w:r>
          </w:p>
        </w:tc>
      </w:tr>
      <w:tr>
        <w:trPr>
          <w:trHeight w:val="20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gains, net</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(325)</w:t>
            </w: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(304)</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(714)</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(232)</w:t>
            </w:r>
          </w:p>
        </w:tc>
      </w:tr>
      <w:tr>
        <w:trPr>
          <w:trHeight w:val="203"/>
        </w:trPr>
        <w:tc>
          <w:tcPr>
            <w:tcW w:w="5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Restructuring costs</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36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6"/>
                <w:szCs w:val="16"/>
                <w:color w:val="auto"/>
              </w:rPr>
              <w:t>(4)</w:t>
            </w: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3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1,685</w:t>
            </w:r>
          </w:p>
        </w:tc>
      </w:tr>
      <w:tr>
        <w:trPr>
          <w:trHeight w:val="20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Transaction Costs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360" w:type="dxa"/>
            <w:vAlign w:val="bottom"/>
          </w:tcPr>
          <w:p>
            <w:pPr>
              <w:spacing w:after="0"/>
              <w:rPr>
                <w:sz w:val="17"/>
                <w:szCs w:val="17"/>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25,385</w:t>
            </w:r>
          </w:p>
        </w:tc>
        <w:tc>
          <w:tcPr>
            <w:tcW w:w="3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840</w:t>
            </w:r>
          </w:p>
        </w:tc>
      </w:tr>
      <w:tr>
        <w:trPr>
          <w:trHeight w:val="203"/>
        </w:trPr>
        <w:tc>
          <w:tcPr>
            <w:tcW w:w="5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Impairment loss</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16,853</w:t>
            </w:r>
          </w:p>
        </w:tc>
        <w:tc>
          <w:tcPr>
            <w:tcW w:w="36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16,853</w:t>
            </w:r>
          </w:p>
        </w:tc>
        <w:tc>
          <w:tcPr>
            <w:tcW w:w="3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56,911</w:t>
            </w:r>
          </w:p>
        </w:tc>
      </w:tr>
      <w:tr>
        <w:trPr>
          <w:trHeight w:val="20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 of non-current assets</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167</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744</w:t>
            </w:r>
          </w:p>
        </w:tc>
      </w:tr>
      <w:tr>
        <w:trPr>
          <w:trHeight w:val="216"/>
        </w:trPr>
        <w:tc>
          <w:tcPr>
            <w:tcW w:w="5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Unrealized foreign exchange losses, net on cash</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36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6"/>
                <w:szCs w:val="16"/>
                <w:color w:val="auto"/>
              </w:rPr>
              <w:t>376</w:t>
            </w: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32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856</w:t>
            </w:r>
          </w:p>
        </w:tc>
      </w:tr>
      <w:tr>
        <w:trPr>
          <w:trHeight w:val="208"/>
        </w:trPr>
        <w:tc>
          <w:tcPr>
            <w:tcW w:w="5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Profit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60,183</w:t>
            </w:r>
          </w:p>
        </w:tc>
        <w:tc>
          <w:tcPr>
            <w:tcW w:w="3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84,762</w:t>
            </w:r>
          </w:p>
        </w:tc>
        <w:tc>
          <w:tcPr>
            <w:tcW w:w="3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148,512</w:t>
            </w:r>
          </w:p>
        </w:tc>
        <w:tc>
          <w:tcPr>
            <w:tcW w:w="3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205,248</w:t>
            </w:r>
          </w:p>
        </w:tc>
        <w:tc>
          <w:tcPr>
            <w:tcW w:w="1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3"/>
        </w:trPr>
        <w:tc>
          <w:tcPr>
            <w:tcW w:w="5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color w:val="auto"/>
              </w:rPr>
              <w:t>13</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2022-11-10T06:00:59Z</dcterms:created>
  <dcterms:modified xsi:type="dcterms:W3CDTF">2022-11-10T06:00:59Z</dcterms:modified>
</cp:coreProperties>
</file>