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April 2023</w:t>
            </w:r>
          </w:p>
        </w:tc>
        <w:tc>
          <w:tcPr>
            <w:tcW w:w="1700" w:type="dxa"/>
            <w:vAlign w:val="bottom"/>
          </w:tcPr>
          <w:p>
            <w:pPr>
              <w:spacing w:after="0"/>
              <w:rPr>
                <w:sz w:val="20"/>
                <w:szCs w:val="20"/>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1700" w:type="dxa"/>
            <w:vAlign w:val="bottom"/>
          </w:tcPr>
          <w:p>
            <w:pPr>
              <w:spacing w:after="0"/>
              <w:rPr>
                <w:sz w:val="24"/>
                <w:szCs w:val="24"/>
                <w:color w:val="auto"/>
              </w:rPr>
            </w:pPr>
          </w:p>
        </w:tc>
      </w:tr>
      <w:tr>
        <w:trPr>
          <w:trHeight w:val="414"/>
        </w:trPr>
        <w:tc>
          <w:tcPr>
            <w:tcW w:w="954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1700" w:type="dxa"/>
            <w:vAlign w:val="bottom"/>
          </w:tcPr>
          <w:p>
            <w:pPr>
              <w:spacing w:after="0"/>
              <w:rPr>
                <w:sz w:val="24"/>
                <w:szCs w:val="24"/>
                <w:color w:val="auto"/>
              </w:rPr>
            </w:pPr>
          </w:p>
        </w:tc>
      </w:tr>
      <w:tr>
        <w:trPr>
          <w:trHeight w:val="234"/>
        </w:trPr>
        <w:tc>
          <w:tcPr>
            <w:tcW w:w="95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700" w:type="dxa"/>
            <w:vAlign w:val="bottom"/>
          </w:tcPr>
          <w:p>
            <w:pPr>
              <w:spacing w:after="0"/>
              <w:rPr>
                <w:sz w:val="20"/>
                <w:szCs w:val="20"/>
                <w:color w:val="auto"/>
              </w:rPr>
            </w:pPr>
          </w:p>
        </w:tc>
      </w:tr>
      <w:tr>
        <w:trPr>
          <w:trHeight w:val="414"/>
        </w:trPr>
        <w:tc>
          <w:tcPr>
            <w:tcW w:w="95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700" w:type="dxa"/>
            <w:vAlign w:val="bottom"/>
          </w:tcPr>
          <w:p>
            <w:pPr>
              <w:spacing w:after="0"/>
              <w:rPr>
                <w:sz w:val="24"/>
                <w:szCs w:val="24"/>
                <w:color w:val="auto"/>
              </w:rPr>
            </w:pPr>
          </w:p>
        </w:tc>
      </w:tr>
      <w:tr>
        <w:trPr>
          <w:trHeight w:val="216"/>
        </w:trPr>
        <w:tc>
          <w:tcPr>
            <w:tcW w:w="954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69 Akti Miaouli 18537</w:t>
            </w:r>
          </w:p>
        </w:tc>
        <w:tc>
          <w:tcPr>
            <w:tcW w:w="1700" w:type="dxa"/>
            <w:vAlign w:val="bottom"/>
          </w:tcPr>
          <w:p>
            <w:pPr>
              <w:spacing w:after="0"/>
              <w:rPr>
                <w:sz w:val="18"/>
                <w:szCs w:val="18"/>
                <w:color w:val="auto"/>
              </w:rPr>
            </w:pPr>
          </w:p>
        </w:tc>
      </w:tr>
      <w:tr>
        <w:trPr>
          <w:trHeight w:val="216"/>
        </w:trPr>
        <w:tc>
          <w:tcPr>
            <w:tcW w:w="95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Piraeus, Greece</w:t>
            </w:r>
          </w:p>
        </w:tc>
        <w:tc>
          <w:tcPr>
            <w:tcW w:w="1700" w:type="dxa"/>
            <w:vAlign w:val="bottom"/>
          </w:tcPr>
          <w:p>
            <w:pPr>
              <w:spacing w:after="0"/>
              <w:rPr>
                <w:sz w:val="18"/>
                <w:szCs w:val="18"/>
                <w:color w:val="auto"/>
              </w:rPr>
            </w:pPr>
          </w:p>
        </w:tc>
      </w:tr>
      <w:tr>
        <w:trPr>
          <w:trHeight w:val="234"/>
        </w:trPr>
        <w:tc>
          <w:tcPr>
            <w:tcW w:w="954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700" w:type="dxa"/>
            <w:vAlign w:val="bottom"/>
          </w:tcPr>
          <w:p>
            <w:pPr>
              <w:spacing w:after="0"/>
              <w:rPr>
                <w:sz w:val="20"/>
                <w:szCs w:val="20"/>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700" w:type="dxa"/>
            <w:vAlign w:val="bottom"/>
          </w:tcPr>
          <w:p>
            <w:pPr>
              <w:spacing w:after="0"/>
              <w:rPr>
                <w:sz w:val="24"/>
                <w:szCs w:val="24"/>
                <w:color w:val="auto"/>
              </w:rPr>
            </w:pPr>
          </w:p>
        </w:tc>
      </w:tr>
      <w:tr>
        <w:trPr>
          <w:trHeight w:val="452"/>
        </w:trPr>
        <w:tc>
          <w:tcPr>
            <w:tcW w:w="95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7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7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April 6, 2023, GasLog Ltd. (“GasLog”) entered into an Agreement and Plan of Merger (the “Merger Agreement”) with GasLog Partners LP (the “Partnership”), GasLog Partners GP LLC, the general partner of the Partnership (the “General Partner”) and Saturn Merger Sub LLC, a wholly owned subsidiary of GasLog (“Merger Sub”). Pursuant to the Merger Agreement, Merger Sub will merge with and into the Partnership, with the Partnership surviving as a direct subsidiary of GasLog (the “Merger”).</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conflicts committee (the “Conflicts Committee”) of the Board of Directors of the Partnership (the “Partnership Board”) has unanimously (a) determined that the Merger Agreement and the transactions contemplated thereby are fair to and in the best interests of the Partnership and the holders of common units (the “Common Unitholders”) other than GasLog and its affiliates (the “Unaffiliated Unitholders”), (b) approved the Merger Agreement and the transactions contemplated thereby (the foregoing constituting Special Approval (as defined in the Seventh Amended and Restated Agreement of Limited Partnership of the Partnership (the “Partnership Agreement”))) and (c) recommended to the Partnership Board that the Partnership Board (i) approve the Merger Agreement and the transactions contemplated thereby and (ii) recommend approval of the Merger Agreement and the transactions contemplated thereby to the Common Unitholders.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Partnership Board, acting upon the recommendation of the Conflicts Committee, has unanimously (a) determined that the Merger Agreement and the transactions contemplated thereby are fair to and in the best interests of the Partnership and the Unaffiliated Unitholders, (b) approved the Merger Agreement and the transactions contemplated thereby, (c) directed that the Merger Agreement and the transactions contemplated thereby be submitted to a vote of the Common Unitholders and (d) resolved to recommend approval of the Merger Agreement and the transactions contemplated thereby to the Common Unitholders.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completion of the Merger, each common unit representing limited partner interests in the Partnership (the “Common Units”) outstanding immediately prior to the effective time of the Merger (the “Effective Time”), other than those Common Units held by GasLog or its affiliates (the “Sponsor Units”), will be converted into the right to receive $5.37 per Common Unit in cash, without interest. In addition, as soon as reasonably practicable following the affirmative vote of the holders of at least a majority of the Common Units in favor of the approval of the Merger Agreement (the “Unitholder Approval”), pursuant to the terms of the Merger Agreement, the Partnership Board will declare a special distribution of $3.28 per Common Unit (with a corresponding amount distributed in respect of each General Partner Unit (as defined in the Partnership Agreement)) (the “Special Distribution”) with a record date on a business day prior to the anticipated closing date of the Merger and a payment date occurring on or prior to the closing date of the Merger.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will receive the Special Distribution concurrently with the Unaffiliated Unitholders.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Partnership will hold a special meeting (the “Special Meeting”) of the Common Unitholders to obtain the Unitholder Approval. As described further below, pursuant to the Support Agreement (as defined below), GasLog has agreed to appear at the Special Meeting and either vote in person or by proxy to adopt and approve the Merger Agreement and transactions contemplated thereby. Unless the Merger Agreement is validly terminated in accordance with its terms, the Partnership will submit the Merger Agreement to the Common Unitholders at the Special Meeting, even if the Conflicts Committee shall have effected an Adverse Recommendation Change (as defined in the Merger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from the parties and each party has agreed to customary covenants, including, among others, covenants relating to (a) the conduct of the Partnership’s business during the interim period between the execution of the Merger Agreement and the Effective Time and (b) the obligation of the parties to use commercially reasonable efforts to cause the Merger to be consummated.</w:t>
      </w:r>
    </w:p>
    <w:p>
      <w:pPr>
        <w:spacing w:after="0" w:line="17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Completion of the Merger is subject to certain conditions, including: (a) Unitholder Approval; (b) there being no law or injunction prohibiting consummation of the transactions contemplated under the Merger Agreement; (c) subject to specified materiality standards, the accuracy of certain representations and warranties of the other party; (d) compliance by the other party in all material respects with its covenants and obligations under the Merger Agreement and (e) the declaration by the Partnership Board of the Special Distribution and payment thereof in accordance with the Merger Agreement.</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Merger Agreement provides for certain termination rights for both GasLog and the Partnership, including (a) by the mutual written agreement of the Partnership and GasLog (duly authorized by the Conflicts Committee and the Board of Directors of GasLog, respectively); (b) by either GasLog or the Partnership (following authorization by the Conflicts Committee) under certain circumstances, if (i) the Merger has not been consummated on or before October 6, 2023 (the “Outside Date”), (ii) the Merger is prevented by certain final and non-appealable legal restraints or a governmental agency is seeking any such legal restraints or (iii) the Unitholder Approval is not obtained; (c) by GasLog (i) if an Adverse Recommendation Change has occurred, or (ii) under certain conditions, if the Partnership materially breached any of its representations or warranties, or failed to perform any of its covenants or agreements, set forth in the Merger Agreement (or if any of the representations or warranties of the Partnership set forth in the Merger Agreement shall fail to be true), and such breach or failure is not reasonably capable of being cured by the Outside Date or is not cured within 30 days following receipt of written notice of such breach or failure; or (d) by the Partnership (following authorization of the Conflicts Committee) under certain conditions, if GasLog or Merger Sub materially breached any of its representations or warranties, or failed to perform any of its covenants or agreements, set forth in the Merger Agreement (or if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right="580"/>
        <w:spacing w:after="0" w:line="312" w:lineRule="auto"/>
        <w:rPr>
          <w:sz w:val="20"/>
          <w:szCs w:val="20"/>
          <w:color w:val="auto"/>
        </w:rPr>
      </w:pPr>
      <w:r>
        <w:rPr>
          <w:rFonts w:ascii="Times New Roman" w:cs="Times New Roman" w:eastAsia="Times New Roman" w:hAnsi="Times New Roman"/>
          <w:sz w:val="17"/>
          <w:szCs w:val="17"/>
          <w:color w:val="auto"/>
        </w:rPr>
        <w:t>the representations or warranties of GasLog or Merger Sub set forth in the Merger Agreement shall fail to be true), and such breach or failure is not reasonably capable of being cured by the Outside Date or is not cured within 30 days following receipt of written notice of such breach or failure.</w:t>
      </w:r>
    </w:p>
    <w:p>
      <w:pPr>
        <w:spacing w:after="0" w:line="14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a copy of which is filed as Exhibit 2.1 hereto and is incorporated by reference in its entirety herein.</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Promptly after completion of the Merger and related transactions, the Common Units of the Partnership will be delisted from the New York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6, 2023, in connection with the execution of the Merger Agreement, GasLog and the Partnership entered into a Voting and Support Agreement (the “Support Agreement”), pursuant to which and subject to the terms and conditions thereof, GasLog agreed, among other things, to vote all of its Common Units in favor of the Merger Agreement and the transactions contemplated thereby at the Special Meeting. GasLog has also agreed not to transfer any Common Units it beneficially owns or purchase any additional Common Units other than in accordance with the Support Agreement.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subject to, and qualified in its entirety by reference to, the full text of the Support Agreement, a copy of which is filed as Exhibit 10.1 hereto and is incorporated by reference in its entirety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0" w:type="dxa"/>
            <w:vAlign w:val="bottom"/>
            <w:gridSpan w:val="3"/>
          </w:tcPr>
          <w:p>
            <w:pPr>
              <w:ind w:left="3860"/>
              <w:spacing w:after="0"/>
              <w:rPr>
                <w:sz w:val="20"/>
                <w:szCs w:val="20"/>
                <w:color w:val="auto"/>
              </w:rPr>
            </w:pPr>
            <w:r>
              <w:rPr>
                <w:rFonts w:ascii="Times New Roman" w:cs="Times New Roman" w:eastAsia="Times New Roman" w:hAnsi="Times New Roman"/>
                <w:sz w:val="16"/>
                <w:szCs w:val="16"/>
                <w:color w:val="auto"/>
              </w:rPr>
              <w:t>EXHIBIT LIST</w:t>
            </w:r>
          </w:p>
        </w:tc>
      </w:tr>
      <w:tr>
        <w:trPr>
          <w:trHeight w:val="397"/>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6"/>
        </w:trPr>
        <w:tc>
          <w:tcPr>
            <w:tcW w:w="2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EE"/>
                <w:w w:val="99"/>
              </w:rPr>
              <w:t>2.</w:t>
            </w:r>
            <w:r>
              <w:rPr>
                <w:rFonts w:ascii="Times New Roman" w:cs="Times New Roman" w:eastAsia="Times New Roman" w:hAnsi="Times New Roman"/>
                <w:sz w:val="16"/>
                <w:szCs w:val="16"/>
                <w:u w:val="single" w:color="auto"/>
                <w:color w:val="0000EE"/>
                <w:w w:val="99"/>
              </w:rPr>
              <w:t>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4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color w:val="0000EE"/>
              </w:rPr>
              <w:t>Agreement and Plan of Merger by and among GasLog Partners LP., GasLog Partners GP LLC, GasLog Ltd. and Saturn Merger Sub LLC, dated as of April 6,</w:t>
            </w:r>
          </w:p>
        </w:tc>
      </w:tr>
      <w:tr>
        <w:trPr>
          <w:trHeight w:val="183"/>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2023.</w:t>
            </w:r>
          </w:p>
        </w:tc>
        <w:tc>
          <w:tcPr>
            <w:tcW w:w="6840" w:type="dxa"/>
            <w:vAlign w:val="bottom"/>
            <w:tcBorders>
              <w:top w:val="single" w:sz="8" w:color="0000EE"/>
            </w:tcBorders>
          </w:tcPr>
          <w:p>
            <w:pPr>
              <w:spacing w:after="0"/>
              <w:rPr>
                <w:sz w:val="15"/>
                <w:szCs w:val="15"/>
                <w:color w:val="auto"/>
              </w:rPr>
            </w:pPr>
          </w:p>
        </w:tc>
        <w:tc>
          <w:tcPr>
            <w:tcW w:w="294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85"/>
        </w:trPr>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10.</w:t>
            </w:r>
            <w:r>
              <w:rPr>
                <w:rFonts w:ascii="Times New Roman" w:cs="Times New Roman" w:eastAsia="Times New Roman" w:hAnsi="Times New Roman"/>
                <w:sz w:val="16"/>
                <w:szCs w:val="16"/>
                <w:u w:val="single" w:color="auto"/>
                <w:color w:val="0000EE"/>
                <w:w w:val="99"/>
              </w:rPr>
              <w:t>1</w:t>
            </w:r>
          </w:p>
        </w:tc>
        <w:tc>
          <w:tcPr>
            <w:tcW w:w="500" w:type="dxa"/>
            <w:vAlign w:val="bottom"/>
          </w:tcPr>
          <w:p>
            <w:pPr>
              <w:spacing w:after="0"/>
              <w:rPr>
                <w:sz w:val="24"/>
                <w:szCs w:val="24"/>
                <w:color w:val="auto"/>
              </w:rPr>
            </w:pPr>
          </w:p>
        </w:tc>
        <w:tc>
          <w:tcPr>
            <w:tcW w:w="104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Voting and Support Agreement by and between GasLog Ltd. and GasLog Partners LP, dated as of April 6, 2023.</w:t>
            </w:r>
          </w:p>
        </w:tc>
      </w:tr>
      <w:tr>
        <w:trPr>
          <w:trHeight w:val="682"/>
        </w:trPr>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840" w:type="dxa"/>
            <w:vAlign w:val="bottom"/>
            <w:tcBorders>
              <w:top w:val="single" w:sz="8" w:color="0000EE"/>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7, 2023</w:t>
      </w: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by /s/ Paolo Enoizi</w:t>
      </w:r>
    </w:p>
    <w:p>
      <w:pPr>
        <w:spacing w:after="0" w:line="4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-116205</wp:posOffset>
            </wp:positionV>
            <wp:extent cx="2486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April 6, 2023,</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PARTNERS LP,</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PARTNERS GP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GASLOG LTD.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SATURN MERGER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ARTICLE 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THE MERGER</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The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Effective Time</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Effects of the Merger</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Organizational Documents of the Surviving Entity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II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EFFECT ON INTERESTS</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Effect of Merger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Payment of Merger Consideration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Partnership Awards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Adjustments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Dissenters’ Rights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ARTICLE III</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6"/>
              </w:rPr>
              <w:t>REPRESENTATIONS AND WARRANTIES OF THE PARTNERSHIP</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Noncontravention; Voting Requirements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Governmental Approvals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3.5.</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3.6.</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Information Supplied</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3.7.</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Opinion of Financial Advisor</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3.8.</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Brokers and Other Advisors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3.9.</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59"/>
        </w:trPr>
        <w:tc>
          <w:tcPr>
            <w:tcW w:w="1360" w:type="dxa"/>
            <w:vAlign w:val="bottom"/>
          </w:tcPr>
          <w:p>
            <w:pPr>
              <w:spacing w:after="0"/>
              <w:rPr>
                <w:sz w:val="24"/>
                <w:szCs w:val="24"/>
                <w:color w:val="auto"/>
              </w:rPr>
            </w:pPr>
          </w:p>
        </w:tc>
        <w:tc>
          <w:tcPr>
            <w:tcW w:w="86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ARTICLE IV</w:t>
            </w:r>
          </w:p>
        </w:tc>
        <w:tc>
          <w:tcPr>
            <w:tcW w:w="122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86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7"/>
              </w:rPr>
              <w:t>REPRESENTATIONS AND WARRANTIES OF THE SPONSOR ENTITIES</w:t>
            </w:r>
          </w:p>
        </w:tc>
        <w:tc>
          <w:tcPr>
            <w:tcW w:w="1220" w:type="dxa"/>
            <w:vAlign w:val="bottom"/>
          </w:tcPr>
          <w:p>
            <w:pPr>
              <w:spacing w:after="0"/>
              <w:rPr>
                <w:sz w:val="24"/>
                <w:szCs w:val="24"/>
                <w:color w:val="auto"/>
              </w:rPr>
            </w:pPr>
          </w:p>
        </w:tc>
      </w:tr>
      <w:tr>
        <w:trPr>
          <w:trHeight w:val="4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Operations and Ownership of Merger Sub</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Authority; Noncontravention</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4.4.</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Governmental Approvals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Legal Proceedings</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4.6.</w:t>
            </w:r>
          </w:p>
        </w:tc>
        <w:tc>
          <w:tcPr>
            <w:tcW w:w="8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Debt Financing</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8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Information Supplied</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4.8.</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Ownership of Partnership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4.9.</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ADDITIONAL COVENANTS AND AGREEMENTS</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Preparation of the Proxy Statement and the Schedule 13E-3; Unitholders Meeting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Conduct of Business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 Solicitation; Adverse Recommendation Change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Commercially Reasonable Efforts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Public Announcements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Access to Information</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Debt Financing</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Notification of Certain Matters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Indemnification and Insurance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Securityholder Litigation</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Performance by the Partnership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Conflicts Committee</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5.13.</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Special Distribution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CONDITIONS PRECEDENT</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Conditions to Each Party’s Obligation to Effect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Sponsor Entities to Effect the Merger</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Partnership to Effect the Merger</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TERMINATION</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Effect of 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59"/>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VIII</w:t>
            </w:r>
          </w:p>
        </w:tc>
        <w:tc>
          <w:tcPr>
            <w:tcW w:w="136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8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MISCELLANEOUS</w:t>
            </w:r>
          </w:p>
        </w:tc>
        <w:tc>
          <w:tcPr>
            <w:tcW w:w="1360" w:type="dxa"/>
            <w:vAlign w:val="bottom"/>
          </w:tcPr>
          <w:p>
            <w:pPr>
              <w:spacing w:after="0"/>
              <w:rPr>
                <w:sz w:val="24"/>
                <w:szCs w:val="24"/>
                <w:color w:val="auto"/>
              </w:rPr>
            </w:pPr>
          </w:p>
        </w:tc>
      </w:tr>
      <w:tr>
        <w:trPr>
          <w:trHeight w:val="42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Survival of Representations, Warranties and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8.2.</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Amendment or Supplement</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Extension of Time, Waiver, Etc</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8.4.</w:t>
            </w:r>
          </w:p>
        </w:tc>
        <w:tc>
          <w:tcPr>
            <w:tcW w:w="8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8.5.</w:t>
            </w:r>
          </w:p>
        </w:tc>
        <w:tc>
          <w:tcPr>
            <w:tcW w:w="8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Counterparts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8.6.</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Entire Agreement; No Third-Party Beneficiaries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8.7.</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Governing Law; Jurisdiction; Waiver of Jury Trial</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8.8.</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Specific Enforcement</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8.9.</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8.10.</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8.11.</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Fees and Expenses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8.12.</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8.13.</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Non-Recourse</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8.14.</w:t>
            </w:r>
          </w:p>
        </w:tc>
        <w:tc>
          <w:tcPr>
            <w:tcW w:w="71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Debt Financing Sources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Section 8.15.</w:t>
            </w:r>
          </w:p>
        </w:tc>
        <w:tc>
          <w:tcPr>
            <w:tcW w:w="7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Definitions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AGREEMENT AND PLAN OF MERGER, dated as of April 6, 2023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GasLog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GasLog Partners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GasLog Ltd., a Bermuda exempted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Saturn Merger Sub LLC, a Marshall Islands limited liability company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and, together with Parent and the General Partner, the “</w:t>
      </w:r>
      <w:r>
        <w:rPr>
          <w:rFonts w:ascii="Times New Roman" w:cs="Times New Roman" w:eastAsia="Times New Roman" w:hAnsi="Times New Roman"/>
          <w:sz w:val="22"/>
          <w:szCs w:val="22"/>
          <w:u w:val="single" w:color="auto"/>
          <w:color w:val="auto"/>
        </w:rPr>
        <w:t>Sponsor Entities</w:t>
      </w:r>
      <w:r>
        <w:rPr>
          <w:rFonts w:ascii="Times New Roman" w:cs="Times New Roman" w:eastAsia="Times New Roman" w:hAnsi="Times New Roman"/>
          <w:sz w:val="22"/>
          <w:szCs w:val="22"/>
          <w:color w:val="auto"/>
        </w:rPr>
        <w:t>”). Each of the Partnership, the General Partner, Parent and Merger Sub are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but not defined elsewhere in this Agreement shall have the meanings set forth in </w:t>
      </w:r>
      <w:r>
        <w:rPr>
          <w:rFonts w:ascii="Times New Roman" w:cs="Times New Roman" w:eastAsia="Times New Roman" w:hAnsi="Times New Roman"/>
          <w:sz w:val="22"/>
          <w:szCs w:val="22"/>
          <w:u w:val="single" w:color="auto"/>
          <w:color w:val="auto"/>
        </w:rPr>
        <w:t>Section 8.15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intend that, on the terms and subject to the conditions set forth in this Agreement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Marshall Islands LP Act and the Marshall Islands LLC Act, (a) Merger Sub will merge with and into the Partnership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Partnership surviving such Merger, and (b) in connection with the Merger and the other transactions contemplated by this Agreement (collectively,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each Common Unit (other than the Sponsor Units (as defined below) with respect to the Merger Consideration (as defined below)) will receive overall value of $8.65 per Common Unit in cash (the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consisting of (i) a special distribution of $3.28 per Common Unit (with a corresponding amount distributed in respect of each General Partner Unit) to be paid by the Partnership in accordance with the terms hereof (the “</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and (ii) merger consideration of $5.37 per Common Unit to be paid by Parent at the Closing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in its capacity as the sole member of the General Partner, has (a) determined that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Transactions are in the best interests of the General Partner and declared it advisable to consent to and enter into this Agreement and (b) consented to and approved this Agreement and the Transactions (the “</w:t>
      </w:r>
      <w:r>
        <w:rPr>
          <w:rFonts w:ascii="Times New Roman" w:cs="Times New Roman" w:eastAsia="Times New Roman" w:hAnsi="Times New Roman"/>
          <w:sz w:val="22"/>
          <w:szCs w:val="22"/>
          <w:u w:val="single" w:color="auto"/>
          <w:color w:val="auto"/>
        </w:rPr>
        <w:t>General Partner Approval</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Conflicts Committee (the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of the Board of Directors of the Partnership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xml:space="preserve">”) has unanimously (a) determined that this Agreement and the Transactions are fair to and in the best interests of the Partnership and the Unaffiliated Unitholders, (b) approved this Agreement and the Transactions (the foregoing constituting Special Approval for all purposes under the Partnership Agreement) and (c) recommended to the Partnership Board that the Partnership Board (i) approve this Agreement and the Transactions and (ii) recommend approval of this Agreement and the Transactions to the Common Unitholders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Conflicts Committee Recommendation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Partnership  Board,  acting  upon  the  Conflicts  Committee  Recommendation,  has  unanimously</w:t>
      </w:r>
    </w:p>
    <w:p>
      <w:pPr>
        <w:spacing w:after="0" w:line="18" w:lineRule="exact"/>
        <w:rPr>
          <w:sz w:val="20"/>
          <w:szCs w:val="20"/>
          <w:color w:val="auto"/>
        </w:rPr>
      </w:pPr>
    </w:p>
    <w:p>
      <w:pPr>
        <w:jc w:val="both"/>
        <w:ind w:firstLine="8"/>
        <w:spacing w:after="0" w:line="247" w:lineRule="auto"/>
        <w:tabs>
          <w:tab w:leader="none" w:pos="29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determined that this Agreement and the Transactions are fair to and in the best interests of the Partnership and the Unaffiliated Unitholders, (b) approved this Agreement and the Transactions, (c) directed that this Agreement and the Transactions be submitted to a vote of the Common Unitholders, and (d) resolved, subject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to recommend approval of this Agreement and the Transactions to the Common Unitholders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Partnership Board Recommendation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Parent (the “</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unanimously (a) determined that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Support Agreement and the transactions contemplated hereby and thereby are in the best interests of Parent and (b) approved this Agreement and the Support Agreement and the transactions contemplated hereby and thereby;</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of GEPIF III Crown Bidco L.P., a Cayman Islands exempted limited partnership (“</w:t>
      </w:r>
      <w:r>
        <w:rPr>
          <w:rFonts w:ascii="Times New Roman" w:cs="Times New Roman" w:eastAsia="Times New Roman" w:hAnsi="Times New Roman"/>
          <w:sz w:val="22"/>
          <w:szCs w:val="22"/>
          <w:u w:val="single" w:color="auto"/>
          <w:color w:val="auto"/>
        </w:rPr>
        <w:t>GEPIF</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Blenheim Holdings Ltd., a Bermuda exempted company (“</w:t>
      </w:r>
      <w:r>
        <w:rPr>
          <w:rFonts w:ascii="Times New Roman" w:cs="Times New Roman" w:eastAsia="Times New Roman" w:hAnsi="Times New Roman"/>
          <w:sz w:val="22"/>
          <w:szCs w:val="22"/>
          <w:u w:val="single" w:color="auto"/>
          <w:color w:val="auto"/>
        </w:rPr>
        <w:t>BHL</w:t>
      </w:r>
      <w:r>
        <w:rPr>
          <w:rFonts w:ascii="Times New Roman" w:cs="Times New Roman" w:eastAsia="Times New Roman" w:hAnsi="Times New Roman"/>
          <w:sz w:val="22"/>
          <w:szCs w:val="22"/>
          <w:color w:val="auto"/>
        </w:rPr>
        <w:t>”), in its capacity as a common shareholder of Parent, has consented to and approved this Agreement and the Transactions in accordance with the Shareholders’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owns 100% of the issued and outstanding limited liability company interests in Merger Sub;</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in its capacity as the sole member of Merger Sub, has (a) determined that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are in the best interests of Merger Sub and declared it advisable to enter into this Agreement and (b) approved the adoption, execution, delivery and performance of this Agreement and the Transactions; and</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simultaneously with the Parties’ entry into this Agreement, Parent and the Partnership shall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and support agreement, dated as of the date hereof (as may be amended, the “</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pursuant to which, among other things, Parent shall agree, in its capacity as a limited partner of the Partnership, to vote its Common Units in favor of this Agreement and the Transactions.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representations, warranties, covenants and agreements contained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and intending to be legally bound, the Parties agree as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MERGER</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xml:space="preserve"> Upon the terms and subject to the conditions set forth in this Agreement, and in accordance with the Marshall Islands LP Act and the Marshall Islands LLC Act, at the Effective Time, Merger Sub shall be merged with and into the Partnership, the separate limited liability company existence of Merger Sub will cease and the Partnership will continue its existence as a limited partnership under Marshall Islands Law as the surviving entity in the Merger (such surviving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closing of the Merger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remotely via the electronic exchange of documents and signature pages as promptly as practicable after the satisfaction or waiver of the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(other than conditions that by their nature are to be satisfied at the Closing, but subject to the satisfaction or waiver of those conditions), or at such other place, date and time as the Partnership and Parent shall agree. The date on which the Closing actually occurs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On the terms and subject to the conditions set forth in this Agreement, the Partnership will, on the Closing Date, duly file a certificate of merger effecting the Merger, executed in accordance with, and in such form as is required by, the relevant provisions of the Marshall Islands LP Act and the Marshall Islands LLC Act (the “</w:t>
      </w:r>
      <w:r>
        <w:rPr>
          <w:rFonts w:ascii="Times New Roman" w:cs="Times New Roman" w:eastAsia="Times New Roman" w:hAnsi="Times New Roman"/>
          <w:sz w:val="22"/>
          <w:szCs w:val="22"/>
          <w:u w:val="single" w:color="auto"/>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Registrar of Corporations of the Republic of the Marshall Islands. The Merger will become effective at such time as the Certificate of Merger has been duly filed with the Registrar of Corporations of the Republic of the Marshall Islands or at such later date as may be agreed by the Partnership and Parent in writing and specified in the Certificate of Merger (the effective time of the Merger being hereinafter referred to as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0"/>
          <w:szCs w:val="20"/>
          <w:color w:val="auto"/>
        </w:rPr>
        <w:t>Section 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Effects of the Merger.</w:t>
      </w:r>
      <w:r>
        <w:rPr>
          <w:rFonts w:ascii="Times New Roman" w:cs="Times New Roman" w:eastAsia="Times New Roman" w:hAnsi="Times New Roman"/>
          <w:sz w:val="20"/>
          <w:szCs w:val="20"/>
          <w:color w:val="auto"/>
        </w:rPr>
        <w:t xml:space="preserve"> From and after the Effective Time, the Merger shall have the effects set forth herein, in the Partnership Agreement and in the applicable provisions of the Marshall Islands LP Act and the Marshall Islands LLC Act.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Organizational Documents of the Surviving Entity.</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the terms of the Partnership Agreement and applicable Law.</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the Partnership Agreement as in effect immediately prior to the Effective Time shall remain unchanged and shall be the agreement of limited partnership of the Surviving Entity from and after the Effective Time, until duly amended in accordance with the terms of the Partnership Agreement and applicable Law, subject to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ON INTERESTS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 of Merger.</w:t>
      </w:r>
      <w:r>
        <w:rPr>
          <w:rFonts w:ascii="Times New Roman" w:cs="Times New Roman" w:eastAsia="Times New Roman" w:hAnsi="Times New Roman"/>
          <w:sz w:val="22"/>
          <w:szCs w:val="22"/>
          <w:color w:val="auto"/>
        </w:rPr>
        <w:t xml:space="preserve"> At the Effective Time, by virtue of the occurrence of the Merger, and without any action on the part of the Partnership, the General Partner, Parent, Merger Sub or any holder of any securities of the Partnership or Merger Sub:</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of Membership Interests in Merger Sub</w:t>
      </w:r>
      <w:r>
        <w:rPr>
          <w:rFonts w:ascii="Times New Roman" w:cs="Times New Roman" w:eastAsia="Times New Roman" w:hAnsi="Times New Roman"/>
          <w:sz w:val="22"/>
          <w:szCs w:val="22"/>
          <w:color w:val="auto"/>
        </w:rPr>
        <w:t xml:space="preserve">. The limited liability company interests in Merger Sub issued and outstanding immediately prior to the Effective Time shall automatically be converted into and become a number of common units representing limited partner interests in the Surviving Entity equal to the number of Common Units converted into the right to receive the Merger Consideration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At the Effective Time, the books and records of the Partnership (as the Surviving Entity) shall be revised to reflect that Parent is the only Common Unitholder of the Surviving Entity and the simultaneous withdrawal of all other Common Unitholders from the Partnership.</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of Certain Common Units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2.1(c)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each Common Unit issued and outstanding immediately prior to the Effective Time, other than the Sponsor Units, shall automatically be canceled and converted into and shall thereafter represent the right to receive an amount in cash equal to the Merger Consideration, without interest. As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Effective Time, all such Common Units shall no longer be issued and outstanding and shall automatically be canceled and shall cease to exist, and each holder of any such Common Unit shall cease to have any rights with respect thereto, except the right to receive the Merger Consideration (less any applicable withholding Taxes) pertaining to such Common Units to be paid in consideration therefor, in accordance with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and the right to receive any distribution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(including, for the avoidance of doubt, the Special Distribution pursuant to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in each case without interest.</w:t>
      </w:r>
    </w:p>
    <w:p>
      <w:pPr>
        <w:spacing w:after="0" w:line="19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Parent-Owned Common Units</w:t>
      </w:r>
      <w:r>
        <w:rPr>
          <w:rFonts w:ascii="Times New Roman" w:cs="Times New Roman" w:eastAsia="Times New Roman" w:hAnsi="Times New Roman"/>
          <w:sz w:val="22"/>
          <w:szCs w:val="22"/>
          <w:color w:val="auto"/>
        </w:rPr>
        <w:t>. Each Common Unit issued and outstanding immediately prior to the Effective Time and owned (beneficially or of record) by Parent and its Affiliates (“</w:t>
      </w:r>
      <w:r>
        <w:rPr>
          <w:rFonts w:ascii="Times New Roman" w:cs="Times New Roman" w:eastAsia="Times New Roman" w:hAnsi="Times New Roman"/>
          <w:sz w:val="22"/>
          <w:szCs w:val="22"/>
          <w:u w:val="single" w:color="auto"/>
          <w:color w:val="auto"/>
        </w:rPr>
        <w:t>Sponsor Units</w:t>
      </w:r>
      <w:r>
        <w:rPr>
          <w:rFonts w:ascii="Times New Roman" w:cs="Times New Roman" w:eastAsia="Times New Roman" w:hAnsi="Times New Roman"/>
          <w:sz w:val="22"/>
          <w:szCs w:val="22"/>
          <w:color w:val="auto"/>
        </w:rPr>
        <w:t xml:space="preserve">”) shall not be canceled, shall not be converted into the right to receive the Merger Consideration and shall remain issued and outstanding as common units representing limited partner interests in the Surviving Entity. Parent shall have continued rights with respect to the Sponsor Units to receive, without interest, any distribution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(including, for the avoidance of doubt, the Special Distribution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Cancelation of Class B Units</w:t>
      </w:r>
      <w:r>
        <w:rPr>
          <w:rFonts w:ascii="Times New Roman" w:cs="Times New Roman" w:eastAsia="Times New Roman" w:hAnsi="Times New Roman"/>
          <w:sz w:val="22"/>
          <w:szCs w:val="22"/>
          <w:color w:val="auto"/>
        </w:rPr>
        <w:t>. Each Class B Unit issued and outstanding immediately prior to the Effective Time shall be canceled and shall cease to exist, and no consideration shall be delivered in respect thereof in accordance with the Partnership Agreement.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Preference Units</w:t>
      </w:r>
      <w:r>
        <w:rPr>
          <w:rFonts w:ascii="Times New Roman" w:cs="Times New Roman" w:eastAsia="Times New Roman" w:hAnsi="Times New Roman"/>
          <w:sz w:val="22"/>
          <w:szCs w:val="22"/>
          <w:color w:val="auto"/>
        </w:rPr>
        <w:t>. Each Preference Unit that is issued and outstanding as of immediately prior to the Effective Time will be unaffected by the Merger and shall be unchanged and remain issued and outstanding in the Surviving Entity, and no consideration shall be delivered in respect thereof in accordance with the Partnership Agreement.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Treatment of General Partner Interest</w:t>
      </w:r>
      <w:r>
        <w:rPr>
          <w:rFonts w:ascii="Times New Roman" w:cs="Times New Roman" w:eastAsia="Times New Roman" w:hAnsi="Times New Roman"/>
          <w:sz w:val="22"/>
          <w:szCs w:val="22"/>
          <w:color w:val="auto"/>
        </w:rPr>
        <w:t>. The General Partner Interest that is issued and outstanding immediately prior to the Effective Time shall remain issued and outstanding in the Surviving Entity and the General Partner shall continue as the sole general partner of the Surviving Entity and the sole record owner (and Parent shall continue as the sole beneficial owner) of the general partner interest in the Surviving Entity.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of Merger Consideration.</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Paying Agent; Deposit</w:t>
      </w:r>
      <w:r>
        <w:rPr>
          <w:rFonts w:ascii="Times New Roman" w:cs="Times New Roman" w:eastAsia="Times New Roman" w:hAnsi="Times New Roman"/>
          <w:sz w:val="22"/>
          <w:szCs w:val="22"/>
          <w:color w:val="auto"/>
        </w:rPr>
        <w:t>. Prior to the Closing Date, Parent shall designate a bank or trust company reasonably acceptable to the Partnership to act as agent (the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for the payment and delivery of the aggregate Merger Consideration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in connection therewith, Parent shall enter into an agreement with the Paying Agent prior to the Closing Date in a form reasonably acceptable to the Partnership. At or prior to the Effective Time, Parent shall deposit or cause to be deposited with the Paying Agent an amount in cash sufficient to pay the aggregate Merger Consideration (such cash, and any amounts earned via the investment thereof pursuant to the immediately following sentence, being hereinafter referred to as “</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Pending its disbursement in accordance with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Services, Inc.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Common Unitholders to receive the Merger Consideration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The Exchange Fund shall not be used for any purpose other than the payment to Common Unitholders of the Merger Consideration or payment to the Surviving Entity as contemplated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 of Common Units</w:t>
      </w:r>
      <w:r>
        <w:rPr>
          <w:rFonts w:ascii="Times New Roman" w:cs="Times New Roman" w:eastAsia="Times New Roman" w:hAnsi="Times New Roman"/>
          <w:sz w:val="22"/>
          <w:szCs w:val="22"/>
          <w:color w:val="auto"/>
        </w:rPr>
        <w:t xml:space="preserve">. As soon as reasonably practicable after the Effective Time (but in no event later than three business days after the Effective Time), and without any action by any holder of record of Common Units (other than Sponsor Units), the Paying Agent shall deliver to such holder, (i) a notice of the effectiveness of the Merger and (ii) cash in an amount equal to, subject to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(A) the number of Common Units held by such holder of record immediately prior to the Effective Time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Merger Consideration to which such holder is entitled under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Common Units shall forthwith be canceled. Until satisfaction of the applicable procedures contemplated by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each Common Unit (other than Sponsor Units) shall be deemed at any time after the Effective Time to represent only the right to receive the Merger Consideration and any distributions pertaining to Common Units formerly represented by such Common Unit as contemplated by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No interest shall be paid or shall accrue on the Merger Consideration payable with respect to Common Units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xml:space="preserve">. Any portion of the Exchange Fund that remains unclaimed by the holders of Common Units six months after the Effective Time shall be returned to Parent, upon demand, and thereafter such former Common Unitholders shall be entitled to look only to Parent for, and Parent shall remain liable for, payment of their claims of the Merger Consideration and any distribution pertaining to their former Common Units that such former Common Unitholders have the right to receive pursuant to the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Merger Consideration remaining unclaimed by such Common Unitholders immediately prior to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Notwithstanding any provision of this Agreement to the contrary, none of the Parties, the Surviving Entity or the Paying Agent shall be liable to any Person for any Merger Consideration delivered to a public official pursuant to any applicable state, federal or other abandoned property, escheat or similar Law.</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 Books; No Further Ownership Rights in Common Units</w:t>
      </w:r>
      <w:r>
        <w:rPr>
          <w:rFonts w:ascii="Times New Roman" w:cs="Times New Roman" w:eastAsia="Times New Roman" w:hAnsi="Times New Roman"/>
          <w:sz w:val="22"/>
          <w:szCs w:val="22"/>
          <w:color w:val="auto"/>
        </w:rPr>
        <w:t xml:space="preserve">. The Merger Consideration paid in respect of each Common Unit (other than Sponsor Units) in accordance with the terms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deemed to have been paid in full satisfaction of all rights pertaining to such Common Units, subject, however, to the Surviving Entity’s obligation to pay any distribution in respect of such Common Units with a record date occurring prior to the Effective Time that may have been declared by the Partnership Board not in violation of the terms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of this Agreement or prior to the date of this Agreement and which remains unpaid at the Effective Time, including, for the avoidance of doubt, the Special Distribution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At the Effective Time, the unit transfer books of the Partnership shall be closed and thereafter there shall be no further registration of transfers on the unit transfer books of the Surviving Entity of Common Units that were issued and outstanding immediately prior to the Effective Time (other than with respect to any Common Units that remain outstanding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From and after the Effective Time, holders of Common Units (other than Sponsor Units) immediately prior to the Effective Time shall cease to have any rights with respect to such underlying Common Units, except as otherwise provided for herein or by applicable Law. If, at any time after the Effective Time, Common Units (other than Sponsor Units) are presented to the Paying Agent or Parent, they shall be canceled and exchanged as provided for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Parent, the Surviving Entity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Partnership Awards.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At the Effective Time, by virtue of the occurrence of the Merger, and without any action on the part of the Partnership, the General Partner, Parent, Merger Sub or any holder of securities in the Partnership, each Partnership RCU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RCU Award as of immediately prior to the Effective Time and (B) the Merger Consideration and (ii) the amount of accrued but unpaid distributions, including for the avoidance of doubt, the Special Distribution, with respect to such Partnership RCU Award as of immediately prior to the Effective Time (collectively, the “</w:t>
      </w:r>
      <w:r>
        <w:rPr>
          <w:rFonts w:ascii="Times New Roman" w:cs="Times New Roman" w:eastAsia="Times New Roman" w:hAnsi="Times New Roman"/>
          <w:sz w:val="22"/>
          <w:szCs w:val="22"/>
          <w:u w:val="single" w:color="auto"/>
          <w:color w:val="auto"/>
        </w:rPr>
        <w:t>RCU Consideration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the Effective Time, by virtue of the occurrence of the Merger, and without any action on the part of the Partnership, the General Partner, Parent, Merger Sub or any holder of securities in the Partnership, each Partnership PCU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PCU Award as of immediately prior to the Effective Time, determined based on actual achievement of any outstanding performance goals as of immediately prior to the Effective Time, and (B) the Merger Consideration and (ii) the amount of accrued but unpaid distributions, including for the avoidance of doubt, the Special Distribution, with respect to such Partnership PCU Award as of immediately prior to the Effective Time, determined based on actual achievement of any outstanding performance goals as of immediately prior to the Effective Time (collectively, the “</w:t>
      </w:r>
      <w:r>
        <w:rPr>
          <w:rFonts w:ascii="Times New Roman" w:cs="Times New Roman" w:eastAsia="Times New Roman" w:hAnsi="Times New Roman"/>
          <w:sz w:val="20"/>
          <w:szCs w:val="20"/>
          <w:u w:val="single" w:color="auto"/>
          <w:color w:val="auto"/>
        </w:rPr>
        <w:t>PCU Consideration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Prior to the Effective Time, the Partnership or Partnership Board (or, if appropriate, designated committee thereof administering the Partnership Long-Term Incentive Plan) shall take all actions necessary, including adopting any necessary resolutions, to provide that (i) the Partnership Awards shall be treated in accordance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(ii) the Partnership Awards shall not be adjusted in respect of, or to reflect, the Special Distribution and (iii) the Surviving Entity shall not be required to deliver Common Units or any equity of the Partnership to any Person pursuant to, upon exercise of, or in settlement of Partnership RCU Awards or Partnership PCU Awards, as applicable, after the Effective Time.</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soon as reasonably practicable after the Effective Time (but in no event later than 15 business days after the Effective Time), Parent shall, or shall cause the Surviving Entity or one of its Subsidiaries to, pay through the payroll of Parent or the Surviving Entity or one of its Subsidiaries, as applicable, the aggregate RCU Consideration and the aggregate PCU Consideration, with such amounts paid without interest and net of any withholding Taxes required to be deducted and withheld by applicable Laws.</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2.4.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Notwithstanding any provision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to the contrary, if between the date of this Agreement and the Effective Time the number of outstanding Common Units shall have been changed into a different number of Common Units or a different class by reason of the occurrence or record date of any unit distribution, subdivision, reclassification, recapitalization, split, combination, exchange of units or similar transaction, the Merger Consideration shall be appropriately adjusted to reflect such unit distribution, subdivision, reclassification, recapitalization, split, combination, exchange of units or similar transaction.</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2.5.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Dissenters’ Rights.</w:t>
      </w:r>
      <w:r>
        <w:rPr>
          <w:rFonts w:ascii="Times New Roman" w:cs="Times New Roman" w:eastAsia="Times New Roman" w:hAnsi="Times New Roman"/>
          <w:sz w:val="22"/>
          <w:szCs w:val="22"/>
          <w:color w:val="auto"/>
        </w:rPr>
        <w:t xml:space="preserve"> No dissenters’ or appraisal rights shall be available with respect to the Merger or the other Transactions.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PARTNERSHIP</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Except as disclosed in the Partnership SEC Documents (but excluding any disclosure contained in any such Partnership SEC Documents under the headings “Risk Factors” or “Forward-Looking Statements” or similar headings (it being understood that this </w:t>
      </w:r>
      <w:r>
        <w:rPr>
          <w:rFonts w:ascii="Times New Roman" w:cs="Times New Roman" w:eastAsia="Times New Roman" w:hAnsi="Times New Roman"/>
          <w:sz w:val="22"/>
          <w:szCs w:val="22"/>
          <w:u w:val="single" w:color="auto"/>
          <w:color w:val="auto"/>
        </w:rPr>
        <w:t>provision</w:t>
      </w:r>
      <w:r>
        <w:rPr>
          <w:rFonts w:ascii="Times New Roman" w:cs="Times New Roman" w:eastAsia="Times New Roman" w:hAnsi="Times New Roman"/>
          <w:sz w:val="22"/>
          <w:szCs w:val="22"/>
          <w:color w:val="auto"/>
        </w:rPr>
        <w:t xml:space="preserve"> shall not be applicable to the representations and warranties set forth in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the Partnership hereby represents and warrants to Parent and Merger Sub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 Standing and Power.</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of the Partnership and its Subsidiaries has been duly formed and is validly existing and in good standing under the Laws of its respective jurisdiction of organization, with requisite corporate, partnership or limited liability company power and authority necessary to own or lease all of its properties and assets and to carry on its business as it is now being conducted, except, with respect to such Subsidiaries, where the failure to have such power and authority would not reasonably be expected to have, individually or in the aggregate, a Partnership Material Adverse Effect. Each of the Partnership and its Subsidiaries is in good standing under the Laws of each other jurisdiction which requires such qualification and is duly licensed or qualified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both"/>
        <w:spacing w:after="0" w:line="239" w:lineRule="auto"/>
        <w:rPr>
          <w:sz w:val="20"/>
          <w:szCs w:val="20"/>
          <w:color w:val="auto"/>
        </w:rPr>
      </w:pPr>
      <w:r>
        <w:rPr>
          <w:rFonts w:ascii="Times New Roman" w:cs="Times New Roman" w:eastAsia="Times New Roman" w:hAnsi="Times New Roman"/>
          <w:sz w:val="22"/>
          <w:szCs w:val="22"/>
          <w:color w:val="auto"/>
        </w:rPr>
        <w:t>transact business in each jurisdiction in which the nature of the business conducted by it or the character or location of the properties and assets owned or leased by it makes such licensing or qualification necessary, except where the failure to be in good standing or so licensed or qualified would not reasonably be expected to have, individually or in the aggregate, a Partnership Material Adverse Effect.</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true and complete copy of each of the Partnership Charter Documents is included in the Partnership SEC Documents. A true and complete copy of each of the Charter Documents of each of the Partnership’s Subsidiaries has been made available to Parent prior to the date hereof. The Partnership is not in violation of any of its Charter Documents, and none of its Subsidiaries are in violation of any of their respective Charter Documents in any material respect.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Capitalization.</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of the close of business on March 31, 2023 (the “</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the Partnership has (x) no partnership interests or other equity interests issued and outstanding and no Common Units held in treasury, other than (i) 51,687,865 Common Units, (ii) 1,245,000 Class B Units (comprised of (A) 415,000 Class B-4 Units, (B) 415,000 Class B-5 Units and (C) 415,000 Class B-6 Units), (iii) 13,616,022 Preference Units (comprised of (A) 5,084,984 Series A Preference Units,</w:t>
      </w:r>
    </w:p>
    <w:p>
      <w:pPr>
        <w:ind w:left="360" w:hanging="352"/>
        <w:spacing w:after="0" w:line="231" w:lineRule="auto"/>
        <w:tabs>
          <w:tab w:leader="none" w:pos="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3,496,382 Series B Preference Units and (C) 3,061,045 Series C Preference Units) and (iv) the General Partner Interest and</w:t>
      </w:r>
    </w:p>
    <w:p>
      <w:pPr>
        <w:jc w:val="both"/>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 311,136 Common Units reserved for issuance under the Partnership Long-Term Incentive Plan as Partnership RCU Awards. All of the outstanding Partnership Interests have been duly authorized and validly issued in accordance with the Partnership Agreement, and are fully paid (to the extent required under the Partnership Agreement) and nonassessable (except (i) for the General Partner Interest, and (ii) as set forth in the Partnership Agreement or as such non-assessability may be affected by Sections 30, 41, 51 and 60 of the Marshall Islands LP Act) and, except as set forth in the Partnership Agreement, free of preemptive rights. Except (A) as set forth above in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or (B) as otherwise expressly permitted by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as of the date of this Agreement there are not, and, as of the Effective Time there will not be, any partnership interests, voting securities or other equity interests of the Partnership issued and outstanding or any subscriptions, options, warrants, calls, convertible or exchangeable securities, rights, commitments or agreements of any character providing for the issuance of any partnership interests, voting securities or other equity interests of the Partnership, including any representing the right to purchase or otherwise receive any of the foregoing.</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set forth in the Partnership Agreement, as in effect as of the date of this Agreement, there are no outstanding obligations of the Partnership to repurchase, redeem or otherwise acquire any Partnership Interests or other equity interests or any options, warrants or other rights to acquire any partnership interests, shares of capital stock, voting securities or equity interests of the Partnership.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 Noncontravention; Voting Requirements.</w:t>
      </w:r>
    </w:p>
    <w:p>
      <w:pPr>
        <w:spacing w:after="0" w:line="23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Partnership has all necessary partnership power and authority to execute and deliver this Agreement, to perform its obligations hereunder and, subject to obtaining the Unitholder Approval, to consummate the Transactions. The execution, delivery and performance by the Partnership of this Agreement and the consummation by the Partnership of the Transactions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have been duly authorized by the Partnership Board and approved by each of the Conflicts Committee and the Partnership Board, and the Partnership Board, acting upon the Conflicts Committee Recommendation, has unanimously (i) determined that this Agreement and the Transactions are fair to and in the best interests of the Partnership and the Unaffiliated Unitholders,</w:t>
      </w:r>
    </w:p>
    <w:p>
      <w:pPr>
        <w:jc w:val="both"/>
        <w:ind w:firstLine="8"/>
        <w:spacing w:after="0" w:line="243" w:lineRule="auto"/>
        <w:tabs>
          <w:tab w:leader="none" w:pos="32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approved this Agreement and the Transactions, (iii) directed that this Agreement and the Transactions be submitted to a vote of the Common Unitholders, and (iv) resolved, subject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to make the Partnership Board Recommendation. As of the date of this Agreement, neither the Conflicts Committee Recommendation nor the Partnership Board Recommendation has been subsequently rescinded, modified or withdrawn in any way. Except for obtaining the Unitholder Approval, no other entity action on the part of the Partnership is necessary to authorize the execution, delivery and performance by the Partnership of this Agreement and the consummation by the Partnership of the Transactions. This Agreement has been duly and validly executed and delivered by the Partnership and, assuming due authorization, execution and delivery of this Agreement by the Sponsor Entities, constitutes the legal, valid and binding obligation of the Partnership, enforceable against the Partnership in accordance with its terms, except as such enforceability (A) may be limited by bankruptcy, insolvency, reorganization, moratorium, fraudulent conveyance, rehabilitation, conservatorship, liquidation, receivership and other similar Laws, now or hereafter in effect, of general application affecting or relating to the enforcement of creditors’ rights generally and (B) is subject to general principles of equity, whether applied in a Proceeding or at law or in equity (collectively, the “</w:t>
      </w:r>
      <w:r>
        <w:rPr>
          <w:rFonts w:ascii="Times New Roman" w:cs="Times New Roman" w:eastAsia="Times New Roman" w:hAnsi="Times New Roman"/>
          <w:sz w:val="21"/>
          <w:szCs w:val="21"/>
          <w:u w:val="single" w:color="auto"/>
          <w:color w:val="auto"/>
        </w:rPr>
        <w:t>Bankruptcy and Equity Exception</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execution and delivery of this Agreement by the Partnership, nor the consummation by the Partnership of the Transactions, nor performance or compliance by the Partnership with any of the terms or provisions of this Agreement will</w:t>
      </w:r>
    </w:p>
    <w:p>
      <w:pPr>
        <w:ind w:left="280" w:hanging="272"/>
        <w:spacing w:after="0" w:line="230" w:lineRule="auto"/>
        <w:tabs>
          <w:tab w:leader="none" w:pos="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receipt of the Unitholder Approval and the General Partner Approval, conflict with or violate any provision of</w:t>
      </w: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the Partnership Charter Documents or (B) any Charter Documents of the Partnership’s Subsidiaries or (ii) assuming that the Consents, filings, declarations or registrations referred to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and the Unitholder Approval and the General Partner Approval are obtained and made, as applicable, (A) violate any Law or Judgment applicable to the Partnership or its Subsidiaries,</w:t>
      </w:r>
    </w:p>
    <w:p>
      <w:pPr>
        <w:spacing w:after="0" w:line="1" w:lineRule="exact"/>
        <w:rPr>
          <w:rFonts w:ascii="Times New Roman" w:cs="Times New Roman" w:eastAsia="Times New Roman" w:hAnsi="Times New Roman"/>
          <w:sz w:val="22"/>
          <w:szCs w:val="22"/>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(B) violate or constitute a default under (with or without notice or lapse of time or both) any terms, conditions or provisions of any Contract to which the Partnership or any of its Subsidiaries is bound or give rise to any right to terminate, cancel, amend, modify or accelerate the Partnership’s or any of its Subsidiaries’ applicable rights or obligations under any such Contract, (C) give rise to any right of first refusal, preemptive right, tag-along right, transfer right or other similar right of any other party to a Contract to which the Partnership or any of its Subsidiaries is bound or (D) result in the creation of a Lien (other than Permitted Liens) on any properties or assets of the Partnership or any of its Subsidiaries, except in the case of </w:t>
      </w:r>
      <w:r>
        <w:rPr>
          <w:rFonts w:ascii="Times New Roman" w:cs="Times New Roman" w:eastAsia="Times New Roman" w:hAnsi="Times New Roman"/>
          <w:sz w:val="21"/>
          <w:szCs w:val="21"/>
          <w:u w:val="single" w:color="auto"/>
          <w:color w:val="auto"/>
        </w:rPr>
        <w:t>clauses (i)(B)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as would not reasonably be expected to have, individually or in the aggregate, a Partnership Material Adverse Effect.</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for the General Partner Approval, the affirmative vote (in person or by proxy) of the holders of at least a majority of the outstanding Common Units entitled to vote thereon, voting as a single class, at a Unitholders Meeting (the “</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in favor of the approval of this Agreement is the only vote or approval of the holders of any class or series of partnership interests, equity interests or capital stock of the Partnership or any of its Subsidiaries that is necessary to approve this Agreement and to consummate the Transactions.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3.4.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xml:space="preserve"> Except for (a) compliance with the applicable requirements of the Exchange Act, including the filing with the SEC of the Schedule 13E-3 (including the filing of a proxy statement with the SEC in connection with the Merger (the “</w:t>
      </w:r>
      <w:r>
        <w:rPr>
          <w:rFonts w:ascii="Times New Roman" w:cs="Times New Roman" w:eastAsia="Times New Roman" w:hAnsi="Times New Roman"/>
          <w:sz w:val="20"/>
          <w:szCs w:val="20"/>
          <w:u w:val="single" w:color="auto"/>
          <w:color w:val="auto"/>
        </w:rPr>
        <w:t>Proxy Statement</w:t>
      </w:r>
      <w:r>
        <w:rPr>
          <w:rFonts w:ascii="Times New Roman" w:cs="Times New Roman" w:eastAsia="Times New Roman" w:hAnsi="Times New Roman"/>
          <w:sz w:val="20"/>
          <w:szCs w:val="20"/>
          <w:color w:val="auto"/>
        </w:rPr>
        <w:t>”)),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any applicable Antitrust Laws and</w:t>
      </w:r>
    </w:p>
    <w:p>
      <w:pPr>
        <w:spacing w:after="0" w:line="3" w:lineRule="exact"/>
        <w:rPr>
          <w:sz w:val="20"/>
          <w:szCs w:val="20"/>
          <w:color w:val="auto"/>
        </w:rPr>
      </w:pPr>
    </w:p>
    <w:p>
      <w:pPr>
        <w:jc w:val="both"/>
        <w:ind w:firstLine="8"/>
        <w:spacing w:after="0" w:line="233" w:lineRule="auto"/>
        <w:tabs>
          <w:tab w:leader="none" w:pos="2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any applicable state securities or blue sky laws (collectively, the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Consent of, or filing, declaration or registration with, any Governmental Authority is necessary for the execution and delivery of this Agreement by the Partnership, the performance by the Partnership of its obligations hereunder and the consummation by the Partnership of the Transactions, other than such other Consents, filings, declarations or registrations that, if not obtained, made or given, would not reasonably be expected to have, individually or in the aggregate, a Partnership Material Adverse Effect.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3.5.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xml:space="preserve"> Except as would not, individually or in the aggregate, reasonably be expected to have a Partnership Material Adverse Effect, there is no (a) pending or, to the Knowledge of the Partnership, threatened in writing, Proceeding or, to the Knowledge of the Partnership, investigation against the Partnership or any of its Subsidiaries or (b) outstanding injunction, order, judgment, ruling, decree or writ of any Governmental Authority (a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imposed upon the Partnership or any of its Subsidiaries or any of their respective directors or officers (in their capacities as such) or, to the Knowledge of the Partnership, any other Person for whom the Partnership or any of its Subsidiaries may be liable as an indemnifying party or otherwise, in each case, by or before any Governmental Authority.</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3.6.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xml:space="preserve"> None of the information supplied (or to be supplied) in writing by or on behalf of the Partnership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requirements of the Exchange Act. Notwithstanding the foregoing, the Partnership makes no representation or warranty with respect to information supplied by or on behalf of Parent or its Affiliates for inclusion or incorporation by reference in the Schedule 13E-3.</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3.7.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xml:space="preserve"> The Conflicts Committee has received the opinion of Evercore Group L.L.C. (the “</w:t>
      </w:r>
      <w:r>
        <w:rPr>
          <w:rFonts w:ascii="Times New Roman" w:cs="Times New Roman" w:eastAsia="Times New Roman" w:hAnsi="Times New Roman"/>
          <w:sz w:val="22"/>
          <w:szCs w:val="22"/>
          <w:u w:val="single" w:color="auto"/>
          <w:color w:val="auto"/>
        </w:rPr>
        <w:t>Financial Advisor</w:t>
      </w:r>
      <w:r>
        <w:rPr>
          <w:rFonts w:ascii="Times New Roman" w:cs="Times New Roman" w:eastAsia="Times New Roman" w:hAnsi="Times New Roman"/>
          <w:sz w:val="22"/>
          <w:szCs w:val="22"/>
          <w:color w:val="auto"/>
        </w:rPr>
        <w:t>”), dated the date of this Agreement, to the effect that, as of such date, and subject to the assumptions and qualifications set forth therein, the Consideration to be received by the Unaffiliated Unitholders is fair, from a financial point of view, to the Partnership and the Unaffiliated Unitholders.</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Section 3.8.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xml:space="preserve"> Except for the Financial Advisor, the fees and expenses of which will be paid by the Partnership on behalf of the Conflicts Committee, no broker,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2"/>
          <w:szCs w:val="22"/>
          <w:color w:val="auto"/>
        </w:rPr>
        <w:t>investment banker or financial advisor is entitled to any broker’s, finder’s or financial advisor’s or other similar fee or commission, or the reimbursement of expenses, in connection with the Transactions based on arrangements made by or on behalf of the Conflicts Committee.</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3.9.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Except for the representations and warranties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neither the Partnership nor its Subsidiaries nor any other Person has made or is making any express or implied representation or warranty with respect to the Partnership or its Subsidiaries or with respect to any other information provided to Parent in connection with the Transactions. Without limiting the generality of the foregoing, neither the Partnership nor its Subsidiaries nor any other Person will have or be subject to any liability or other obligation to Parent or any other Person resulting from the distribution to Parent (including its Representatives), or Parent’s (or such Representatives’) use of any such information, including any information, documents, projections, forecasts or other materials made available to Parent in certain “data rooms” or management presentations in expectation of the Merger.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SPONSOR ENTITIES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Sponsor Entity hereby represents and warrants, jointly and severally, to the Partnership as follows: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Organization, Standing and Power.</w:t>
      </w:r>
      <w:r>
        <w:rPr>
          <w:rFonts w:ascii="Times New Roman" w:cs="Times New Roman" w:eastAsia="Times New Roman" w:hAnsi="Times New Roman"/>
          <w:sz w:val="22"/>
          <w:szCs w:val="22"/>
          <w:color w:val="auto"/>
        </w:rPr>
        <w:t xml:space="preserve"> Parent has been duly organized and is validly existing as an exempted company under Bermuda law. Merger Sub has been duly organized and is validly existing as a limited liability company under Marshall Islands law. The General Partner has been duly organized and is validly existing and in good standing as a limited liability company under Marshall Islands law.</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Operations and Ownership of Merger Sub.</w:t>
      </w:r>
      <w:r>
        <w:rPr>
          <w:rFonts w:ascii="Times New Roman" w:cs="Times New Roman" w:eastAsia="Times New Roman" w:hAnsi="Times New Roman"/>
          <w:sz w:val="22"/>
          <w:szCs w:val="22"/>
          <w:color w:val="auto"/>
        </w:rPr>
        <w:t xml:space="preserve"> Parent beneficially owns all of the issued and outstanding limited liability company interests in Merger Sub. Merger Sub was formed solely for the purpose of engaging in the Merger and other Transactions and has not conducted any business other than incident to its formation and pursuant to this Agreement, the Merger and the other Transactions and the financing of such Transactions.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 Noncontravention.</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of the Sponsor Entities has all necessary power and authority to execute and deliver this Agreement and the Support Agreement, as applicable, to perform its obligations hereunder and thereunder and to consummate the transactions contemplated hereby and thereby. The execution, delivery and performance by the Sponsor Entities of this Agreement, and the consummation of the Transactions have been unanimously authorized and approved by the Parent Board, the sole member of the General Partner and the sole member of Merger Sub.</w:t>
      </w:r>
    </w:p>
    <w:p>
      <w:pPr>
        <w:spacing w:after="0" w:line="20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Parent Board has unanimously (i) determined that this Agreement and the Support Agreement and the transactions contemplated hereby and thereby are in the best interests of Parent and (ii) approved this Agreement and the Support Agreement and the transactions contemplated hereby and thereby. Each of GEPIF and BHL, in its capacity as a common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22"/>
          <w:szCs w:val="22"/>
          <w:color w:val="auto"/>
        </w:rPr>
        <w:t>shareholder of Parent, has consented to and approved this Agreement and the Transactions in accordance with the Shareholders’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Parent, in its capacity as the sole member of Merger Sub, has (i) determined that this Agreement and the Transactions are in the best interests of Merger Sub and declared it advisable to enter into this Agreement and (ii) approved the adoption, execution, delivery and performance of this Agreement and the Transactions.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Parent, in its capacity as the sole member of the General Partner, has (i) determined that this Agreement and the Transactions are in the best interests of the General Partner and declared it advisable to consent to and enter into this Agreement and (ii) consented to and approved this Agreement and the Transactions.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execution and delivery of this Agreement or the Support Agreement by a Sponsor Entity, nor the consummation by the Sponsor Entities of the transactions contemplated hereby or thereby, nor the performance or compliance by the Sponsor Entities with any of the terms or provisions of this Agreement or the Support Agreement, will (i) conflict with or violate any provision of the Charter Documents of the Sponsor Entities or (ii) assuming that the Consents, filings, declarations or registrations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are made and obtained, as applicable, (A) violate any Law applicable to the Sponsor Entities, (B) violate or constitute a default under (with or without notice of lapse of time or both) any of the terms, conditions or provisions of any Contract to which the Sponsor Entities, as applicable, are bound or give rise to any right to terminate, cancel, amend, modify or accelerate the Sponsor Entities’ rights or obligations under any such Contract, (C) give rise to any right of first refusal, preemptive right, tag-along right, transfer right or other similar right of any other party to a Contract to which the Sponsor Entities are bound or (D) result in the creation of any Lien on any properties or assets of the Sponsor Entities (other than any Permitted Liens or Liens related to the Debt Financing), except, in the case of </w:t>
      </w:r>
      <w:r>
        <w:rPr>
          <w:rFonts w:ascii="Times New Roman" w:cs="Times New Roman" w:eastAsia="Times New Roman" w:hAnsi="Times New Roman"/>
          <w:sz w:val="20"/>
          <w:szCs w:val="20"/>
          <w:u w:val="single" w:color="auto"/>
          <w:color w:val="auto"/>
        </w:rPr>
        <w:t>clauses (i)(B)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as would not, individually or in the aggregate, reasonably be expected to prevent or materially delay, interfere with, hinder or impair the consummation by the Sponsor Entities of any of the Transactions in accordance with the terms of this Agreement.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Simultaneously with the execution of this Agreement, Parent has executed and delivered the Support Agreement.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Section 4.4.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xml:space="preserve"> Except for (a) compliance with the applicable requirements of the Exchange Act, including the filing with the SEC of the Schedule 13E-3 (including the Proxy Statement therein),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or the Support Agreement by the Sponsor Entities, the performance by the Sponsor Entities of their obligations hereunder and thereunder and the consummation by the Sponsor Entities of the transactions contemplated hereby and thereby, other than such Consents, filings, declarations or registrations that, if not obtained, made or given, would not, individually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22"/>
          <w:szCs w:val="22"/>
          <w:color w:val="auto"/>
        </w:rPr>
        <w:t>or in the aggregate, reasonably be expected to materially impede or delay the ability of the Sponsor Entities to consummate the Merger or comply with their respective obligations under this Agreement or the Support Agreement.</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xml:space="preserve"> Except as would not, individually or in the aggregate, reasonably be expected to prevent or materially delay, interfere with, hinder or impair the consummation by the Sponsor Entities of any of the Transactions in accordance with the terms of this Agreement, there is no (a) pending or, to the Knowledge of Parent, threatened in writing, Proceeding or, to the Knowledge of Parent, investigation against Parent, Merger Sub or the General Partner or (b) outstanding Judgment imposed upon Parent, Merger Sub or the General Partner or any director or officer thereof (in their capacities as such) or, to the Knowledge of Parent, any other Person for whom Parent, Merger Sub or the General Partner may be liable as an indemnifying party or otherwise, in each case, by or before any Governmental Authority.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Parent has delivered to the Partnership a true and complete copy of a fully executed debt commitment letter dated as of the date hereof, together with all schedules, exhibits, annexes and term sheets attached thereto, pursuant to which the Debt Financing Sources party thereto have committed to provide to Merger Sub, subject to the terms and conditions therein, debt financing in the aggregate amount set forth therein (the “</w:t>
      </w:r>
      <w:r>
        <w:rPr>
          <w:rFonts w:ascii="Times New Roman" w:cs="Times New Roman" w:eastAsia="Times New Roman" w:hAnsi="Times New Roman"/>
          <w:sz w:val="20"/>
          <w:szCs w:val="20"/>
          <w:u w:val="single" w:color="auto"/>
          <w:color w:val="auto"/>
        </w:rPr>
        <w:t>Debt Financing</w:t>
      </w:r>
      <w:r>
        <w:rPr>
          <w:rFonts w:ascii="Times New Roman" w:cs="Times New Roman" w:eastAsia="Times New Roman" w:hAnsi="Times New Roman"/>
          <w:sz w:val="20"/>
          <w:szCs w:val="20"/>
          <w:color w:val="auto"/>
        </w:rPr>
        <w:t>”) with only fee amounts and other customary commercially sensitive terms redacted, none of which redacted provisions could affect the conditionality, enforceability, availability or aggregate principal amount of the Debt Financing (the “</w:t>
      </w:r>
      <w:r>
        <w:rPr>
          <w:rFonts w:ascii="Times New Roman" w:cs="Times New Roman" w:eastAsia="Times New Roman" w:hAnsi="Times New Roman"/>
          <w:sz w:val="20"/>
          <w:szCs w:val="20"/>
          <w:u w:val="single" w:color="auto"/>
          <w:color w:val="auto"/>
        </w:rPr>
        <w:t>Debt Commitment Letter</w:t>
      </w:r>
      <w:r>
        <w:rPr>
          <w:rFonts w:ascii="Times New Roman" w:cs="Times New Roman" w:eastAsia="Times New Roman" w:hAnsi="Times New Roman"/>
          <w:sz w:val="20"/>
          <w:szCs w:val="20"/>
          <w:color w:val="auto"/>
        </w:rPr>
        <w:t xml:space="preserve">”). As of the date of this Agreement, the Debt Commitment Letter in the form delivered to the Partnership has not been amended or modified, no such amendment or modification is contemplated and none of the obligations and commitments contained in such Debt Commitment Letter have been withdrawn, terminated or rescinded in any respect and no such withdrawal, termination or rescission is contemplated. Neither Parent, Merger Sub nor any of their Affiliates has entered into any agreement, side letter or other arrangement relating to the Debt Financing other than as set forth in the Debt Commitment Letter provided to the Partnership pursuant to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Assuming the accuracy of the representations and warranties set forth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compliance by the Partnership with </w:t>
      </w:r>
      <w:r>
        <w:rPr>
          <w:rFonts w:ascii="Times New Roman" w:cs="Times New Roman" w:eastAsia="Times New Roman" w:hAnsi="Times New Roman"/>
          <w:sz w:val="20"/>
          <w:szCs w:val="20"/>
          <w:u w:val="single" w:color="auto"/>
          <w:color w:val="auto"/>
        </w:rPr>
        <w:t>Sections 5.2(b)(i)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the Debt Financing, when funded in accordance with the Debt Commitment Letter, together with cash on hand of Parent and its Subsidiaries, will provide Parent and Merger Sub with sources of immediately available funds in the aggregate sufficient for Parent and Merger Sub to pay the aggregate Merger Consideration and any other amount required to be paid by Parent or Merger Sub in connection with the consummation of the Transactions.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Debt Commitment Letter is in full force and effect and is the legal, valid, binding and enforceable obligation of Parent and, to the Knowledge of Parent,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by Parent or any of its Subsidiaries or, to the Knowledge of Parent, any other party thereto, of any term of the Debt Commitment Letter. As of the date of this Agreement, assuming the satisfaction of the conditions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the performance by the Partnership</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jc w:val="both"/>
        <w:spacing w:after="0" w:line="233" w:lineRule="auto"/>
        <w:rPr>
          <w:sz w:val="20"/>
          <w:szCs w:val="20"/>
          <w:color w:val="auto"/>
        </w:rPr>
      </w:pPr>
      <w:r>
        <w:rPr>
          <w:rFonts w:ascii="Times New Roman" w:cs="Times New Roman" w:eastAsia="Times New Roman" w:hAnsi="Times New Roman"/>
          <w:sz w:val="22"/>
          <w:szCs w:val="22"/>
          <w:color w:val="auto"/>
        </w:rPr>
        <w:t>of its obligations under this Agreement, Parent does not have any reason to believe that any party to the Debt Commitment Letter will be unable to satisfy on a timely basis any term or condition of the Debt Commitment Letter required to be satisfied by it, that the conditions to the Debt Financing in the Debt Commitment Letter will not otherwise be satisfied or that the full amount of the Debt Financing will not be available on the Closing Date. The only conditions precedent or other contingencies related to the obligations of the Debt Financing Sources party to the Debt Commitment Letter to fund the full amount of the Debt Financing are those expressly set forth in the Debt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Merger Sub or any of their Affiliates is a party related to the Debt Financing other than as expressly contained in the Debt Commitment Letter and delivered to the Partnership prior to the date of this Agreement. For the avoidance of doubt, in no event shall the receipt or availability of any funds or financing by or to Parent, Merger Sub or any Affiliate of Parent or Merger Sub be a condition to any obligations of the Sponsor Entities hereunder.</w:t>
      </w:r>
    </w:p>
    <w:p>
      <w:pPr>
        <w:spacing w:after="0" w:line="21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4.7.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Supplied.</w:t>
      </w:r>
      <w:r>
        <w:rPr>
          <w:rFonts w:ascii="Times New Roman" w:cs="Times New Roman" w:eastAsia="Times New Roman" w:hAnsi="Times New Roman"/>
          <w:sz w:val="22"/>
          <w:szCs w:val="22"/>
          <w:color w:val="auto"/>
        </w:rPr>
        <w:t xml:space="preserve"> None of the information supplied (or to be supplied) in writing by or on behalf of the Sponsor Entities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Sponsor Entities make no representation or warranty with respect to information supplied by or on behalf of the Partnership for inclusion or incorporation by reference in the Schedule 13E-3.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Ownership of Partnership Interests.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of the date of this Agreement, Parent is the beneficial owner of (i) 15,621,602 Common Units and (ii) 1,245,000 Class B Units (comprised of (A) 415,000 Class B-4 Units, (B) 415,000 Class B-5 Units and (C) 415,000 Class B-6 Units), which represent all of the Common Units and Class B Units held beneficially by Parent or any of its Subsidiaries. Such Common Units and Class B Units have been duly authorized and validly issued in accordance with the Partnership Agreement; and Parent beneficially owns such Common Units and Class B Units, free and clear of all Liens (other than Permitted Liens), except for restrictions on transferability contained in the Partnership Agreement or as may be affected by Sections 30, 41, 51 and 60 of the Marshall Islands LP Act.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General Partner is the sole general partner of the Partnership and owner of the General Partner Interest; such General Partner Interest has been duly authorized and validly issued in accordance with the Partnership Agreement; and the General Partner owns such General Partner Interest free and clear of all Liens, except for restrictions on transferability contained in the Partnership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4.9.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Except for the representations and warranties set forth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none of the Sponsor Entities, nor any other Person has made or is making any express or implied representation or warranty with respect to the Sponsor Entities or with respect to any other information provided to the Partnership and in connection with the Transactions. Without limiting the generality of the foregoing, none of the Sponsor Entities, nor any other Person will have or be subject to any liability or other obligation to the Partnership or any other Person resulting from the distribution to the Partnership or its Representatives, or the Partnership’s (or its Representatives’) use of any such information, including any information, documents, projections, forecasts or other materials made available to the Partnership in any “data rooms” or management presentations in expectation of the Merger.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COVENANTS AND AGREEMENTS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Preparation of the Proxy Statement and the Schedule 13E-3; Unitholders Meeting.</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As soon as practicable following the date of this Agreement, the Partnership and Parent shall prepare and file with the SEC the Proxy Statement and the Rule 13E-3 transaction statement on Schedule 13E-3 (as amended or supplemented, the “</w:t>
      </w:r>
      <w:r>
        <w:rPr>
          <w:rFonts w:ascii="Times New Roman" w:cs="Times New Roman" w:eastAsia="Times New Roman" w:hAnsi="Times New Roman"/>
          <w:sz w:val="22"/>
          <w:szCs w:val="22"/>
          <w:u w:val="single" w:color="auto"/>
          <w:color w:val="auto"/>
        </w:rPr>
        <w:t>Schedule 13E-3</w:t>
      </w:r>
      <w:r>
        <w:rPr>
          <w:rFonts w:ascii="Times New Roman" w:cs="Times New Roman" w:eastAsia="Times New Roman" w:hAnsi="Times New Roman"/>
          <w:sz w:val="22"/>
          <w:szCs w:val="22"/>
          <w:color w:val="auto"/>
        </w:rPr>
        <w:t>”). The Partnership shall use its commercially reasonable efforts to cause the Proxy Statement to be mailed to the Common Unitholders as promptly as practicable following the date of this Agreement. No filing of, or amendment or supplement to, including by incorporation by reference, the Proxy Statement or the Schedule 13E-3 will be made by any Party without providing the other Parties a reasonable opportunity to 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either the Proxy Statement or the Schedule 13E-3,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jointly prepared and promptly filed with the SEC and, to the extent required by Law, disseminated to the Common Unitholders. The Parties shall notify each other promptly of the receipt of any comments from the SEC or the staff of the SEC and of any request by the SEC or the staff of the SEC for amendments or supplements to either of the Proxy Statement or the Schedule 13E-3 or for additional information and shall supply each other with copies of all correspondence between it or any of its Representatives, on the one hand, and the SEC or the staff of the SEC, on the other hand, with respect to the Proxy Statement and the Schedule 13E-3 or the transactions contemplated by this Agreement.</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Partnership shall, as soon as practicable following the date of this Agreement, establish a record date for, duly call, give notice of, convene and hold a special meeting of the Common Unitholders (the “</w:t>
      </w:r>
      <w:r>
        <w:rPr>
          <w:rFonts w:ascii="Times New Roman" w:cs="Times New Roman" w:eastAsia="Times New Roman" w:hAnsi="Times New Roman"/>
          <w:sz w:val="22"/>
          <w:szCs w:val="22"/>
          <w:u w:val="single" w:color="auto"/>
          <w:color w:val="auto"/>
        </w:rPr>
        <w:t>Unitholders Meeting</w:t>
      </w:r>
      <w:r>
        <w:rPr>
          <w:rFonts w:ascii="Times New Roman" w:cs="Times New Roman" w:eastAsia="Times New Roman" w:hAnsi="Times New Roman"/>
          <w:sz w:val="22"/>
          <w:szCs w:val="22"/>
          <w:color w:val="auto"/>
        </w:rPr>
        <w:t xml:space="preserve">”) for the purpose of obtaining the Unitholder Approval. Subject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the Partnership Board shall, acting upon the Conflicts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Committee Recommendation, make the Partnership Board Recommendation, and the Partnership shall use its commercially reasonable efforts to solicit from the Common Unitholders proxies in favor of the Merger and to take all other action necessary or advisable to secure the Unitholder Approval. The Proxy Statement shall include, subject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the Partnership Board Recommendation. Once the Unitholders Meeting has been called and noticed, the Partnership shall not postpone or adjourn the Unitholders Meeting without the consent of Parent (other than (i) in order to obtain a quorum of the Common Unitholders or (ii) as reasonably determined by the Partnership to comply with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Unitholders Meeting be adjourned or postponed for longer than 10 days without the prior written consent of Parent. In no event shall any matter be submitted to the Common Unitholders at the Unitholders Meeting other than the matters specifically contemplated by this Agreement without the prior written consent of Parent.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Unless this Agreement is validly terminated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Partnership shall submit this Agreement to the Common Unitholders for approval at the Unitholders Meeting even if the Conflicts Committee shall have effected an Adverse Recommendation Change.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Conduct of Business.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unless Parent otherwise expressly consents in writing (such consent not to be unreasonably withheld, conditioned or delayed), the Partnership shall, and shall cause each of its Subsidiaries to, (i) conduct its business in the ordinary course of business consistent with past practice and (ii) to the extent consistent with the foregoing, use commercially reasonable efforts to maintain and preserve intact its business organization, existing relations with key customers, suppliers and other Persons with whom the Partnership or its Subsidiaries have significant business relationships and the goodwill and reputation of the Partnership’s and its Subsidiaries’ respective businesses.</w:t>
      </w:r>
    </w:p>
    <w:p>
      <w:pPr>
        <w:spacing w:after="0" w:line="2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Except as required by applicable Law or Judgment or as expressly required by this Agreement, during the period from the date of this Agreement until the Effective Time (or such earlier date on which this Agreement is validly terminated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unless Parent otherwise expressly consents in writing (such consent not to be unreasonably withheld, conditioned or delayed), the Partnership shall not, and shall cause each of its Subsidiaries not to:</w:t>
      </w:r>
    </w:p>
    <w:p>
      <w:pPr>
        <w:spacing w:after="0" w:line="20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issue, sell, transfer, pledge, dispose of, grant or authorize the issuance, sale, transfer, pledge, disposition or grant of, any Common Units or other equity or voting interests in the Partnership or its Subsidiaries, as applicable, or any securities or rights convertible into, exchangeable or exercisable for, or evidencing the right to subscribe for, any Common Units or other equity or voting interests, or any rights, warrants or options to purchase any shares of its Common Units or other equity or voting interests in the Partnership or its Subsidiaries,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Partnership may issue Common Units or other securities as required pursuant to (A) the issuance of Common Units upon conversion of Class B Units in accordance with the Partnership Agreement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both"/>
        <w:ind w:left="4" w:hanging="4"/>
        <w:spacing w:after="0" w:line="238" w:lineRule="auto"/>
        <w:tabs>
          <w:tab w:leader="none" w:pos="3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vesting or settlement of Partnership Awards outstanding on the date of this Agreement in accordance with the terms of the applicable Partnership Award in effect on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Subsidiaries of the Partnership may make any such sales, issuances, transfers, pledges, dispositions or grants to the Partnership or a direct or indirect wholly owned Subsidiary of the Partnership;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 doubt, the Partnership may cancel Preference Units following the redemption or repurchase of such Preference Units;</w:t>
      </w:r>
    </w:p>
    <w:p>
      <w:pPr>
        <w:spacing w:after="0" w:line="204" w:lineRule="exact"/>
        <w:rPr>
          <w:sz w:val="20"/>
          <w:szCs w:val="20"/>
          <w:color w:val="auto"/>
        </w:rPr>
      </w:pPr>
    </w:p>
    <w:p>
      <w:pPr>
        <w:jc w:val="both"/>
        <w:ind w:left="4" w:firstLine="648"/>
        <w:spacing w:after="0" w:line="236"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redeem, purchase or otherwise acquire, directly or indirectly, any outstanding Common Units or other equity or voting interests of the Partnership or its Subsidiaries or any rights, warrants or options to acquire any Common Units or other equity or voting interests of the Partnership or its Subsidiaries, except (A) pursuant to the Partnership Awards outstanding on the date of this Agreement in accordance with the terms of the applicable Partnership Award, (B) in connection with the satisfaction of Tax withholding obligations with respect to Partnership Awards or (C) that the Partnership may purchase or redeem Preference Units;</w:t>
      </w:r>
    </w:p>
    <w:p>
      <w:pPr>
        <w:spacing w:after="0" w:line="208"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establish a record date for, declare, set aside for payment or pay any dividend on, or make any other distribution in respect of, any Common Units or other equity or voting interests of, or other securities or obligations convertible (whether currently convertible or convertible only after the passage of time or the occurrence of specific events) into or exchangeable for any equity interests of the Partnership or any of its Subsidiaries, in each case, other than</w:t>
      </w:r>
    </w:p>
    <w:p>
      <w:pPr>
        <w:spacing w:after="0" w:line="3" w:lineRule="exact"/>
        <w:rPr>
          <w:sz w:val="20"/>
          <w:szCs w:val="20"/>
          <w:color w:val="auto"/>
        </w:rPr>
      </w:pPr>
    </w:p>
    <w:p>
      <w:pPr>
        <w:jc w:val="both"/>
        <w:ind w:left="4" w:hanging="4"/>
        <w:spacing w:after="0" w:line="234" w:lineRule="auto"/>
        <w:tabs>
          <w:tab w:leader="none" w:pos="38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quarterly cash distributions not to exceed $0.01 per Common Unit in each case consistent with customary declaration, record and payment dates consistent with past practice and, with respect to Preference Units, in accordance with their terms or (B) dividends or distributions from wholly owned Subsidiaries of the Partnership to other wholly owned Subsidiaries of the Partnership or to the Partnership;</w:t>
      </w:r>
    </w:p>
    <w:p>
      <w:pPr>
        <w:spacing w:after="0" w:line="204"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split, combine, subdivide or reclassify any Common Units or other equity or voting interests of the Partnership or any non-wholly owned Subsidiaries of the Partnership;</w:t>
      </w:r>
    </w:p>
    <w:p>
      <w:pPr>
        <w:spacing w:after="0" w:line="185" w:lineRule="exact"/>
        <w:rPr>
          <w:sz w:val="20"/>
          <w:szCs w:val="20"/>
          <w:color w:val="auto"/>
        </w:rPr>
      </w:pPr>
    </w:p>
    <w:p>
      <w:pPr>
        <w:jc w:val="both"/>
        <w:ind w:left="4" w:right="20" w:firstLine="648"/>
        <w:spacing w:after="0" w:line="244"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amend the Partnership Charter Documents or (B) amend in any material respect the comparable Charter Documents of any of the Subsidiaries of the Partnership in a manner that would reasonably be expected to prevent or to impede, interfere with, hinder or delay in any material respect the consummation of the Transactions;</w:t>
      </w:r>
    </w:p>
    <w:p>
      <w:pPr>
        <w:spacing w:after="0" w:line="200" w:lineRule="exact"/>
        <w:rPr>
          <w:sz w:val="20"/>
          <w:szCs w:val="20"/>
          <w:color w:val="auto"/>
        </w:rPr>
      </w:pPr>
    </w:p>
    <w:p>
      <w:pPr>
        <w:jc w:val="both"/>
        <w:ind w:left="4" w:firstLine="648"/>
        <w:spacing w:after="0" w:line="271"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adopt a plan or agreement of complete or partial liquidation or dissolution, merger, amalgamation, consolidation, restructuring, recapitalization or other reorganization of the Partnership or any of its Subsidiaries (other than dormant Subsidiaries or, with respect to any merger, amalgamation or consolidation, other than among the Partnership and any wholly owned Subsidiary of the Partnership or among wholly owned Subsidiaries of the Partnership);</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sell, lease or dispose of any portion of its assets, business or properties other than in the ordinary course of business consistent with past practice (including</w:t>
      </w: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55" w:right="339" w:bottom="1440"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distributions permitted under </w:t>
      </w:r>
      <w:r>
        <w:rPr>
          <w:rFonts w:ascii="Times New Roman" w:cs="Times New Roman" w:eastAsia="Times New Roman" w:hAnsi="Times New Roman"/>
          <w:sz w:val="22"/>
          <w:szCs w:val="22"/>
          <w:u w:val="single" w:color="auto"/>
          <w:color w:val="auto"/>
        </w:rPr>
        <w:t>Section 5.2(b)(iii)</w:t>
      </w:r>
      <w:r>
        <w:rPr>
          <w:rFonts w:ascii="Times New Roman" w:cs="Times New Roman" w:eastAsia="Times New Roman" w:hAnsi="Times New Roman"/>
          <w:sz w:val="22"/>
          <w:szCs w:val="22"/>
          <w:color w:val="auto"/>
        </w:rPr>
        <w:t>) or (B) acquire, by merger or otherwise, or lease any assets or all or any portion of the business or property of any other entity other than in the ordinary course of business consistent with past practice;</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convert from a limited partnership or limited liability company (as applicable), as the case may be, to any other business entity;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in the ordinary course of business consistent with past practice, enter into, adopt, agree to, amend, modify or terminate any collective bargaining agreement or other Contract with any labor union, works council or other labor organization;</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as required under the terms of any compensation or benefit plan, Contract or agreement as in effect as of the date hereof and provided to Parent (A) enter into, adopt, agree to, amend, modify or terminate any compensation or benefit plan, policy, program, Contract, agreement or arrangement, (B) grant, announce or increase, or commit to grant, announce or increase, any cash or equity or equity-based incentive, bonus, retention, severance or similar compensation or (C) accelerate or commit to accelerate the funding, payment or vesting of the benefits or compensation payable to any current or former employee, officer, director or individual independent contractor of the Partnership or any of its Subsidiaries;</w:t>
      </w:r>
    </w:p>
    <w:p>
      <w:pPr>
        <w:spacing w:after="0" w:line="21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(xi)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modify, amend, terminate or assign, or waive or assign any rights under, any Material Contract in a manner that is materially adverse to Parent and its Subsidiaries, taken as a whole, or which would have a Partnership Material Adverse Effect;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(xii)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waive, release, assign, settle or compromise any Proceeding, including any state or federal regulatory Proceeding, seeking damages or injunction or other equitable relief, which is (A) material to the Partnership and its Subsidiaries, taken as a whole, or (B) a Proceeding relating to the Transactions;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(xiii)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other than in the ordinary course of business consistent with past practice, (A) incur, assume, guarantee or otherwise become liable for any indebtedness (directly, contingently or otherwise), other than any borrowings under the Partnership’s credit facilities in existence as of the date of this Agreement, (B) create any Lien on its property or the property of its Subsidiaries to secure indebtedness or (C) enter into any Contract having the economic effect of any of the foregoing;</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(xiv)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 change in any material respect any of its express or deemed elections relating to Taxes, including elections for any and all joint ventures, partnerships, limited liability companies or other investments where it has the capacity to make such binding election, (B) settle or compromise any material Proceeding relating to Taxes or (C)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7" w:name="page28"/>
    <w:bookmarkEnd w:id="27"/>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(xv)</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knowingly take any action that is intended or is reasonably likely to result in (A) any of its representations and warranties set forth in this Agreement being or becoming untrue in any material respect at the Closing Date, (B) any of the conditions to the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not being satisfied, (C) any material delay or prevention of the consummation of the Merger or (D) a material violation of any provision of this Agreement; 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(xvi)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authorize any of, or commit or agree, in writing or otherwise, to take any of, the foregoing actions.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herein, the Partnership may, and may permit or cause any Subsidiary of the Partnership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the Partnership shall promptly notify Parent of any such emergency situation or COVID-19 Measure to the extent it involves any immediate and material threat to the health or safety of natural Persons, property, Vessels or the environment and any actions taken in response thereto.</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herein, during the period from the date of this Agreement until the Effective Time, if permitted by applicable Law, the Partnership shall declare and pay regular quarterly cash distributions to the holders of each of the Common Units, the Series A Preference Units, the Series B Preference Units and the Series C Preference Units, respectively, consistent with past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regular quarterly cash distributions declared or paid by Partnership to the holders of Common Units be less than $0.01 per Common Unit.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Solicitation; Adverse Recommendation Change.</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Partnership shall not, and the Partnership shall cause its Subsidiaries and use its commercially reasonable efforts to cause its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any (A) 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thereof) or to which 20% or more of the Partnership’s revenues or earnings on a consolidated basis are attributable, (B) direct or indirect acquisition (whether in a single transaction or a series of related transactions) of beneficial ownership (within the meaning of Section 13 under the Exchange Act) of any class of equity securities of the Partnership or (C) tender offer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22"/>
          <w:szCs w:val="22"/>
          <w:color w:val="auto"/>
        </w:rPr>
        <w:t>exchange offer that if consummated would result in any Person or “group” (as defined in Section 13(d) of the Exchange Act) beneficially owning any class of equity securities of the Partnership (each, an “</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other than the transactions contemplated hereby and other than in the ordinary course of business.</w:t>
      </w:r>
    </w:p>
    <w:p>
      <w:pPr>
        <w:spacing w:after="0" w:line="2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permitted by </w:t>
      </w:r>
      <w:r>
        <w:rPr>
          <w:rFonts w:ascii="Times New Roman" w:cs="Times New Roman" w:eastAsia="Times New Roman" w:hAnsi="Times New Roman"/>
          <w:sz w:val="20"/>
          <w:szCs w:val="20"/>
          <w:u w:val="single" w:color="auto"/>
          <w:color w:val="auto"/>
        </w:rPr>
        <w:t>Section 5.3(c)</w:t>
      </w:r>
      <w:r>
        <w:rPr>
          <w:rFonts w:ascii="Times New Roman" w:cs="Times New Roman" w:eastAsia="Times New Roman" w:hAnsi="Times New Roman"/>
          <w:sz w:val="20"/>
          <w:szCs w:val="20"/>
          <w:color w:val="auto"/>
        </w:rPr>
        <w:t xml:space="preserve">, the Partnership shall not, and shall cause its Subsidiaries and use its commercially reasonable efforts to cause its Representatives not to, directly or indirectly (i) withdraw, modify or qualify, or propose publicly to withdraw, modify or qualify, in a manner adverse to Parent, the Partnership Board Recommendation or (ii) fail to include the Partnership Board Recommendation in the Proxy Statement (the taking of any action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w:t>
      </w:r>
    </w:p>
    <w:p>
      <w:pPr>
        <w:spacing w:after="0" w:line="3" w:lineRule="exact"/>
        <w:rPr>
          <w:sz w:val="20"/>
          <w:szCs w:val="20"/>
          <w:color w:val="auto"/>
        </w:rPr>
      </w:pPr>
    </w:p>
    <w:p>
      <w:pPr>
        <w:jc w:val="both"/>
        <w:ind w:firstLine="8"/>
        <w:spacing w:after="0" w:line="234" w:lineRule="auto"/>
        <w:tabs>
          <w:tab w:leader="none" w:pos="358"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being referred to as an “</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Without limiting the foregoing, it is understood that any violation of the foregoing restrictions by the Partnership’s Subsidiaries, or the Partnership’s Representatives, other than any violation caused by or at the direction of Parent or by any of its Affiliates or Representatives acting on Parent’s behalf, shall be deemed to be a breach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by the Partnership.</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in this Agreement, at any time prior to obtaining the Unitholder Approval, and subject to compliance in all material respects with this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 xml:space="preserve">, the Conflicts Committee may make an Adverse Recommendation Change on behalf of the Partnership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may not effect an Adverse Recommendation Change unless:</w:t>
      </w:r>
    </w:p>
    <w:p>
      <w:pPr>
        <w:spacing w:after="0" w:line="207"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Conflicts Committee determines in good faith, after consultation with its outside legal counsel, that failure to effect an Adverse Recommendation Change would be adverse to the interests of the Unaffiliated Unitholders or would otherwise be a breach of its duties under the Partnership Agreement and applicable Law;</w:t>
      </w:r>
    </w:p>
    <w:p>
      <w:pPr>
        <w:spacing w:after="0" w:line="200"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Conflicts Committee has provided prior written notice to Parent at least five days in advance of its intention to take such action, unless at the time such notice is otherwise required to be given there are less than five days prior to the Unitholders Meeting, in which case the Conflicts Committee shall provide as much notice as is practicable (the period inclusive of all such days, the “</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and</w:t>
      </w:r>
    </w:p>
    <w:p>
      <w:pPr>
        <w:spacing w:after="0" w:line="20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during the Partnership Notice Period, the Conflicts Committee has negotiated, and has directed its financial advisors and outside legal counsel to negotiate, with Parent in good faith (to the extent Parent desires to negotiate) to make such adjustments in the terms and conditions of this Agreement so that the failure to effect such Adverse Recommendation Change would not be adverse to the interests of the Unaffiliated Unitholders or would not otherwise be a breach of its duties under the Partnership Agreement and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shall take into account all changes to the terms of this Agreement proposed by Parent in determining whether to make an Adverse Recommendation Change.</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addition to the other obligations of the Partnership set forth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the Partnership shall promptly advise Parent, orally and in writing, and in no event later than forty-eight hours after receipt, if any proposal, offer, inquiry or other contact is received by, any information is requested from, or any discussions or negotiations are sought to be initiated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jc w:val="both"/>
        <w:spacing w:after="0" w:line="234" w:lineRule="auto"/>
        <w:rPr>
          <w:sz w:val="20"/>
          <w:szCs w:val="20"/>
          <w:color w:val="auto"/>
        </w:rPr>
      </w:pPr>
      <w:r>
        <w:rPr>
          <w:rFonts w:ascii="Times New Roman" w:cs="Times New Roman" w:eastAsia="Times New Roman" w:hAnsi="Times New Roman"/>
          <w:sz w:val="22"/>
          <w:szCs w:val="22"/>
          <w:color w:val="auto"/>
        </w:rPr>
        <w:t>continued with, the Partnership in respect of any Acquisition Proposal, and shall, in any such notice to Parent, indicate the identity of the Person making such proposal, offer, inquiry or other contact and the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promptly (and in no event later than forty-eight (48) hours) informed of all material developments affecting the status and terms of any such proposals, offers, inquiries or requests (and the Partnership shall promptly (and in no event later than forty-eight (48) hours) provide Parent with copies of any additional written materials received by the Partnership or that the Partnership has delivered to any third party making an Acquisition Proposal that relate to such proposals, offers, inquiries or requests) and of the status of any such discussions or negotiations.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Commercially Reasonable Efforts.</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and upon the terms and conditions of this Agreement, each of the Parties shall cooperate with the other Parties and use (and shall cause their respective Subsidiaries to use) their respective commercially reasonable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applicable to such Party to be satisfied as promptly as reasonably practicable (and in any event no later than the Outside Date) and to consummate and make effective, in the most expeditious manner reasonably practicable, the Transactions, including (A) preparing and filing promptly and fully all documentation to effect all necessary filings, notifications, notices, petitions, statements, registrations, submissions of information, applications and other documents and (B) executing and delivering any additional instruments necessary to consummate the Transactions, (ii) obtain all Consents from any Governmental Authority or third party necessary, proper or advisable to consummate the Transactions, including any such Consents required under applicable Antitrust Laws, (iii) take all steps that are necessary, proper or advisable to avoid any Proceeding by any Governmental Authorities with respect to this Agreement or the Transactions and (iv) defend or contest in good faith any Proceeding by any third party, whether judicial or administrative, challenging this Agreement or that could otherwise prevent or impede, interfere with, hinder or delay in any material respect the consummation of the Transactions.</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and upon the terms and conditions of this Agreement, the Partnership and Parent shall each use its commercially reasonable efforts to (i) take all action necessary to ensure that no “fair price”, “moratorium”, “control share acquisition” or other similar anti-takeover statute or similar statute or regulation (each, a “</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is or becomes applicable to any of the Transactions or this Agreement and refrain from taking any actions that would cause the applicability of such Laws and (ii) if the restrictions of any Takeover Law become applicable to any of such Transactions, take all action necessary to ensure that such Transactions may be consummated as promptly as practicable on the terms contemplated by this Agreement and otherwise lawfully minimize the effect of such Takeover Law on such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The Sponsor Entities and the Partnership shall consult with each other before issuing, and give each other the reasonable opportunity to review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to the extent related to any actual or contemplated litigation between or among the Parties. The Parties agree that the initial press release to be issued with respect to the Transactions following execution of this Agreement shall be in a form reasonably agreed to by the Parties. Notwithstanding the foregoing, the Sponsor Entities and the Partnership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Access to Information.</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Upon reasonable notice and subject to applicable Laws relating to the exchange of information, the Partnership shall, and shall cause each of its Subsidiaries to, afford to Parent and its Representatives reasonable access during normal business hours (and, with respect to books and records, the right to copy) to all of its and its Subsidiaries’ properties, commitments, books, Contracts, records and correspondence (in each case, whether in physical or electronic form), officers, employees, accountants, counsel, financial advisors and other Representatives. Each Party shall furnish promptly to each other Party a copy of each report, schedule and other document filed or submitted by it pursuant to the requirements of federal or state securities Laws and a copy of any communication (including “comment letters”) received by such Party from the SEC concerning compliance with securities Laws.</w:t>
      </w:r>
    </w:p>
    <w:p>
      <w:pPr>
        <w:spacing w:after="0" w:line="2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shall not require either Party to permit any access, or to disclose any information, that in the reasonable, good-faith judgment (after consultation with counsel) of such Party would reasonably be expected to result in (i) any violation of any contract or Law to which such Party or its Subsidiaries is a party or is subject or cause any privilege (including attorney-client privilege) that such Party or any of its Subsidiaries would be entitled to assert to be undermined with respect to such information and such undermining of such privilege could in such Party’s good-faith judgment (after consultation with counsel) adversely affect in any material respect such Party’s position in any pending or, what such Party believes in good faith (after consultation with counsel) could be, future litigation, or (ii) if such Party or any of its Subsidiaries, on the one hand, and each other Party or any of their Subsidiaries, on the other hand, are adverse parties in a litigation, such information being reasonably pertinent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the Parties shall cooperate in seeking to find a way to allow disclosure of such information (including by entering into a joint-defense or similar agreement) to the extent doing so (A) would not (in the good-faith belief of the Party being requested to disclose the information (after consultation with counsel)) reasonably be likely to result in the violation of any such contract or Law or reasonably be likely to cause such privilege to be undermined with respect to such information or (B) could reasonably (in the good-faith belief of the Party being requested to disclose the information (after consultation with counsel)) be managed through the use of customary “clean-room” arrangements pursuant to which appropriately designated Representatives of each other Party shall be provided access to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that the Party being requested to disclose the information shall (1) notify each other Party that such disclosures are reasonably likely to violate its or its Subsidiaries’ obligations under any such contract or Law or are reasonably likely to cause such privilege to be undermined, (2) communicate to each other Party in reasonable detail the facts giving rise to such notification and the subject matter of such information (to the extent it is able to do so in accordance with the first proviso in this </w:t>
      </w:r>
      <w:r>
        <w:rPr>
          <w:rFonts w:ascii="Times New Roman" w:cs="Times New Roman" w:eastAsia="Times New Roman" w:hAnsi="Times New Roman"/>
          <w:sz w:val="21"/>
          <w:szCs w:val="21"/>
          <w:u w:val="single" w:color="auto"/>
          <w:color w:val="auto"/>
        </w:rPr>
        <w:t>Section 5.6(b)</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jc w:val="both"/>
        <w:ind w:right="20" w:firstLine="8"/>
        <w:spacing w:after="0" w:line="235" w:lineRule="auto"/>
        <w:tabs>
          <w:tab w:leader="none" w:pos="31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such disclosures are reasonably likely to violate its or its Subsidiaries’ obligations under any Contract, use commercially reasonable efforts to seek consent from the applicable third party to any such contract with respect to the disclosures prohibited thereby (to the extent not otherwise expressly prohibited by the terms of such Contract).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 investigation, or information received, pursuant to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will modify any of the representations and warranties of the Parties.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Subject to the terms and conditions of this Agreement, each of Parent and Merger Sub will not, without the prior written consent of the Partnership (such consent not to be unreasonably withheld, delayed or conditioned), effect or permit any amendment or modification to be made to, or any waiver of any provision or remedy pursuant to, the Debt Commitment Letter if such amendment, modification or waiver would (i) reduce the aggregate amount of the Debt Financing to an amount that is less than the amount that would be required, when taken together with cash on hand of Parent and its Subsidiaries and other sources of funds available to Parent and Merger Sub on the Closing Date (including any amounts to be received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to pay the aggregate Merger Consideration and any other amount required to be paid by Parent or Merger Sub in connection with the consummation of the Transactions, (ii) impose additional conditions or otherwise expand, amend or modify any of the conditions to the receipt of the Debt Financing or any other terms to the Debt Financing in a manner that would reasonably be expected to prevent or materially delay the Closing Date or (iii) adversely impact the ability of Parent to enforce its rights against the Debt Financing Sources under the Debt Commitment Letter.</w:t>
      </w:r>
    </w:p>
    <w:p>
      <w:pPr>
        <w:spacing w:after="0" w:line="21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the terms and conditions set forth herein, prior to the Effective Time, Parent shall use, or cause Merger Sub to use, its commercially reasonable efforts to take, or cause to be taken, all actions and to do, or cause to be done, all things necessary, proper and advisable to consummate and obtain the Debt Financing on the terms and conditions described in the Debt Commitment Letter, including using its commercially reasonable efforts to (i) maintain in effect the Debt Commitment Letter, (ii) satisfy on a timely basis all conditions to funding that are applicable to Parent and Merger Sub in the Debt Commitment Letter that are within its control, (iii) consummate the Debt Financing at or prior to the Closing, (iv) comply with its obligations pursuant to the Debt Commitment Letter and (v) enforce its rights pursuant to the Debt Commitment Letter.</w:t>
      </w:r>
    </w:p>
    <w:p>
      <w:pPr>
        <w:spacing w:after="0" w:line="18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the event that any portion of the Debt Financing becomes unavailable, Parent shall (i) promptly notify the Partnership in writing of such unavailability and the reason therefor and (ii) use its commercially reasonable efforts to (A) obtain as promptly as practicable debt financing from alternative sources (the “</w:t>
      </w:r>
      <w:r>
        <w:rPr>
          <w:rFonts w:ascii="Times New Roman" w:cs="Times New Roman" w:eastAsia="Times New Roman" w:hAnsi="Times New Roman"/>
          <w:sz w:val="22"/>
          <w:szCs w:val="22"/>
          <w:u w:val="single" w:color="auto"/>
          <w:color w:val="auto"/>
        </w:rPr>
        <w:t>Alternative Debt Financing</w:t>
      </w:r>
      <w:r>
        <w:rPr>
          <w:rFonts w:ascii="Times New Roman" w:cs="Times New Roman" w:eastAsia="Times New Roman" w:hAnsi="Times New Roman"/>
          <w:sz w:val="22"/>
          <w:szCs w:val="22"/>
          <w:color w:val="auto"/>
        </w:rPr>
        <w:t>”) in an amount sufficient, when taken together with cash on hand of Parent and its Subsidiaries and other sources of funds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available to Parent and Merger Sub on the Closing Date (including any amounts to be received pursuant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to pay the aggregate Merger Consideration and any other amount required to be paid by Parent or Merger Sub in connection with the consummation of the Transactions and that do not include any conditions to the consummation of such alternative debt financing that are more onerous than the conditions set forth in the Debt Commitment Letter and (B) obtain, and, when obtained, provide the Partnership with a copy of, a new financing commitment that provides for such Alternative Debt Financing (the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If applicable, any reference in this Agreement to the term “Debt Commitment Letter” shall be deemed to include any such Alternative Debt Commitment Letter and any fee letter referred to in such Alternative Debt Commitment Letter and any reference in this Agreement to the term “Debt Financing” shall be deemed to include any such Alternative Debt Financing.</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Partnership shall, and shall cause its Subsidiaries to, and shall use its commercially reasonable efforts to cause its and its Subsidiaries’ respective Representatives to, cooperate with Parent as necessary in connection with the arrangement, syndication and consummation of the Debt Financing as may be reasonably requested by Parent, including: (i) participation by members of management and other Representatives of the Partnership in a reasonable number of meetings, conference calls, presentations and due diligence sessions in connection with the Debt Financing; (ii) assisting Parent and the Debt Financing Sources in the preparation of customary bank information memoranda (including, to the extent reasonably requested, an additional bank information memorandum that does not include material non-public information), lender presentations or other marketing and syndication documents and materials customarily used to arrange financings of the type contemplated by the Debt Commitment Letter and otherwise reasonably cooperating with the marketing efforts of Parent and the Debt Financing Sources for any portion of the Debt Financing; (iii) delivering customary representation and authorization letters with respect to information in respect of the Partnership and its Subsidiaries contained in the bank information memoranda and other similar documents; (iv) using commercially reasonable efforts to ensure that the Debt Financing Sources benefit materially from the existing lending relationships of the Partnership and its Subsidiaries; (v) furnishing Parent as promptly as practicable with any financial and other information regarding the Partnership and its Subsidiaries as is reasonably requested by Parent or the Debt Financing Sources in connection with the Debt Financing; (vi) assisting in the preparation of, and executing and delivering, certificates and other documents as may be necessary in connection with the definitive agreements for the Debt Financing; (vii) furnishing Parent and the Debt Financing Sources with all documentation and information regarding the Partnership and its Subsidiaries that any Debt Financing Source reasonably determines is required under applicable “know your customer” and anti-money laundering rules and regulations; (viii) facilitating the pledging of collateral, as contemplated by the Debt Commitment Letter, substantially concurrently with the Closing and (ix) cooperating with the Debt Financing Sources’ requests for due diligence to the extent customary and reasonable;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this </w:t>
      </w:r>
      <w:r>
        <w:rPr>
          <w:rFonts w:ascii="Times New Roman" w:cs="Times New Roman" w:eastAsia="Times New Roman" w:hAnsi="Times New Roman"/>
          <w:sz w:val="20"/>
          <w:szCs w:val="20"/>
          <w:u w:val="single" w:color="auto"/>
          <w:color w:val="auto"/>
        </w:rPr>
        <w:t>Section 5.7(d)</w:t>
      </w:r>
      <w:r>
        <w:rPr>
          <w:rFonts w:ascii="Times New Roman" w:cs="Times New Roman" w:eastAsia="Times New Roman" w:hAnsi="Times New Roman"/>
          <w:sz w:val="20"/>
          <w:szCs w:val="20"/>
          <w:color w:val="auto"/>
        </w:rPr>
        <w:t xml:space="preserve"> will require any such cooperation to the extent that it would (A) require the Partnership to pay any fees or reimburse any expenses with respect to or in connection with the Debt Financing prior to the Closing for which it has not received prior reimbursement, (B) require the Partnership to approve or enter into any certificate, agreement, arrangement, document or instrument with respect to or in connection with the Debt Financing that would be effective prior to the Closing (except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representation and authorization letters referred to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(C) unreasonably interfere with the ongoing business operations of the Partnership and its Subsidiaries, (D) cause any Representative of the Partnership or any of its Subsidiaries to incur any personal liability, (E) provide access to or disclose information if the Partnership reasonably determines that providing such access to or disclosing such information would result in a loss of the ability of the Partnership to successfully assert a claim of privilege (including, without limitation, the attorney-client and work product privileges);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under any circumstance described in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the Partnership shall cooperate with Parent to implement a solution to permit the access to the applicable information generally contemplated by this </w:t>
      </w:r>
      <w:r>
        <w:rPr>
          <w:rFonts w:ascii="Times New Roman" w:cs="Times New Roman" w:eastAsia="Times New Roman" w:hAnsi="Times New Roman"/>
          <w:sz w:val="22"/>
          <w:szCs w:val="22"/>
          <w:u w:val="single" w:color="auto"/>
          <w:color w:val="auto"/>
        </w:rPr>
        <w:t>Section 5.7(d)</w:t>
      </w:r>
      <w:r>
        <w:rPr>
          <w:rFonts w:ascii="Times New Roman" w:cs="Times New Roman" w:eastAsia="Times New Roman" w:hAnsi="Times New Roman"/>
          <w:sz w:val="22"/>
          <w:szCs w:val="22"/>
          <w:color w:val="auto"/>
        </w:rPr>
        <w:t xml:space="preserve">, (F) include any actions that the Partnership reasonably believes would (1) result in a violation of any organizational document of the Partnership or any of its Subsidiaries, any Material Contract or any Law or (2) cause any representation, warranty, covenant or other obligation in this Agreement to be breached or any condition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fail to be satisfied or (G) require the Partnership to prepare any financial statement or information that is not available to it and is not prepared in the ordinary course of its financial reporting practice. The Partnership hereby consents to the use of the Partnership’s logos in connection with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logos are used solely in a manner that is not intended, or reasonably likely, to harm or disparage the Partnership or any of its Subsidiaries or the reputation or the goodwill of the Partnership or any of its Subsidiaries.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Section 5.8.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Notification of Certain Matters.</w:t>
      </w:r>
      <w:r>
        <w:rPr>
          <w:rFonts w:ascii="Times New Roman" w:cs="Times New Roman" w:eastAsia="Times New Roman" w:hAnsi="Times New Roman"/>
          <w:sz w:val="20"/>
          <w:szCs w:val="20"/>
          <w:color w:val="auto"/>
        </w:rPr>
        <w:t xml:space="preserve"> The Partnership shall give prompt notice to Parent, and Parent shall give prompt notice to the Partnership, of (a) any notice or other communication received by such Party from any Governmental Authority in connection with the Transactions or from any Person alleging that the consent of such Person is or may be required in connection with the transactions contemplated hereby, if the subject matter of such communication or the failure of such Party to obtain such consent is reasonably likely to be material to the Partnership or Parent, (b) any Proceedings commenced or, to such Party’s Knowledge, threatened against, relating to or involving or otherwise affecting such Party or any of its Subsidiaries and that relate to the Transactions, (c) the discovery of any fact or circumstance that, or the occurrence or non-occurrence of any event the occurrence or nonoccurrence of which, would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(d) any material failure of such Party to comply with or satisfy any covenant or agreement to be complied with or satisfied by it hereby which would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the failure to comply with this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shall not result in the failure to be satisfied of any of the conditions to the Closing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give rise to any right to terminate this Agreement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if the underlying fact, circumstance, event or failure would not in and of itself give rise to such failure or right.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Indemnification and Insurance.</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means any Person who is now, or has been or becomes at any time prior to the Effective Time, an officer or director of the Partnership or any of its Subsidiaries, and also with respect to any such Indemnified Person, in his or her capacity as a director, officer, employee, member, trustee or fiduciary of another corporation, foundation, partnership, joint venture, trust, pension or other employee benefit plan or enterprise (whether or not such other entity or enterprise is affiliated with the Partnership)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2"/>
          <w:szCs w:val="22"/>
          <w:color w:val="auto"/>
        </w:rPr>
        <w:t>serving at the request of or on behalf of the Partnership or any of its Subsidiaries, together with such Indemnified Person’s heirs, executors or administrators.</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From and after the Effective Time, to the fullest extent that the Partnership (as the Surviving Entity) or any applicable Subsidiary thereof would be permitted to indemnify an Indemnified Person, Parent shall, or shall cause the Surviving Entity to, (i) indemnify and hold harmless against any cost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an Indemnified Person is or was a director or officer of the Partnership or any of its Subsidiaries or (ii) acts or omissions by an Indemnified Person in the Indemnified Person’s capacity as a director or officer of the Partnership or any of its Subsidiaries or taken at the request of the Partnership or nay of its Subsidiaries, in each case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at or any time prior to the Effective Time, and provide advancement promptly, and in any event within 10 days after any written request, of expenses with respect to each of the foregoing to, all Indemnified Persons to the fullest extent permitted under applicable Law and (ii) honor the provisions regarding elimination of liability of directors, indemnification of officers and directors and advancement of expenses contained in the Partnership Agreement and the Charter Documents of any applicable Subsidiary thereof immediately prior to the Effective Time and ensure that the organizational documents of the Surviving Entity and its Subsidiaries shall,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Charter Documents. Any right of indemnification of an Indemnified Person pursuant to this </w:t>
      </w:r>
      <w:r>
        <w:rPr>
          <w:rFonts w:ascii="Times New Roman" w:cs="Times New Roman" w:eastAsia="Times New Roman" w:hAnsi="Times New Roman"/>
          <w:sz w:val="22"/>
          <w:szCs w:val="22"/>
          <w:u w:val="single" w:color="auto"/>
          <w:color w:val="auto"/>
        </w:rPr>
        <w:t>Section 5.9(b)</w:t>
      </w:r>
      <w:r>
        <w:rPr>
          <w:rFonts w:ascii="Times New Roman" w:cs="Times New Roman" w:eastAsia="Times New Roman" w:hAnsi="Times New Roman"/>
          <w:sz w:val="22"/>
          <w:szCs w:val="22"/>
          <w:color w:val="auto"/>
        </w:rPr>
        <w:t xml:space="preserve"> shall not be amended, repealed or otherwise modified at any time in a manner that would adversely affect the rights of such Indemnified Person as provided herein.</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Surviving Entity shall maintain in effect for three years from the Effective Time (the “</w:t>
      </w:r>
      <w:r>
        <w:rPr>
          <w:rFonts w:ascii="Times New Roman" w:cs="Times New Roman" w:eastAsia="Times New Roman" w:hAnsi="Times New Roman"/>
          <w:sz w:val="22"/>
          <w:szCs w:val="22"/>
          <w:u w:val="single" w:color="auto"/>
          <w:color w:val="auto"/>
        </w:rPr>
        <w:t>Initial Coverage Period</w:t>
      </w:r>
      <w:r>
        <w:rPr>
          <w:rFonts w:ascii="Times New Roman" w:cs="Times New Roman" w:eastAsia="Times New Roman" w:hAnsi="Times New Roman"/>
          <w:sz w:val="22"/>
          <w:szCs w:val="22"/>
          <w:color w:val="auto"/>
        </w:rPr>
        <w:t>”) the Partnership’s current directors’ and officers’ liability insurance policies covering acts or omissions occurring at or prior to the Effective Time with respect to Indemnified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the written consent of Parent obtained prior to the Effective Time, the Surviving Entity may substitute therefor policies with reputable carriers of at least the same coverage containing terms and conditions that are no less favorable to the Indemnified Persons);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the Surviving Entity be required to expend pursuant to the first sentence of this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 xml:space="preserve"> more than an amount per year equal to 200% of current annual premiums paid by the Partnership for such insurance (the “</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In the event that, but for the proviso to the immediately preceding sentence, the Surviving Entity would be required to expend more than the Maximum Amount, the Surviving Entity shall obtain the maximum amount of such insurance as is available for the Maximum Amount. If the Partnership elects, then, in lieu of the obligations of the Surviving Entity under the first sentence of this Section 5.9(c), the Partnership may, prior to the Effective Time, purchase a “tail policy” with respect to acts or omissions occurring or alleged to have occurred prior to the Effective Time that were committed or alleged to have been committed by such Indemnified Persons in their capacity as such;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cost of the “tail policy” shall be borne by the Surviving Entity and in no event shall the cost of such policy exceed the Maximum Amount.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22"/>
          <w:szCs w:val="22"/>
          <w:color w:val="auto"/>
        </w:rPr>
        <w:t>addition, the Surviving Entity shall maintain in effect for three years following the Initial Coverage Period directors’ and officers’ liability insurance policies, covering acts or omissions occurring at or prior to the Effective Time with respect to Indemnified Persons, with reputable carriers and with coverage containing terms and conditions that are no less favorable to the Indemnified Persons than the directors’ and officers’ liability insurance policies then-maintained for the directors and officers of Parent (and in any event providing for not less than $40,000,000 of coverage).</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rights of any Indemnified Person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be in addition to any other rights such Indemnified Person may have under the Partnership Agreement, the Charter Documents of any Subsidiary of the Partnership, the Marshall Islands LP Act or the Marshall Islands LLC Act. The provisions of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survive the consummation of the Transactions for a period of six years and are expressly intended to benefit each of the Indemnified Persons and their respective heirs and representatives;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that any claim or claims for indemnification or advancement set forth in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are asserted or made within such six-year period, all rights to indemnification and advancement in respect of any such claim or claims shall continue until disposition of all such claims. If the Surviving Entity (i) consolidates with or merges into any other Person or (ii) transfers or conveys all or substantially all of its businesses or assets to any other Person, then, in each such case, to the extent necessary, a proper provision shall be made so that the successors and assigns of the Surviving Entity shall assume the obligations of the Surviving Entity set forth in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Securityholder Litigation.</w:t>
      </w:r>
      <w:r>
        <w:rPr>
          <w:rFonts w:ascii="Times New Roman" w:cs="Times New Roman" w:eastAsia="Times New Roman" w:hAnsi="Times New Roman"/>
          <w:sz w:val="22"/>
          <w:szCs w:val="22"/>
          <w:color w:val="auto"/>
        </w:rPr>
        <w:t xml:space="preserve"> The Partnership shall give Parent prompt notice and the opportunity to lead the joint defense or settlement of any securityholder litigation against the Partnership, the General Partner or their respective officers and/or directors relating to the Merger and the other Transactions, and no such settlement shall be agreed to without the prior written consent of Parent, which consent shall not be unreasonably withheld, conditioned or delayed.</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by the Partnership.</w:t>
      </w:r>
      <w:r>
        <w:rPr>
          <w:rFonts w:ascii="Times New Roman" w:cs="Times New Roman" w:eastAsia="Times New Roman" w:hAnsi="Times New Roman"/>
          <w:sz w:val="22"/>
          <w:szCs w:val="22"/>
          <w:color w:val="auto"/>
        </w:rPr>
        <w:t xml:space="preserve"> Parent shall cause the Partnership and its Subsidiaries to comply with the provisions of this Agreement. Notwithstanding the foregoing, it is understood and agreed that actions or inactions by the Partnership and its Subsidiaries shall not be deemed to be breaches or violations or failures to perform by the Partnership and its Subsidiaries of any of the provisions of this Agreement if such action or inaction was or was not taken, as applicable, at the direction of Parent or its duly authorized Representatives.</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5.12.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xml:space="preserve"> Prior to the Effective Time, neither the General Partner nor Parent nor their Representatives shall,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For the avoidance of doubt,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shall not apply to the filling of any vacancies caused by the death, incapacity or resignation of any director in accordance with the provisions of the Partnership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5.13.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xml:space="preserve"> As soon as reasonably practicable after receipt of the Unitholder Approval, and in any event no less than two business days prior to the Closing Date, the Partnership Board shall (and Parent shall cause its Representatives on the Partnership Board to) declare the Special Distribution with a record date on a business day prior to the Closing Date and a payment date occurring on or prior to the Closing Date, in each case in accordance with, and subject to the requirements of, the Partnership Agreement and applicable Law, and which dates shall be reasonably agreed among the Parties. The Special Distribution shall be allocated as contemplated by Section 6.3 of the Partnership Agreement and paid to Common Unitholders and the General Partner prior to the Effective Time.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Each Party’s Obligation to Effect the Merger.</w:t>
      </w:r>
      <w:r>
        <w:rPr>
          <w:rFonts w:ascii="Times New Roman" w:cs="Times New Roman" w:eastAsia="Times New Roman" w:hAnsi="Times New Roman"/>
          <w:sz w:val="22"/>
          <w:szCs w:val="22"/>
          <w:color w:val="auto"/>
        </w:rPr>
        <w:t xml:space="preserve"> The respective obligations of each Party to effect the Merger shall be subject to the satisfaction (or waiver, if permissible under applicable Law) on or prior to the Closing Date of the following conditions:</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The Unitholder Approval shall have been obtained in accordance with applicable Law and the Partnership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Judgment enacted, promulgated, issued, entered, amended or enforced by any Governmental Authority of competent jurisdiction (collectively, “</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shall be in effect enjoining, restraining, or otherwise making illegal, preventing or prohibiting the consummation of the Merger.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Special Distribution</w:t>
      </w:r>
      <w:r>
        <w:rPr>
          <w:rFonts w:ascii="Times New Roman" w:cs="Times New Roman" w:eastAsia="Times New Roman" w:hAnsi="Times New Roman"/>
          <w:sz w:val="20"/>
          <w:szCs w:val="20"/>
          <w:color w:val="auto"/>
        </w:rPr>
        <w:t xml:space="preserve">. The Special Distribution shall have been declared and paid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Obligations of the Sponsor Entities to Effect the Merger.</w:t>
      </w:r>
      <w:r>
        <w:rPr>
          <w:rFonts w:ascii="Times New Roman" w:cs="Times New Roman" w:eastAsia="Times New Roman" w:hAnsi="Times New Roman"/>
          <w:sz w:val="22"/>
          <w:szCs w:val="22"/>
          <w:color w:val="auto"/>
        </w:rPr>
        <w:t xml:space="preserve"> The obligations of the Sponsor Entities to effect the Merger are further subject to the satisfaction (or waiver, if permissible under applicable Law) on or prior to the Closing Date of the following conditions:</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Partnership (i) set forth in </w:t>
      </w:r>
      <w:r>
        <w:rPr>
          <w:rFonts w:ascii="Times New Roman" w:cs="Times New Roman" w:eastAsia="Times New Roman" w:hAnsi="Times New Roman"/>
          <w:sz w:val="22"/>
          <w:szCs w:val="22"/>
          <w:u w:val="single" w:color="auto"/>
          <w:color w:val="auto"/>
        </w:rPr>
        <w:t>Sections 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3.3(c)</w:t>
      </w:r>
      <w:r>
        <w:rPr>
          <w:rFonts w:ascii="Times New Roman" w:cs="Times New Roman" w:eastAsia="Times New Roman" w:hAnsi="Times New Roman"/>
          <w:sz w:val="22"/>
          <w:szCs w:val="2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(ii)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in each case both when made and at and as of the Closing Date with the same effect as though made on and as of such date (except to the extent expressly made as of an earlier date, in which case as of such earlier date) (iii)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Sections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3.3(c)</w:t>
      </w:r>
      <w:r>
        <w:rPr>
          <w:rFonts w:ascii="Times New Roman" w:cs="Times New Roman" w:eastAsia="Times New Roman" w:hAnsi="Times New Roman"/>
          <w:sz w:val="22"/>
          <w:szCs w:val="2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where the failure of such representations and warranties to be so true and correct (without giving effect to any qualification or limitation as to “materiality”, “Partnership Material Adverse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2"/>
          <w:szCs w:val="22"/>
          <w:color w:val="auto"/>
        </w:rPr>
        <w:t>Effect” or words of similar import set forth therein) does not have, and would not reasonably be expected to have, individually or in the aggregate, a Partnership Material Adverse Effect.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of Obligations of the Partnership</w:t>
      </w:r>
      <w:r>
        <w:rPr>
          <w:rFonts w:ascii="Times New Roman" w:cs="Times New Roman" w:eastAsia="Times New Roman" w:hAnsi="Times New Roman"/>
          <w:sz w:val="22"/>
          <w:szCs w:val="22"/>
          <w:color w:val="auto"/>
        </w:rPr>
        <w:t>. The Partnership shall have performed in all material respects all obligations required to be performed by it under this Agreement at or prior to the Closing Date.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Partnership Material Adverse Effect</w:t>
      </w:r>
      <w:r>
        <w:rPr>
          <w:rFonts w:ascii="Times New Roman" w:cs="Times New Roman" w:eastAsia="Times New Roman" w:hAnsi="Times New Roman"/>
          <w:sz w:val="22"/>
          <w:szCs w:val="22"/>
          <w:color w:val="auto"/>
        </w:rPr>
        <w:t>. Since the date of this Agreement there shall not have been any Partnership Material Adverse Effect.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xml:space="preserve">. The Partnership shall have delivered to Parent a certificate of an authorized officer of the Partnership, dated as of the Closing Date, in form and substance reasonably acceptable to Parent, to the effect that the conditions specified in </w:t>
      </w:r>
      <w:r>
        <w:rPr>
          <w:rFonts w:ascii="Times New Roman" w:cs="Times New Roman" w:eastAsia="Times New Roman" w:hAnsi="Times New Roman"/>
          <w:sz w:val="22"/>
          <w:szCs w:val="22"/>
          <w:u w:val="single" w:color="auto"/>
          <w:color w:val="auto"/>
        </w:rPr>
        <w:t>Sections 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6.2(c)</w:t>
      </w:r>
      <w:r>
        <w:rPr>
          <w:rFonts w:ascii="Times New Roman" w:cs="Times New Roman" w:eastAsia="Times New Roman" w:hAnsi="Times New Roman"/>
          <w:sz w:val="22"/>
          <w:szCs w:val="22"/>
          <w:color w:val="auto"/>
        </w:rPr>
        <w:t xml:space="preserve"> have been satisfied.</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6.3.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Conditions to Obligations of the Partnership to Effect the Merger.</w:t>
      </w:r>
      <w:r>
        <w:rPr>
          <w:rFonts w:ascii="Times New Roman" w:cs="Times New Roman" w:eastAsia="Times New Roman" w:hAnsi="Times New Roman"/>
          <w:sz w:val="22"/>
          <w:szCs w:val="22"/>
          <w:color w:val="auto"/>
        </w:rPr>
        <w:t xml:space="preserve"> The obligations of the Partnership to effect the Merger are further subject to the satisfaction (or waiver, if permissible under applicable Law) on or prior to the Closing Date of the following conditions:</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Sponsor Entities (i) set forth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and (ii)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where the failure of such representations and warranties to be so true and correct (without giving effect to any qualification or limitation as to “materiality” or words of similar import set forth therein) does not, and would not reasonably be expected to, individually or in the aggregate, prevent or materially impede, interfere with or hinder the consummation of the Transactions.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of Obligations of the Sponsor Entities</w:t>
      </w:r>
      <w:r>
        <w:rPr>
          <w:rFonts w:ascii="Times New Roman" w:cs="Times New Roman" w:eastAsia="Times New Roman" w:hAnsi="Times New Roman"/>
          <w:sz w:val="22"/>
          <w:szCs w:val="22"/>
          <w:color w:val="auto"/>
        </w:rPr>
        <w:t>. The Sponsor Entities shall have performed in all material respects all obligations required to be performed by them under this Agreement at or prior to the Closing Date.</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xml:space="preserve">. Parent shall have delivered to the Partnership a certificate of an authorized officer of Parent, dated as of the Closing Date, in form and substance reasonably acceptable to the Partnership, to the effect that the conditions specified in </w:t>
      </w:r>
      <w:r>
        <w:rPr>
          <w:rFonts w:ascii="Times New Roman" w:cs="Times New Roman" w:eastAsia="Times New Roman" w:hAnsi="Times New Roman"/>
          <w:sz w:val="22"/>
          <w:szCs w:val="22"/>
          <w:u w:val="single" w:color="auto"/>
          <w:color w:val="auto"/>
        </w:rPr>
        <w:t>Sections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6.3(b)</w:t>
      </w:r>
      <w:r>
        <w:rPr>
          <w:rFonts w:ascii="Times New Roman" w:cs="Times New Roman" w:eastAsia="Times New Roman" w:hAnsi="Times New Roman"/>
          <w:sz w:val="22"/>
          <w:szCs w:val="22"/>
          <w:color w:val="auto"/>
        </w:rPr>
        <w:t xml:space="preserve"> have been satisfied.</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6.4.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The Partnership may not rely on the failure of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to be satisfied if the failure of the Partnership to perform in all material respects any of its obligations under this Agreement, including to use its commercially reasonable efforts to consummate the Transactions, as required by and subject to the terms of this Agreement, was the primary cause of or primarily resulted in the failure of such condition to be satisfied. The Sponsor Entities may not rely on the failure of any condition set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 xml:space="preserve"> to be satisfied if the failure of a Sponsor Entity to perform in all material respects any of its obligations under this Agreement, including to use its commercially reasonable efforts to consummate the Transactions, as required by and subject to the terms and conditions of this Agreement, was the primary cause of or primarily resulted in the failure of such condition to be satisfied.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may be terminated and the Transactions abandoned at any time prior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Time:</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the mutual written consent of the Partnership and Parent duly authorized by each of the Conflicts Committee and the Parent Board,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either of Parent or, following authorization by the Conflicts Committee, the Partnership:</w:t>
      </w:r>
    </w:p>
    <w:p>
      <w:pPr>
        <w:spacing w:after="0" w:line="23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Closing shall not have been consummated on or before October 6, 2023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 to terminate this Agreement under this </w:t>
      </w:r>
      <w:r>
        <w:rPr>
          <w:rFonts w:ascii="Times New Roman" w:cs="Times New Roman" w:eastAsia="Times New Roman" w:hAnsi="Times New Roman"/>
          <w:sz w:val="20"/>
          <w:szCs w:val="20"/>
          <w:u w:val="single" w:color="auto"/>
          <w:color w:val="auto"/>
        </w:rPr>
        <w:t>Section 7.1(b)(i)</w:t>
      </w:r>
      <w:r>
        <w:rPr>
          <w:rFonts w:ascii="Times New Roman" w:cs="Times New Roman" w:eastAsia="Times New Roman" w:hAnsi="Times New Roman"/>
          <w:sz w:val="20"/>
          <w:szCs w:val="20"/>
          <w:color w:val="auto"/>
        </w:rPr>
        <w:t xml:space="preserve"> shall not be available to a Party (A) if the breach by such Party of its representations and warranties set forth in this Agreement or the failure of such Party to perform any of its obligations under this Agreement, its failure to act in good faith or its failure to use its commercially reasonable efforts to consummate the Transactions, including to the extent required by and subject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has been a principal cause of or resulted in the failure of the Merger to be consummated on or prior to such date (it being understood that Parent, Merger Sub and the General Partner shall be deemed a single party for purposes of the foregoing proviso) or (B) if any other Party has filed (and is then pursuing) an action seeking specific performance as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any Restraint having the effect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Party seeking to terminate this Agreement under this </w:t>
      </w:r>
      <w:r>
        <w:rPr>
          <w:rFonts w:ascii="Times New Roman" w:cs="Times New Roman" w:eastAsia="Times New Roman" w:hAnsi="Times New Roman"/>
          <w:sz w:val="22"/>
          <w:szCs w:val="22"/>
          <w:u w:val="single" w:color="auto"/>
          <w:color w:val="auto"/>
        </w:rPr>
        <w:t>Section 7.1(b)(ii)</w:t>
      </w:r>
      <w:r>
        <w:rPr>
          <w:rFonts w:ascii="Times New Roman" w:cs="Times New Roman" w:eastAsia="Times New Roman" w:hAnsi="Times New Roman"/>
          <w:sz w:val="22"/>
          <w:szCs w:val="22"/>
          <w:color w:val="auto"/>
        </w:rPr>
        <w:t xml:space="preserve"> shall have performed in all material respects its obligations under this Agreement, acted in good faith and used commercially reasonable efforts to prevent the entry of and to remove such Restraint in accordance with its obligations under this Agreement; or</w:t>
      </w:r>
    </w:p>
    <w:p>
      <w:pPr>
        <w:spacing w:after="0" w:line="204" w:lineRule="exact"/>
        <w:rPr>
          <w:sz w:val="20"/>
          <w:szCs w:val="20"/>
          <w:color w:val="auto"/>
        </w:rPr>
      </w:pPr>
    </w:p>
    <w:p>
      <w:pPr>
        <w:jc w:val="both"/>
        <w:ind w:left="660" w:firstLine="648"/>
        <w:spacing w:after="0" w:line="280"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Unitholders Meeting at which the vote was taken shall have concluded and the Unitholder Approval shall not have been obtained;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Party seeking to terminate this Agreement under this </w:t>
      </w:r>
      <w:r>
        <w:rPr>
          <w:rFonts w:ascii="Times New Roman" w:cs="Times New Roman" w:eastAsia="Times New Roman" w:hAnsi="Times New Roman"/>
          <w:sz w:val="20"/>
          <w:szCs w:val="20"/>
          <w:u w:val="single" w:color="auto"/>
          <w:color w:val="auto"/>
        </w:rPr>
        <w:t>Section 7.1(b)(iii)</w:t>
      </w:r>
      <w:r>
        <w:rPr>
          <w:rFonts w:ascii="Times New Roman" w:cs="Times New Roman" w:eastAsia="Times New Roman" w:hAnsi="Times New Roman"/>
          <w:sz w:val="20"/>
          <w:szCs w:val="20"/>
          <w:color w:val="auto"/>
        </w:rPr>
        <w:t xml:space="preserve"> shall have performed in all material respects its obligations under this Agreement with respect thereto;</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by Parent: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an Adverse Recommendation Change shall have occurred;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if the Partnership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and (B) is not reasonably capable of being cured prior to the Outside Date or has not been cured by the Partnership within 30 days following receipt of written notice from Parent of such breach or failure to perform stating Parent’s intention to terminate this Agreement pursuant to this </w:t>
      </w:r>
      <w:r>
        <w:rPr>
          <w:rFonts w:ascii="Times New Roman" w:cs="Times New Roman" w:eastAsia="Times New Roman" w:hAnsi="Times New Roman"/>
          <w:sz w:val="22"/>
          <w:szCs w:val="22"/>
          <w:u w:val="single" w:color="auto"/>
          <w:color w:val="auto"/>
        </w:rPr>
        <w:t>Section 7.1(c)(ii)</w:t>
      </w:r>
      <w:r>
        <w:rPr>
          <w:rFonts w:ascii="Times New Roman" w:cs="Times New Roman" w:eastAsia="Times New Roman" w:hAnsi="Times New Roman"/>
          <w:sz w:val="22"/>
          <w:szCs w:val="22"/>
          <w:color w:val="auto"/>
        </w:rPr>
        <w:t xml:space="preserve"> (or in any event, has not been cured by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Parent shall not have the right to terminate this Agreement pursuant to this </w:t>
      </w:r>
      <w:r>
        <w:rPr>
          <w:rFonts w:ascii="Times New Roman" w:cs="Times New Roman" w:eastAsia="Times New Roman" w:hAnsi="Times New Roman"/>
          <w:sz w:val="22"/>
          <w:szCs w:val="22"/>
          <w:u w:val="single" w:color="auto"/>
          <w:color w:val="auto"/>
        </w:rPr>
        <w:t>Section 7.1(c)(ii)</w:t>
      </w:r>
      <w:r>
        <w:rPr>
          <w:rFonts w:ascii="Times New Roman" w:cs="Times New Roman" w:eastAsia="Times New Roman" w:hAnsi="Times New Roman"/>
          <w:sz w:val="22"/>
          <w:szCs w:val="22"/>
          <w:color w:val="auto"/>
        </w:rPr>
        <w:t xml:space="preserve"> if any of the Sponsor Entities is then in material breach of any of its representations, warranties, obligations or agreements hereunder;</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by the Partnership if a Sponsor Entity shall have breached any of its representations or warranties or failed to perform any of its obligations or agreements set forth in this Agreement, which breach or failure to perform (A) would give rise to the failure of a condition set forth in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6.3(b)</w:t>
      </w:r>
      <w:r>
        <w:rPr>
          <w:rFonts w:ascii="Times New Roman" w:cs="Times New Roman" w:eastAsia="Times New Roman" w:hAnsi="Times New Roman"/>
          <w:sz w:val="20"/>
          <w:szCs w:val="20"/>
          <w:color w:val="auto"/>
        </w:rPr>
        <w:t xml:space="preserve"> and (B) is not reasonably capable of being cured prior to the Outside Date or has not been cured by the applicable Sponsor Entity within 30 days following receipt of written notice from the Partnership of such breach or failure to perform stating the Partnership’s intention to terminate this Agreement pursuant this </w:t>
      </w:r>
      <w:r>
        <w:rPr>
          <w:rFonts w:ascii="Times New Roman" w:cs="Times New Roman" w:eastAsia="Times New Roman" w:hAnsi="Times New Roman"/>
          <w:sz w:val="20"/>
          <w:szCs w:val="20"/>
          <w:u w:val="single" w:color="auto"/>
          <w:color w:val="auto"/>
        </w:rPr>
        <w:t>Section 7.1(d)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Partnership shall not have the right to terminate this Agreement pursuant to this </w:t>
      </w:r>
      <w:r>
        <w:rPr>
          <w:rFonts w:ascii="Times New Roman" w:cs="Times New Roman" w:eastAsia="Times New Roman" w:hAnsi="Times New Roman"/>
          <w:sz w:val="20"/>
          <w:szCs w:val="20"/>
          <w:u w:val="single" w:color="auto"/>
          <w:color w:val="auto"/>
        </w:rPr>
        <w:t>Section 7.1(d)</w:t>
      </w:r>
    </w:p>
    <w:p>
      <w:pPr>
        <w:spacing w:after="0" w:line="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Partnership is then in material breach of any of its representations, warranties, obligations or agreements hereunder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such termination first being authorized by the Conflicts Committee.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 of Termination.</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(a)        In the event of the termination of this Agreement as provided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written notice thereof shall be given to the other Party or Parties, specifying the provision of this Agreement pursuant to which such termination is made, and this Agreement shall forthwith become null and void (other than the provisions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all of which shall survive termination of this Agreement), and there shall be no liability on the part of Parent, Merger Sub, the General Partner, the Partnership, any Debt Financing Source or their respective directors, officers and Affiliates, except (i) as liability may exist pursuant to the provisions specified in the immediately preceding parenthetical that survive such termination and (ii) that no such termination shall relieve any Party from liability for fraud or any Willful Breach.</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(b)         Notwithstanding Section 7.2(a) or anything else to the contrary in this Agreement, in the event this Agreement is terminated (i)(A) by either of Parent or, following authorization by the Conflicts Committee, the Partnership pursuant to Section 7.1(b)(i) or Section 7.1(b)(iii) at a time when this Agreement was terminable by Parent pursuant to Section 7.1(c)(i) or (B) by Parent pursuant to Section 7.1(c)(i) or Section 7.1(c)(ii), the Partnership shall pay Parent the reasonable and documented out-of-pocket costs and expenses of the Sponsor Entities (including outside attorney’s fees and disbursements) incurred in connection with this Agreement, the Support Agreement and the Debt Commitment Letter and the transactions contemplated hereby and thereby or (ii) by the Partnership pursuant to Section 7.1(d), Parent shall pay the Partnership its reasonable and documented out-of-pocket costs and expenses (including outside attorney’s fees and disbursements) incurred in connection with this Agreement, the Support Agreement and the Debt Commitment Letter and the transactions contemplated hereby and thereby; provided that in no event shall the Partnership or Parent, as applicable, be required to provide reimbursement pursuant to this Section 7.2(b) in an aggregate amount in excess of $5,000,000.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Survival of Representations, Warranties and Covenants.</w:t>
      </w:r>
      <w:r>
        <w:rPr>
          <w:rFonts w:ascii="Times New Roman" w:cs="Times New Roman" w:eastAsia="Times New Roman" w:hAnsi="Times New Roman"/>
          <w:sz w:val="22"/>
          <w:szCs w:val="22"/>
          <w:color w:val="auto"/>
        </w:rPr>
        <w:t xml:space="preserve"> None of the representations, warranties, covenants and agreements in this Agreement or in any document or instrument delivered pursuant to or in connection with this Agreement shall survive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or Supplement.</w:t>
      </w:r>
      <w:r>
        <w:rPr>
          <w:rFonts w:ascii="Times New Roman" w:cs="Times New Roman" w:eastAsia="Times New Roman" w:hAnsi="Times New Roman"/>
          <w:sz w:val="22"/>
          <w:szCs w:val="22"/>
          <w:color w:val="auto"/>
        </w:rPr>
        <w:t xml:space="preserve"> Subject to compliance with applicable Law, at any time prior to the Effective Time, this Agreement may be amended, modified or supplemented in any and all respects, whether before or after receipt of the Unitholder Approval, only by written agreement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following receipt of the Unitholder Approval, there shall be no amendment or change to the provisions of this Agreement which by applicable Law would require further approval by the Common Unitholders without such approval having first been obtained and (b) the Partnership may not, without the prior written approval of the Conflicts Committee, agree to any amendment or modification of this Agreement. Unless otherwise expressly set forth in this Agreement, whenever a determination, decision, approval or consent of the Partnership is required pursuant to this Agreement, such determination, decision, approval or consent must be authorized by the Conflicts Committee.</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Extension of Time, Waiver, Etc.</w:t>
      </w:r>
      <w:r>
        <w:rPr>
          <w:rFonts w:ascii="Times New Roman" w:cs="Times New Roman" w:eastAsia="Times New Roman" w:hAnsi="Times New Roman"/>
          <w:sz w:val="22"/>
          <w:szCs w:val="22"/>
          <w:color w:val="auto"/>
        </w:rPr>
        <w:t xml:space="preserve"> At any time prior to the Effective Time, any Party may, subject to applicable Law, (a) waive any inaccuracies in the representations and warranties of any other Party, (b) extend the time for the performance of any of the obligations or acts of any other Party or (c) subject to the requirements of applicable Law, waive compliance by any other Party with any of the agreements contained herein or, except as otherwise provided herein, waive any of such Party’s conditions (it being understood that the Sponsor Entities shall be deemed a single party for purposes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Partnership may not make or authorize any such waiver or extension without the prior approval of the Conflicts Committee and (ii) following receipt of the Unitholder Approval, there shall be no waiver or extension which by applicable Law would require further approval by the Common Unitholders without such approval having first been obtained.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8.4.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this Agreement nor any of the rights, interests or obligations hereunder shall be assigned, in whole or in part, by operation of Law or otherwise, by any of the Parties without the prior written consent of the other Parties. No assignment by any Party shall relieve such Party of any of its obligations hereunder. Subject to the immediately preceding two sentences, this Agreement shall be binding upon, inure to the benefit of, and be enforceable by, the Parties and their respective successors and permitted assigns. Any purported assignment not permitted under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shall be null and void.</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8.5.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20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Section 8.6.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Entire Agreement; No Third-Party Beneficiaries.</w:t>
      </w:r>
      <w:r>
        <w:rPr>
          <w:rFonts w:ascii="Times New Roman" w:cs="Times New Roman" w:eastAsia="Times New Roman" w:hAnsi="Times New Roman"/>
          <w:sz w:val="20"/>
          <w:szCs w:val="20"/>
          <w:color w:val="auto"/>
        </w:rPr>
        <w:t xml:space="preserve"> This Agreement, together with the Exhibits attached hereto, the Support Agreement and the Debt Commitment Letter, constitutes the entire agreement, and supersedes all other prior agreements and understandings, both written and oral, among the Parties and their Affiliates, or any of them, with respect to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subject matter hereof and thereof. This Agreement is not intended to and shall not confer upon any Person other than the Parties any rights or remedies hereunder, except for (i) if the Effective Time occurs, the right of the Common Unitholders to receive the Merger Consideration and any distribution (including the Special Distribution) payable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(ii) the rights of the Indemnified Persons set forth in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(iii) the rights of the Related Parties set forth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which in each case are intended for the benefit of, and shall be enforceable by, such Persons referred to respectively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Governing Law; Jurisdiction; Waiver of Jury Trial.</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the Marshall Islands are mandatorily applicable to the Merger.</w:t>
      </w:r>
    </w:p>
    <w:p>
      <w:pPr>
        <w:spacing w:after="0" w:line="20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Parties or their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any of the Transactions in any court other than the aforesaid courts. Each of the Parties hereby irrevocably waives, and agrees not to assert as a defense, counterclaim or otherwise, in any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The Parties hereby consent to and grant any such court jurisdiction over the person of such Parties solely for such purpose and over the subject matter of such dispute and, to the fullest extent permitted by Law, agree that mailing of process or other papers in connection with any such Proceeding in the manner provided in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xml:space="preserve"> or in such other manner as may be permitted by applicable Laws shall be valid and sufficient service thereof.</w:t>
      </w: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EACH PARTY HEREBY IRREVOCABLY WAIVES ALL RIGHT TO TRIAL BY JURY IN ANY PROCEEDING OR COUNTERCLAIM (WHETHER BASED ON CONTRACT, TORT OR OTHERWISE) ARISING OUT OF OR RELATING TO THIS AGREEMENT OR THE TRANSACTIONS OR THE ACTIONS OF ANY PARTY IN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22"/>
          <w:szCs w:val="22"/>
          <w:color w:val="auto"/>
        </w:rPr>
        <w:t>NEGOTIATION, ADMINISTRATION, PERFORMANCE AND ENFORCEMENT OF THIS AGREEMENT AND THE TRANSACTIONS.</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Section 8.8.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Specific Enforcement.</w:t>
      </w:r>
      <w:r>
        <w:rPr>
          <w:rFonts w:ascii="Times New Roman" w:cs="Times New Roman" w:eastAsia="Times New Roman" w:hAnsi="Times New Roman"/>
          <w:sz w:val="22"/>
          <w:szCs w:val="22"/>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the Parties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2"/>
          <w:szCs w:val="22"/>
          <w:u w:val="single" w:color="auto"/>
          <w:color w:val="auto"/>
        </w:rPr>
        <w:t>Section 8.7(b)</w:t>
      </w:r>
      <w:r>
        <w:rPr>
          <w:rFonts w:ascii="Times New Roman" w:cs="Times New Roman" w:eastAsia="Times New Roman" w:hAnsi="Times New Roman"/>
          <w:sz w:val="22"/>
          <w:szCs w:val="22"/>
          <w:color w:val="auto"/>
        </w:rPr>
        <w:t xml:space="preserve"> without proof of damages or otherwise, this being in addition to any other remedy to which they are entitled under this Agreement and (b) the right of specific enforcement is an integral part of the Transactions and without that right, none of the Parties would have entered into this Agreement. Each Party agrees that, prior to the valid termination of this Agreement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it will not assert that a remedy of specific enforcement is unenforceable, invalid, contrary to Law or inequitable for any reason, and not assert that a remedy of monetary damages would provide an adequate remedy or that such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8.9.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Parent, Merger Sub or the General Partner,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GasLog Ltd.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GasLog LNG Services Ltd.</w:t>
      </w:r>
    </w:p>
    <w:p>
      <w:pPr>
        <w:ind w:left="130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130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130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Worldwide Plaza</w:t>
      </w:r>
    </w:p>
    <w:p>
      <w:pPr>
        <w:ind w:left="1300"/>
        <w:spacing w:after="0"/>
        <w:rPr>
          <w:sz w:val="20"/>
          <w:szCs w:val="20"/>
          <w:color w:val="auto"/>
        </w:rPr>
      </w:pPr>
      <w:r>
        <w:rPr>
          <w:rFonts w:ascii="Times New Roman" w:cs="Times New Roman" w:eastAsia="Times New Roman" w:hAnsi="Times New Roman"/>
          <w:sz w:val="22"/>
          <w:szCs w:val="22"/>
          <w:color w:val="auto"/>
        </w:rPr>
        <w:t>825 Eighth Avenue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 Scott Bennett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Andrew C. Elken</w:t>
      </w:r>
    </w:p>
    <w:p>
      <w:pPr>
        <w:ind w:left="1300"/>
        <w:spacing w:after="0" w:line="230" w:lineRule="auto"/>
        <w:rPr>
          <w:sz w:val="20"/>
          <w:szCs w:val="20"/>
          <w:color w:val="auto"/>
        </w:rPr>
      </w:pPr>
      <w:r>
        <w:rPr>
          <w:rFonts w:ascii="Times New Roman" w:cs="Times New Roman" w:eastAsia="Times New Roman" w:hAnsi="Times New Roman"/>
          <w:sz w:val="22"/>
          <w:szCs w:val="22"/>
          <w:color w:val="auto"/>
        </w:rPr>
        <w:t>                        Jin-Kyu Baek</w:t>
      </w:r>
    </w:p>
    <w:p>
      <w:pPr>
        <w:ind w:left="1300"/>
        <w:spacing w:after="0" w:line="231" w:lineRule="auto"/>
        <w:rPr>
          <w:sz w:val="20"/>
          <w:szCs w:val="20"/>
          <w:color w:val="auto"/>
        </w:rPr>
      </w:pPr>
      <w:r>
        <w:rPr>
          <w:rFonts w:ascii="Times New Roman" w:cs="Times New Roman" w:eastAsia="Times New Roman" w:hAnsi="Times New Roman"/>
          <w:sz w:val="22"/>
          <w:szCs w:val="22"/>
          <w:color w:val="auto"/>
        </w:rPr>
        <w:t>Email:           sbennett@cravath.com</w:t>
      </w:r>
    </w:p>
    <w:p>
      <w:pPr>
        <w:ind w:left="1300"/>
        <w:spacing w:after="0" w:line="230" w:lineRule="auto"/>
        <w:rPr>
          <w:sz w:val="20"/>
          <w:szCs w:val="20"/>
          <w:color w:val="auto"/>
        </w:rPr>
      </w:pPr>
      <w:r>
        <w:rPr>
          <w:rFonts w:ascii="Times New Roman" w:cs="Times New Roman" w:eastAsia="Times New Roman" w:hAnsi="Times New Roman"/>
          <w:sz w:val="22"/>
          <w:szCs w:val="22"/>
          <w:color w:val="auto"/>
        </w:rPr>
        <w:t>                        aelken@cravath.com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jbaek@cravath.com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GasLog LNG Services Ltd.</w:t>
      </w:r>
    </w:p>
    <w:p>
      <w:pPr>
        <w:ind w:left="130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130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130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each of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Richards, Layton &amp; Finger, P.A.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Rodney Square, 920 North King Street</w:t>
      </w:r>
    </w:p>
    <w:p>
      <w:pPr>
        <w:ind w:left="130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Srinivas M. Raju</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Kenneth Jackman</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raju@rlf.com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jackman@rlf.com</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8.10.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xml:space="preserve"> with respect thereto. Upon such determination that any term, condition or other provision is invalid, illegal or incapable of being enforced, the Parties shall negotiate in good faith to modify this Agreement so as to effect the original intent of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Parties as closely as possible to the fullest extent permitted by applicable Law in an acceptable manner to the end that the Transactions are fulfilled to the extent possible.</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Section 8.11.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xml:space="preserve"> Except as otherwise set forth in this Agreement, whether or not the Transactions are consummated, all fees and expenses incurred in connection with this Agreement, the Merger and the other Transactions shall be paid by the Party incurring or required to incur such fees or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expenses relating to the preparation, printing, filing and mailing of the Proxy Statement and the solicitation of the Unitholder Approval shall be paid 50% by Parent and 50% by the Partnership.</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8.12.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p>
    <w:p>
      <w:pPr>
        <w:spacing w:after="0" w:line="2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refer to the lawful money of the United States. References to a Person are also to its permitted assigns and successors.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The Parties have participated jointly in the negotiation and drafting of this Agreement with the assistance of counsel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8.13.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Non-Recourse.</w:t>
      </w:r>
      <w:r>
        <w:rPr>
          <w:rFonts w:ascii="Times New Roman" w:cs="Times New Roman" w:eastAsia="Times New Roman" w:hAnsi="Times New Roman"/>
          <w:sz w:val="22"/>
          <w:szCs w:val="22"/>
          <w:color w:val="auto"/>
        </w:rPr>
        <w:t xml:space="preserve"> No past, present or future director, officer, employee, incorporator, member, partner, stockholder, agent, attorney, representative or Affiliate of any Party or any of their respective successors or assigns or past, present or future directors, officers, employees, incorporators, members, partners, stockholders, agents, attorneys, representatives or Affiliates of the Parties (in each case, other than any Affiliate that is expressly a Party) (collectively, the “</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shall have any liability (whether at law, in equity, in contract, in tort or otherwise) for any obligations or liabilities of the Parties arising under, in connection with or related to this Agreement or for any claim based on, in respect of, or by reason of, the Transactions or in respect of any oral representations made or alleged to be made in connection 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shall limit any liability of the Parties or the parties to the Support Agreement for breaches of the terms and conditions of this Agreement and the Support Agreement, as applicable.</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Section 8.14.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xml:space="preserve"> Notwithstanding anything in this Agreement to the contrary (but subject to the proviso at the end of this paragraph), each Party, on behalf of itself, its Subsidiaries, its controlled Affiliates and the Representatives of each of the foregoing, hereby: (a) agrees that any Proceeding involving a Debt Financing Source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any Proceeding of any kind or description, whether in law or in equity, whether in contract or in tort or otherwise, against any Debt Financing Source in any way arising out of or relating to this Agreement, the Debt Financing, the Debt Commitment Letter or any of the agreements entered into in connection with the Debt Financing or the Debt Commitment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any such Proceeding in any such court, (e) knowingly, intentionally and voluntarily waives to the fullest extent permitted by applicable Law all rights of trial by jury in any Proceeding brought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(f) agrees that no Debt Financing Source shall be subject to any special, consequential, punitive or indirect damages or damages of a tortious nature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(g) agrees that this Agreement may not be enforced against any Debt Financing Source and agrees that no Debt Financing Source will have any liability to the Partnership, any of its Subsidiaries or any of their respective Representatives, and hereby knowingly, intentionally and voluntarily waives to the fullest extent permitted by applicable Law any rights or claims against any Debt Financing Source,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whether in law or in equity, whether in contract or in tort or otherwise, (h) agrees that the Debt Financing Sources are express third party beneficiaries of, and may enforce, and shall be entitled to rely on,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and (i) agrees that </w:t>
      </w:r>
      <w:r>
        <w:rPr>
          <w:rFonts w:ascii="Times New Roman" w:cs="Times New Roman" w:eastAsia="Times New Roman" w:hAnsi="Times New Roman"/>
          <w:sz w:val="21"/>
          <w:szCs w:val="21"/>
          <w:u w:val="single" w:color="auto"/>
          <w:color w:val="auto"/>
        </w:rPr>
        <w:t>Sections 7.2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8.13</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and the definition of “Debt Financing Sources” (and any other provision or definition in this Agreement to the extent an amendment, modification, waiver or termination of such provision or definition would modify the substance of any of the foregoing provisions or definitions) may not be amended, modified, waived or terminated in any way adverse to the Debt Financing Sources without the prior written consent of the Debt Financing Sources party to the Debt Commitment Letter;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nothing in this </w:t>
      </w:r>
      <w:r>
        <w:rPr>
          <w:rFonts w:ascii="Times New Roman" w:cs="Times New Roman" w:eastAsia="Times New Roman" w:hAnsi="Times New Roman"/>
          <w:sz w:val="21"/>
          <w:szCs w:val="21"/>
          <w:u w:val="single" w:color="auto"/>
          <w:color w:val="auto"/>
        </w:rPr>
        <w:t>Section 8.14</w:t>
      </w:r>
      <w:r>
        <w:rPr>
          <w:rFonts w:ascii="Times New Roman" w:cs="Times New Roman" w:eastAsia="Times New Roman" w:hAnsi="Times New Roman"/>
          <w:sz w:val="21"/>
          <w:szCs w:val="21"/>
          <w:color w:val="auto"/>
        </w:rPr>
        <w:t xml:space="preserve"> shall in any way limit or modify the obligations of any Debt Financing Source to the Parent or any of its Subsidiaries, or the rights of the Parent or any its Subsidiaries against any Debt Financing Source, in each case under the Debt Commitment Letter or the definitive agreements executed in connection with the Debt Financing.</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8.15.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in this Agreement, the following terms have the meanings ascribed thereto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Proposal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controls, or is controlled by, or is under common control with such Person. For this purpose,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Agreement, unless expressly provided otherwise, the Partnership and its Subsidiaries shall not be considered Affiliates of Parent or any of Parent’s other Affiliates, nor shall Parent or any of Parent’s Affiliates be considered Affiliates of the Partnership or its Subsidiaries.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Debt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all applicable antitrust and competition Laws and all other applicable Laws issued by a Governmental Authority that are designed or intended to prohibit,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2"/>
          <w:szCs w:val="22"/>
          <w:color w:val="auto"/>
        </w:rPr>
        <w:t>restrict or regulate actions having the purpose or effect of monopolization or restraint of trade or lessening of competition through merger or acquisition.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 day except a Saturday, a Sunday or other day on which the SEC or banks in the City of New York, Bermuda or the Marshall Islands are authorized or required by Law to be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day that the Registrar or Deputy Registrar of Corporations of the Republic of the Marshall Islands is not accepting filings shall not be a “business day” for purposes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Charter Documents</w:t>
      </w:r>
      <w:r>
        <w:rPr>
          <w:rFonts w:ascii="Times New Roman" w:cs="Times New Roman" w:eastAsia="Times New Roman" w:hAnsi="Times New Roman"/>
          <w:sz w:val="22"/>
          <w:szCs w:val="22"/>
          <w:color w:val="auto"/>
        </w:rPr>
        <w:t>” means, with respect to any entity at any time, in each case as amended, modified and supplemented at that time, (a) the articles and, where relevant, the memorandum of association or certificate of formation, incorporation, partnership or organization (or the equivalent organizational documents) of that entity, (b) the bylaws, partnership agreement or limited liability company agreement or regulations (or the equivalent governing documents) of that entity, and (c) each document setting forth the designation, amount and relative rights, limitations and preferences of any class or series of that entity’s equity interests or of any rights in respect of that entity’s equity interests.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Units</w:t>
      </w:r>
      <w:r>
        <w:rPr>
          <w:rFonts w:ascii="Times New Roman" w:cs="Times New Roman" w:eastAsia="Times New Roman" w:hAnsi="Times New Roman"/>
          <w:sz w:val="22"/>
          <w:szCs w:val="22"/>
          <w:color w:val="auto"/>
        </w:rPr>
        <w:t>” means Class B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B-4 Units</w:t>
      </w:r>
      <w:r>
        <w:rPr>
          <w:rFonts w:ascii="Times New Roman" w:cs="Times New Roman" w:eastAsia="Times New Roman" w:hAnsi="Times New Roman"/>
          <w:sz w:val="22"/>
          <w:szCs w:val="22"/>
          <w:color w:val="auto"/>
        </w:rPr>
        <w:t>” means Class B-4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B-5 Units</w:t>
      </w:r>
      <w:r>
        <w:rPr>
          <w:rFonts w:ascii="Times New Roman" w:cs="Times New Roman" w:eastAsia="Times New Roman" w:hAnsi="Times New Roman"/>
          <w:sz w:val="22"/>
          <w:szCs w:val="22"/>
          <w:color w:val="auto"/>
        </w:rPr>
        <w:t>” means Class B-5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B-6 Units</w:t>
      </w:r>
      <w:r>
        <w:rPr>
          <w:rFonts w:ascii="Times New Roman" w:cs="Times New Roman" w:eastAsia="Times New Roman" w:hAnsi="Times New Roman"/>
          <w:sz w:val="22"/>
          <w:szCs w:val="22"/>
          <w:color w:val="auto"/>
        </w:rPr>
        <w:t>” means Class B-6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means a Common Unit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Unitholders</w:t>
      </w:r>
      <w:r>
        <w:rPr>
          <w:rFonts w:ascii="Times New Roman" w:cs="Times New Roman" w:eastAsia="Times New Roman" w:hAnsi="Times New Roman"/>
          <w:sz w:val="22"/>
          <w:szCs w:val="22"/>
          <w:color w:val="auto"/>
        </w:rPr>
        <w:t>” mean the holders of the Common Units.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Conflicts Committee Recommendation</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waiver, approval, clearance, order, license, Permit, order, non-objection, non-action, expiration of waiting periods or authorization.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binding loan or credit agreement, debenture, note, bond, mortgage, indenture, deed of trust, lease, capital lease, sale-leaseback, sublease, license, contract or other agreement, instrument, obligation or arrangement.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w:t>
      </w:r>
      <w:r>
        <w:rPr>
          <w:rFonts w:ascii="Times New Roman" w:cs="Times New Roman" w:eastAsia="Times New Roman" w:hAnsi="Times New Roman"/>
          <w:sz w:val="22"/>
          <w:szCs w:val="22"/>
          <w:color w:val="auto"/>
        </w:rPr>
        <w:t>” means SARS-CoV-2 or COVID-19, and any variants, evolutions, mutations or additional waves thereof or related or associated epidemics, pandemics or disease outbreaks.</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 Measure</w:t>
      </w:r>
      <w:r>
        <w:rPr>
          <w:rFonts w:ascii="Times New Roman" w:cs="Times New Roman" w:eastAsia="Times New Roman" w:hAnsi="Times New Roman"/>
          <w:sz w:val="22"/>
          <w:szCs w:val="22"/>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means the Persons that have committed or commit prior to the Closing Date to provide or arrange the Debt Financing in connection with the Transactions, including the parties to any commitment letters, engagement letters, joinder agreements or credit agreements entered pursuant thereto or relating thereto, together with their respective former, current and future direct or indirect Affiliates, and the respective equityholders, members, general or limited partners, managers, investment vehicles, officers, directors, employees, attorneys, advisors, agents and Representatives of the foregoing and their respective permitted successors and assigns.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(together with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Approval</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Interest</w:t>
      </w:r>
      <w:r>
        <w:rPr>
          <w:rFonts w:ascii="Times New Roman" w:cs="Times New Roman" w:eastAsia="Times New Roman" w:hAnsi="Times New Roman"/>
          <w:sz w:val="22"/>
          <w:szCs w:val="22"/>
          <w:color w:val="auto"/>
        </w:rPr>
        <w:t>” has the meaning set forth in the Partnership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Partner Unit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GEPIF</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state or local, domestic, tribal, foreign, national, provincial or multinational.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the International Financial Reporting Standards, as issued by the International Accounting Standards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Coverage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5.9(c)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(a) with respect to the Partnership, the actual knowledge of the Partnership's Chief Executive Officer, Chief Financial Officer and General Counsel, after due inquiry of their direct reports and (b) with respect to Parent, the actual knowledge of Parent’s Chief Executive Officer, Chief Financial Officer and General Counsel, after due inquiry of their direct reports.</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national, provincial or multinational law, statute, tariff, ordinance, rule, regulation, judgment, order, injunction, writ, stipulation, determination, award or decree or agency requirement of or undertaking to any Governmental Authority, including common law.</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LLC Act</w:t>
      </w:r>
      <w:r>
        <w:rPr>
          <w:rFonts w:ascii="Times New Roman" w:cs="Times New Roman" w:eastAsia="Times New Roman" w:hAnsi="Times New Roman"/>
          <w:sz w:val="22"/>
          <w:szCs w:val="22"/>
          <w:color w:val="auto"/>
        </w:rPr>
        <w:t>” means the Marshall Islands Limited Liability Company Act of 1996,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LP Act</w:t>
      </w:r>
      <w:r>
        <w:rPr>
          <w:rFonts w:ascii="Times New Roman" w:cs="Times New Roman" w:eastAsia="Times New Roman" w:hAnsi="Times New Roman"/>
          <w:sz w:val="22"/>
          <w:szCs w:val="22"/>
          <w:color w:val="auto"/>
        </w:rPr>
        <w:t>” means the Marshall Islands Limited Partnership Act, as amended.</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any Contract that would be required to be filed by the Partnership as a “material contract” pursuant to Item 601(b)(10) of Regulation S-K under the Securities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has the meaning set forth in the Recitals.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Agreement</w:t>
      </w:r>
      <w:r>
        <w:rPr>
          <w:rFonts w:ascii="Times New Roman" w:cs="Times New Roman" w:eastAsia="Times New Roman" w:hAnsi="Times New Roman"/>
          <w:sz w:val="22"/>
          <w:szCs w:val="22"/>
          <w:color w:val="auto"/>
        </w:rPr>
        <w:t>” means the Seventh Amended and Restated Agreement of Limited Partnership of GasLog Partners LP, as amended or supplemented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Award</w:t>
      </w:r>
      <w:r>
        <w:rPr>
          <w:rFonts w:ascii="Times New Roman" w:cs="Times New Roman" w:eastAsia="Times New Roman" w:hAnsi="Times New Roman"/>
          <w:sz w:val="22"/>
          <w:szCs w:val="22"/>
          <w:color w:val="auto"/>
        </w:rPr>
        <w:t>” means a Partnership PCU Award or Partnership RCU Award, as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 Recommendation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Charter Documents</w:t>
      </w:r>
      <w:r>
        <w:rPr>
          <w:rFonts w:ascii="Times New Roman" w:cs="Times New Roman" w:eastAsia="Times New Roman" w:hAnsi="Times New Roman"/>
          <w:sz w:val="22"/>
          <w:szCs w:val="22"/>
          <w:color w:val="auto"/>
        </w:rPr>
        <w:t>” means (a) the Certificate of Limited Partnership of the Partnership, dated as of January 23, 2014, and (b) the Partnership Agreement.</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Partnership Financial Statements</w:t>
      </w:r>
      <w:r>
        <w:rPr>
          <w:rFonts w:ascii="Times New Roman" w:cs="Times New Roman" w:eastAsia="Times New Roman" w:hAnsi="Times New Roman"/>
          <w:sz w:val="21"/>
          <w:szCs w:val="21"/>
          <w:color w:val="auto"/>
        </w:rPr>
        <w:t>” means, collectively, (a) the Partnership’s audited consolidated (i) statements of financial position as of December 31, 2020 and 2021, (ii) statements of profit or loss for the years ended December 31, 2019, 2020 and 2021, (iii) statements of changes in equity for the years ended December 31, 2019, 2020 and 2021 and (iv) statements of cash flows for the years ended December 31, 2019, 2020 and 2021, in each case, contained in the Partnership’s Form 20-F filed by the Partnership with the SEC on March 1, 2022 and (b) the Partnership’s unaudited condensed consolidated (i) statements of financial position as of December 31, 2021 and 2022, (ii) statements of profits or loss for the three months and years ended December 31, 2021 and 2022 (iii) statements of cash flows for the years ended December 31, 2021 and 2022, in each case, contained in the Report of Foreign Private Issuer on Form 6-K filed by the Partnership with the SEC on January 26,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Interest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Long-Term Incentive Plan</w:t>
      </w:r>
      <w:r>
        <w:rPr>
          <w:rFonts w:ascii="Times New Roman" w:cs="Times New Roman" w:eastAsia="Times New Roman" w:hAnsi="Times New Roman"/>
          <w:sz w:val="22"/>
          <w:szCs w:val="22"/>
          <w:color w:val="auto"/>
        </w:rPr>
        <w:t>” means the GasLog Partners LP 2015 Long-Term Incentive Plan, as amended from time to time and including any successor or replacement plan or plans.</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Material Adverse Effect</w:t>
      </w:r>
      <w:r>
        <w:rPr>
          <w:rFonts w:ascii="Times New Roman" w:cs="Times New Roman" w:eastAsia="Times New Roman" w:hAnsi="Times New Roman"/>
          <w:sz w:val="22"/>
          <w:szCs w:val="22"/>
          <w:color w:val="auto"/>
        </w:rPr>
        <w:t xml:space="preserve">” means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in accordance with the terms of this Agreement or (b) has had or would reasonably be expected to have a material adverse effect on the business, properties, assets, liabilities, condition (financial or otherwise) or results of operations of the Partnership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no fact, circumstance, effect, change, event or development resulting from or arising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out of any of the following, individually or in the aggregate, shall constitute or be taken into account in determining whether a Partnership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Partnership Material Adverse Effect); (iv) the announcement or the pendency of the Merger (other than for purposes of the representations and warranties contained in </w:t>
      </w:r>
      <w:r>
        <w:rPr>
          <w:rFonts w:ascii="Times New Roman" w:cs="Times New Roman" w:eastAsia="Times New Roman" w:hAnsi="Times New Roman"/>
          <w:sz w:val="21"/>
          <w:szCs w:val="21"/>
          <w:u w:val="single" w:color="auto"/>
          <w:color w:val="auto"/>
        </w:rPr>
        <w:t>Section 3.3(b)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6.2(a)</w:t>
      </w:r>
      <w:r>
        <w:rPr>
          <w:rFonts w:ascii="Times New Roman" w:cs="Times New Roman" w:eastAsia="Times New Roman" w:hAnsi="Times New Roman"/>
          <w:sz w:val="21"/>
          <w:szCs w:val="21"/>
          <w:color w:val="auto"/>
        </w:rPr>
        <w:t xml:space="preserve"> to the extent related to such representations and warranties), including any unitholder litigation arising out of or related to this Agreement; (v) any change in and of itself in the market price, credit rating or trading volume of Common Units on the New York Stock Exchange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Partnership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fact, circumstance, effect, change, event or development set forth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above may be taken into account in determining whether a Partnership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PCU Award</w:t>
      </w:r>
      <w:r>
        <w:rPr>
          <w:rFonts w:ascii="Times New Roman" w:cs="Times New Roman" w:eastAsia="Times New Roman" w:hAnsi="Times New Roman"/>
          <w:sz w:val="22"/>
          <w:szCs w:val="22"/>
          <w:color w:val="auto"/>
        </w:rPr>
        <w:t>” means a restricted common unit award with respect to a Common Unit that remains subject to performance-based vesting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RCU Award</w:t>
      </w:r>
      <w:r>
        <w:rPr>
          <w:rFonts w:ascii="Times New Roman" w:cs="Times New Roman" w:eastAsia="Times New Roman" w:hAnsi="Times New Roman"/>
          <w:sz w:val="22"/>
          <w:szCs w:val="22"/>
          <w:color w:val="auto"/>
        </w:rPr>
        <w:t>” means a restricted common unit award with respect to a Common Unit that is not a Partnership PCU Award.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SEC Documents</w:t>
      </w:r>
      <w:r>
        <w:rPr>
          <w:rFonts w:ascii="Times New Roman" w:cs="Times New Roman" w:eastAsia="Times New Roman" w:hAnsi="Times New Roman"/>
          <w:sz w:val="22"/>
          <w:szCs w:val="22"/>
          <w:color w:val="auto"/>
        </w:rPr>
        <w:t>” means, collectively, all reports, schedules, forms, statements or other documents filed with, or furnished to, the SEC on or after January 1, 2022, and prior to the date of this Agreement by the Partnership and its Subsidiaries and publicly available prior to the date of this Agreement, including all exhibits and schedules thereto and documents incorporated by reference 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PCU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franchises, tariffs, grants, authorizations, licenses, permits, easements, variances, exceptions, consents, certificates, approvals, registrations and orders of any Governmental Authority.</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Partnership Financial Statements in accordance with IFRS, (b) mechanics’, materialmen’s, carriers’, workmen’s, warehouseman’s, repairmen’s, landlords’ and similar Liens granted or which arise in the ordinary course of business, (c) Liens securing payment, or any obligation, of the Partnership or its Subsidiaries with respect to outstanding indebtedness so long as there is no default under such indebtedness, (d) pledges or deposits by the Partnership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Partnership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Preference Units</w:t>
      </w:r>
      <w:r>
        <w:rPr>
          <w:rFonts w:ascii="Times New Roman" w:cs="Times New Roman" w:eastAsia="Times New Roman" w:hAnsi="Times New Roman"/>
          <w:sz w:val="22"/>
          <w:szCs w:val="22"/>
          <w:color w:val="auto"/>
        </w:rPr>
        <w:t>” means Preference Units as defined in the Partnership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actual or threatened claim (including a claim of a violation of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results in a formal civil or criminal litigation or other action.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RCU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its officers, directors, equityholders, employees, agents, financial advisors, investment bankers, attorneys, accountants, consultants and other advisors and representatives.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Restraints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13E-3</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(together with the rules and regulations promulgated thereunder).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Preference Units</w:t>
      </w:r>
      <w:r>
        <w:rPr>
          <w:rFonts w:ascii="Times New Roman" w:cs="Times New Roman" w:eastAsia="Times New Roman" w:hAnsi="Times New Roman"/>
          <w:sz w:val="22"/>
          <w:szCs w:val="22"/>
          <w:color w:val="auto"/>
        </w:rPr>
        <w:t>” means Series A Preference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Preference Units</w:t>
      </w:r>
      <w:r>
        <w:rPr>
          <w:rFonts w:ascii="Times New Roman" w:cs="Times New Roman" w:eastAsia="Times New Roman" w:hAnsi="Times New Roman"/>
          <w:sz w:val="22"/>
          <w:szCs w:val="22"/>
          <w:color w:val="auto"/>
        </w:rPr>
        <w:t>” means Series B Preference Units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 Preference Units</w:t>
      </w:r>
      <w:r>
        <w:rPr>
          <w:rFonts w:ascii="Times New Roman" w:cs="Times New Roman" w:eastAsia="Times New Roman" w:hAnsi="Times New Roman"/>
          <w:sz w:val="22"/>
          <w:szCs w:val="22"/>
          <w:color w:val="auto"/>
        </w:rPr>
        <w:t>” means Series C Preference Units as defined in the Partnership Agreement.</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xml:space="preserve"> ” means the Shareholders’ Agreement, dated as of June 9, 2021, among Parent, GEPIF and each of those existing shareholders of Parent that are listed on Schedule I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Approval</w:t>
      </w:r>
      <w:r>
        <w:rPr>
          <w:rFonts w:ascii="Times New Roman" w:cs="Times New Roman" w:eastAsia="Times New Roman" w:hAnsi="Times New Roman"/>
          <w:sz w:val="22"/>
          <w:szCs w:val="22"/>
          <w:color w:val="auto"/>
        </w:rPr>
        <w:t>” means Special Approval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Distribution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 Entities</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when used with respect to any Person, means any corporation, limited liability company, partnership, association, trust or other entity of which securities or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spacing w:after="0" w:line="238" w:lineRule="auto"/>
        <w:rPr>
          <w:sz w:val="20"/>
          <w:szCs w:val="20"/>
          <w:color w:val="auto"/>
        </w:rPr>
      </w:pPr>
      <w:r>
        <w:rPr>
          <w:rFonts w:ascii="Times New Roman" w:cs="Times New Roman" w:eastAsia="Times New Roman" w:hAnsi="Times New Roman"/>
          <w:sz w:val="22"/>
          <w:szCs w:val="22"/>
          <w:color w:val="auto"/>
        </w:rPr>
        <w:t>ownership interests representing more than 50% of the equity or more than 50% of the ordinary voting power (or, in the case of a partnership, more than 50% of the general partnership interests) are, as of such date, owned by such Person or one or more Subsidiaries of such Person or by such Person and one or more Subsidiaries of such Person. When used with respect to the Sponsor Entities,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not include the Partnership or its Subsidiaries unless otherwise specifically provided in this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means all U.S. and non-U.S. federal, national, provincial, state or local taxes, charges, fees, levies or other similar assessments or liabilities, in each case in the nature of taxes, including income, gross receipts,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value-added, excise, real property, personal property, sales, use, transfer, withholding, employment, license, payroll, severance, stamp, occupation, premium, windfall profits, environmental, customs, duties, capital stock, profits, social security (or similar),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Unaffiliated Unitholders</w:t>
      </w:r>
      <w:r>
        <w:rPr>
          <w:rFonts w:ascii="Times New Roman" w:cs="Times New Roman" w:eastAsia="Times New Roman" w:hAnsi="Times New Roman"/>
          <w:sz w:val="22"/>
          <w:szCs w:val="22"/>
          <w:color w:val="auto"/>
        </w:rPr>
        <w:t>” means Common Unitholders other than Parent and its Affiliates.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Unitholders Meeting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means, collectively, all vessels wholly owned by the Partnership or any of its Subsidiaries, all vessels chartered-in by the Partnership or any of its Subsidiaries pursuant to charter arrangements and any other vessels in which the Partnership or any of its Subsidiaries have an ownership interest.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ind w:left="3440" w:right="739" w:hanging="4551"/>
        <w:spacing w:after="0" w:line="489" w:lineRule="auto"/>
        <w:rPr>
          <w:sz w:val="20"/>
          <w:szCs w:val="20"/>
          <w:color w:val="auto"/>
        </w:rPr>
      </w:pPr>
      <w:r>
        <w:rPr>
          <w:rFonts w:ascii="Times New Roman" w:cs="Times New Roman" w:eastAsia="Times New Roman" w:hAnsi="Times New Roman"/>
          <w:sz w:val="22"/>
          <w:szCs w:val="22"/>
          <w:color w:val="auto"/>
        </w:rPr>
        <w:t>reasonably be expected to, result in or constitute a breach of or failure of performance under this Agreement. [</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6" w:name="page57"/>
    <w:bookmarkEnd w:id="56"/>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and delivered as of the date first above written.</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LTD.</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SATURN MERGER SUB LLC</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THE PARTNERSHIP</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 &amp; Chief Executive Officer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GASLOG PARTNERS GP LLC</w:t>
      </w:r>
    </w:p>
    <w:p>
      <w:pPr>
        <w:spacing w:after="0" w:line="20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VOTING AND SUPPORT AGREEMENT</w:t>
      </w:r>
    </w:p>
    <w:p>
      <w:pPr>
        <w:spacing w:after="0" w:line="23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This VOTING AND SUPPORT AGREEMENT, dated as of April 6, 2023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GasLog Ltd., a Bermuda exempted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GasLog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Each of Parent and the Partnership are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the Partnership, GasLog Partners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Parent and Saturn Merger Sub LLC, a Marshall Islands limited liability company and a wholly owned subsidiary of Parent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have entered into an Agreement and Plan of Merger, dated as of the date hereof (as may be amended, restated, supplemented or otherwise modified from time to time,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upon the terms and subject to the conditions set forth therein, among other things, Merger Sub will merge with and into the Partnership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Partnership surviving the Merger as a Subsidiary of Parent;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as of the date hereof, Parent is the Beneficial Owner (as defined below) of 15,621,602 Common Units (the “</w:t>
      </w:r>
      <w:r>
        <w:rPr>
          <w:rFonts w:ascii="Times New Roman" w:cs="Times New Roman" w:eastAsia="Times New Roman" w:hAnsi="Times New Roman"/>
          <w:sz w:val="22"/>
          <w:szCs w:val="22"/>
          <w:u w:val="single" w:color="auto"/>
          <w:color w:val="auto"/>
        </w:rPr>
        <w:t>Subject Common Units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concurrently with the execution and delivery of the Merger Agreement, and as a condition and an inducement to Partnership entering into the Merger Agreement, Parent is entering into this Agreement with respect to the Subject Common Units; and</w:t>
      </w:r>
    </w:p>
    <w:p>
      <w:pPr>
        <w:spacing w:after="0" w:line="20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Parent is willing, subject to the limitations herein, not to Transfer (as defined below) any of the Subject Common Units, and to vote the Subject Common Units in a manner to facilitate consummation of the Merger and the other transactions contemplated by the Merger Agreement.</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intending to be legally bound hereby, the Parties agree as follows:</w:t>
      </w:r>
    </w:p>
    <w:p>
      <w:pPr>
        <w:spacing w:after="0" w:line="18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This Agreement is the “Support Agreement” as defined in the Merger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in the Merger Agreement.</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Beneficially Own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avoidance of doubt, Beneficially Own and Beneficial Ownership shall also include record ownership of securities.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Beneficial Owners</w:t>
      </w:r>
      <w:r>
        <w:rPr>
          <w:rFonts w:ascii="Times New Roman" w:cs="Times New Roman" w:eastAsia="Times New Roman" w:hAnsi="Times New Roman"/>
          <w:sz w:val="22"/>
          <w:szCs w:val="22"/>
          <w:color w:val="auto"/>
        </w:rPr>
        <w:t>” shall mean Persons who Beneficially Own the referenced securities.</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means any direct or indirect offer, sale, assignment, pledge, disposition or other similar transfer (by operation of law or otherwise), either voluntary or involuntary, or entry into any Contract, option or other arrangement or understanding with respect to any offer, sale, assignment, pledge, disposition or other transfer (by operation of law or otherwise), of any Subject Common Units, including in each case through the Transfer of any Person or any interest in any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RETAIN COMMON UNITS</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 and Encumbrance of Common Units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From the date of this Agreement until the earliest of (i) the Unitholder Approval being obtained, (ii) the termination of the Merger Agreement pursuant to and in accordance with the terms thereof or (iii) the termination of this Agreement by the mutual written consent of Parent and the Partnership (in the case of the Partnership, duly authorized by the Conflicts Committee) (such earliest date,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Parent shall not, with respect to any Subject Common Units,</w:t>
      </w:r>
    </w:p>
    <w:p>
      <w:pPr>
        <w:spacing w:after="0" w:line="3" w:lineRule="exact"/>
        <w:rPr>
          <w:sz w:val="20"/>
          <w:szCs w:val="20"/>
          <w:color w:val="auto"/>
        </w:rPr>
      </w:pPr>
    </w:p>
    <w:p>
      <w:pPr>
        <w:jc w:val="both"/>
        <w:ind w:firstLine="8"/>
        <w:spacing w:after="0" w:line="235" w:lineRule="auto"/>
        <w:tabs>
          <w:tab w:leader="none" w:pos="36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any such Subject Common Units (except as otherwise provided herein) or (B) deposit any such Subject Common Units into a voting trust or enter into a voting agreement or arrangement with respect to such Subject Common Units or grant any proxy (except as otherwise provided herein) or power of attorney with respect thereto.</w:t>
      </w:r>
    </w:p>
    <w:p>
      <w:pPr>
        <w:spacing w:after="0" w:line="20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Parent may Transfer any Subject Common Units to any Person that (i) is a party to an agreement with the Partnership with substantially similar terms as this Agreement or (ii) as a condition to such Transfer, agrees in a writing, reasonably satisfactory in form and substance to the Partnership, to be bound by this Agreement, and delivers a copy of such executed written agreement to the Partnership prior to the consummation of such Transfer.</w:t>
      </w:r>
    </w:p>
    <w:p>
      <w:pPr>
        <w:spacing w:after="0" w:line="20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Nothing in this Agreement shall restrict direct or indirect Transfers of equity or other interests in Parent (it being understood that Parent shall remain bound by this Agreement).</w:t>
      </w:r>
    </w:p>
    <w:p>
      <w:pPr>
        <w:spacing w:after="0" w:line="18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Additional Common Units</w:t>
      </w:r>
      <w:r>
        <w:rPr>
          <w:rFonts w:ascii="Times New Roman" w:cs="Times New Roman" w:eastAsia="Times New Roman" w:hAnsi="Times New Roman"/>
          <w:sz w:val="22"/>
          <w:szCs w:val="22"/>
          <w:color w:val="auto"/>
        </w:rPr>
        <w:t>. From the date of this Agreement until the Termination Date, except for Common Units issued to Parent upon conversion of Class B Units in accordance with the Partnership Agreement, Parent agrees that it will not purchase or otherwise acquire or become the Beneficial Owner of any additional Common Units other than the Subject Common Units of which it is the Beneficial Owner as of the date hereof. From the date of this Agreement until the Termination Date, if Parent becomes the Beneficial Owner of any Common Units as a result of the issuance of Common Units upon conversion of Class B Units in accordance with the Partnership Agreement, such Common Units shall, without further action of the Parties,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be deemed “Subject Common Units” and be subject to all of the restrictions, liabilities and rights under this Agreement, which shall continue in full force and effect until the valid termination of this Agreement in accordance with its terms.</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Unpermitted Transfers; Involuntary Transfers</w:t>
      </w:r>
      <w:r>
        <w:rPr>
          <w:rFonts w:ascii="Times New Roman" w:cs="Times New Roman" w:eastAsia="Times New Roman" w:hAnsi="Times New Roman"/>
          <w:sz w:val="22"/>
          <w:szCs w:val="22"/>
          <w:color w:val="auto"/>
        </w:rPr>
        <w:t xml:space="preserve">. Any Transfer or attempted Transfer of any Subject Common Units in violation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to the fullest extent permitted by applicable Law,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If any involuntary Transfer of any Subject Common Units shall occur, the transferee (which term, as used herein, shall include any and all transferees and subsequent transferees of the initial transferee) shall take and hold such Subject Common Units subject to all of the restrictions, liabilities and rights under this Agreement, which shall continue in full force and effect until the valid termination of this Agreement in accordance with its terms.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TO VOTE</w:t>
      </w:r>
    </w:p>
    <w:p>
      <w:pPr>
        <w:spacing w:after="0" w:line="20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 to Vote</w:t>
      </w:r>
      <w:r>
        <w:rPr>
          <w:rFonts w:ascii="Times New Roman" w:cs="Times New Roman" w:eastAsia="Times New Roman" w:hAnsi="Times New Roman"/>
          <w:sz w:val="22"/>
          <w:szCs w:val="22"/>
          <w:color w:val="auto"/>
        </w:rPr>
        <w:t>. Prior to the Termination Date, Parent irrevocably and unconditionally agrees that it shall, at any Unitholders Meeting (whether annual or special and whether or not an adjourned or postponed meeting), however called, appear at such meeting or otherwise cause the Subject Common Units to be counted as present at such meeting for purpose of establishing a quorum and vote, or cause to be voted at such meeting, all the Subject Common Units: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in favor of the Merger Agreement and the transactions contemplated thereby; and</w:t>
      </w:r>
    </w:p>
    <w:p>
      <w:pPr>
        <w:spacing w:after="0" w:line="233"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against (i) any agreement, transaction or proposal that relates to any other transaction, proposal, agreement or action made in opposition to adoption of the Merger Agreement or inconsistent with the Merger or matters contemplated by the Merger Agreement; (ii) any action or agreement that would result in a breach of any covenant, representation or warranty or any other obligation or agreement of Parent or any of its Subsidiaries contained in the Merger Agreement; (iii) any action or agreement that would result in any condition to the consummation of the Merger or the transactions contemplated by the Merger Agreement set forth in Article VI of the Merger Agreement not being fulfilled; and (iv) any other action that would, individually or in the aggregate, reasonably be expected to materially delay, interfere with, hinder or impair the consummation of the transactions contemplated by the Merger Agreement or this Agreement in accordance with the terms thereof or hereof.</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Any attempt by Parent to vote, (or otherwise to utilize the voting power of) the Subject Common Units in contravention of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Notwithstanding anything to the contrary in this Agreement, Parent shall remain free to vote (or execute consents or proxies with respect to) the Subject Common Units with respect to any matter other than as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in any manner Parent deems appropriate.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Proxy</w:t>
      </w:r>
      <w:r>
        <w:rPr>
          <w:rFonts w:ascii="Times New Roman" w:cs="Times New Roman" w:eastAsia="Times New Roman" w:hAnsi="Times New Roman"/>
          <w:sz w:val="22"/>
          <w:szCs w:val="22"/>
          <w:color w:val="auto"/>
        </w:rPr>
        <w:t xml:space="preserve">. Parent hereby irrevocably appoints as its proxy and attorney-in-fact, the chair of the Conflicts Committee and any Person designated in writing by the chair of the Conflicts Committee, each of such Persons individually, with full power of substitution and resubstitution, to vote the Subject Common Units as indicated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Parent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Parent with respect to the Subject Common Units. The proxy granted by Parent (a) shall be automatically revoked upon the occurrence of the Termination Date and (b) may be terminated at any time by the Partnership (with the prior written approval of the Conflicts Committee) by written notice provided to Parent.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 OF PARENT</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Parent hereby represents and warrants as follows:</w:t>
      </w:r>
    </w:p>
    <w:p>
      <w:pPr>
        <w:spacing w:after="0" w:line="23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xml:space="preserve">. Parent has, with respect to the Subject Common Units, and at all times during the term of this Agreement will continue to have, Beneficial Ownership of, good and valid title to and full and exclusive power to vote, issue instructions with respect to the matters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agree to all of the matters set forth in this Agreement and to Transfer the Subject Common Units. The Subject Common Units constitute all of the Common Units owned of record or beneficially by Parent as of the date of this Agreement.</w:t>
      </w:r>
    </w:p>
    <w:p>
      <w:pPr>
        <w:spacing w:after="0" w:line="20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Parent has full corporate power and authority and is duly authorized to make, enter into and carry out the terms of this Agreement and to perform its obligations hereunder. This Agreement has been duly and validly executed and delivered by Parent and (assuming due authorization, execution and delivery by the Partnership) constitutes a valid and binding agreement of Parent, enforceable against Parent in accordance with its terms (except in all cases as such enforceability may be limited by and subject to the Bankruptcy and Equity Exception), and no other action is necessary to authorize the execution and delivery by Parent or the performance of Parent’s obligations hereunder.</w:t>
      </w:r>
    </w:p>
    <w:p>
      <w:pPr>
        <w:spacing w:after="0" w:line="20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delivery and performance by Parent of this Agreement will not (i) violate any provision of any Law applicable to Parent, (ii) violate any Judgment applicable to Parent or (iii) conflict with, or result in a breach or default under, any agreement or instrument to which Parent is a party or any term or condition of Parent’s Charter Documents, except where such conflict, breach or default would not, individually or in the aggregate, reasonably be expected to prevent the performance by Parent of its obligations under this Agreement.</w:t>
      </w:r>
    </w:p>
    <w:p>
      <w:pPr>
        <w:spacing w:after="0" w:line="20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The execution and delivery by Parent of this Agreement and the performance of Parent’s obligations hereunder do not require Parent to obtain any Consent of, or to make any filing with or notification to, any Governmental Authority, except for any such Consent, filing or notification as may be required under the Exchange Act.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Absence of Litigation</w:t>
      </w:r>
      <w:r>
        <w:rPr>
          <w:rFonts w:ascii="Times New Roman" w:cs="Times New Roman" w:eastAsia="Times New Roman" w:hAnsi="Times New Roman"/>
          <w:sz w:val="22"/>
          <w:szCs w:val="22"/>
          <w:color w:val="auto"/>
        </w:rPr>
        <w:t>. To the Knowledge of Parent, as of the date of this Agreement, there is no Proceeding pending against, or threatened in writing against Parent that would, individually or in the aggregate, reasonably be expected to prevent (or, if successful, would prevent) the performance by Parent of its obligations under this Agreement.</w:t>
      </w:r>
    </w:p>
    <w:p>
      <w:pPr>
        <w:spacing w:after="0" w:line="20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 of Litigation</w:t>
      </w:r>
      <w:r>
        <w:rPr>
          <w:rFonts w:ascii="Times New Roman" w:cs="Times New Roman" w:eastAsia="Times New Roman" w:hAnsi="Times New Roman"/>
          <w:sz w:val="22"/>
          <w:szCs w:val="22"/>
          <w:color w:val="auto"/>
        </w:rPr>
        <w:t>. Parent agrees not to commence or join in, and agrees to take all actions necessary to opt out of any class in any class action with respect to, any claim, derivative or otherwise, against the Partnership or any of its affiliates and each of their successors or directors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Partnership Board (or the Conflicts Committee) in connection with the negotiation and entry into this Agreement, the Merger Agreement or the transactions contemplated hereby or thereby, and hereby irrevocably waives any claim or rights whatsoever with respect to any of the foregoing.</w:t>
      </w:r>
    </w:p>
    <w:p>
      <w:pPr>
        <w:spacing w:after="0" w:line="210"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Parent agrees that from and after the date of this Agreement and until the Termination Date, it shall take no action that would reasonably be likely to adversely affect or delay the ability to perform its covenants and agreements under this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shall terminate on the Termination Date. Neither the provisions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nor the termination of this Agreement shall relieve (x) any Party from any liability of such Party to the other Party incurred prior to such termination or (y) any Party from any liability to the other Party arising out of or in connection with a breach of this Agreement. Nothing in the Merger Agreement shall relieve Parent from any liability arising out of or in connection with a breach of this Agreement.</w:t>
      </w:r>
    </w:p>
    <w:p>
      <w:pPr>
        <w:spacing w:after="0" w:line="204"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to Parent to:</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Ltd.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w:t>
      </w:r>
    </w:p>
    <w:p>
      <w:pPr>
        <w:ind w:left="98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98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980"/>
        <w:spacing w:after="0"/>
        <w:rPr>
          <w:sz w:val="20"/>
          <w:szCs w:val="20"/>
          <w:color w:val="auto"/>
        </w:rPr>
      </w:pPr>
      <w:r>
        <w:rPr>
          <w:rFonts w:ascii="Times New Roman" w:cs="Times New Roman" w:eastAsia="Times New Roman" w:hAnsi="Times New Roman"/>
          <w:sz w:val="22"/>
          <w:szCs w:val="22"/>
          <w:color w:val="auto"/>
        </w:rPr>
        <w:t>Greece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Worldwide Plaza</w:t>
      </w:r>
    </w:p>
    <w:p>
      <w:pPr>
        <w:ind w:left="980"/>
        <w:spacing w:after="0" w:line="230" w:lineRule="auto"/>
        <w:rPr>
          <w:sz w:val="20"/>
          <w:szCs w:val="20"/>
          <w:color w:val="auto"/>
        </w:rPr>
      </w:pPr>
      <w:r>
        <w:rPr>
          <w:rFonts w:ascii="Times New Roman" w:cs="Times New Roman" w:eastAsia="Times New Roman" w:hAnsi="Times New Roman"/>
          <w:sz w:val="22"/>
          <w:szCs w:val="22"/>
          <w:color w:val="auto"/>
        </w:rPr>
        <w:t>825 Eighth Avenue</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    D. Scott Bennett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Andrew C. Elken</w:t>
      </w:r>
    </w:p>
    <w:p>
      <w:pPr>
        <w:ind w:left="980"/>
        <w:spacing w:after="0" w:line="230" w:lineRule="auto"/>
        <w:rPr>
          <w:sz w:val="20"/>
          <w:szCs w:val="20"/>
          <w:color w:val="auto"/>
        </w:rPr>
      </w:pPr>
      <w:r>
        <w:rPr>
          <w:rFonts w:ascii="Times New Roman" w:cs="Times New Roman" w:eastAsia="Times New Roman" w:hAnsi="Times New Roman"/>
          <w:sz w:val="22"/>
          <w:szCs w:val="22"/>
          <w:color w:val="auto"/>
        </w:rPr>
        <w:t>                        Jin-Kyu Baek</w:t>
      </w:r>
    </w:p>
    <w:p>
      <w:pPr>
        <w:ind w:left="980"/>
        <w:spacing w:after="0" w:line="231" w:lineRule="auto"/>
        <w:rPr>
          <w:sz w:val="20"/>
          <w:szCs w:val="20"/>
          <w:color w:val="auto"/>
        </w:rPr>
      </w:pPr>
      <w:r>
        <w:rPr>
          <w:rFonts w:ascii="Times New Roman" w:cs="Times New Roman" w:eastAsia="Times New Roman" w:hAnsi="Times New Roman"/>
          <w:sz w:val="22"/>
          <w:szCs w:val="22"/>
          <w:color w:val="auto"/>
        </w:rPr>
        <w:t>Email:           sbennett@cravath.com</w:t>
      </w:r>
    </w:p>
    <w:p>
      <w:pPr>
        <w:ind w:left="980"/>
        <w:spacing w:after="0" w:line="230" w:lineRule="auto"/>
        <w:rPr>
          <w:sz w:val="20"/>
          <w:szCs w:val="20"/>
          <w:color w:val="auto"/>
        </w:rPr>
      </w:pPr>
      <w:r>
        <w:rPr>
          <w:rFonts w:ascii="Times New Roman" w:cs="Times New Roman" w:eastAsia="Times New Roman" w:hAnsi="Times New Roman"/>
          <w:sz w:val="22"/>
          <w:szCs w:val="22"/>
          <w:color w:val="auto"/>
        </w:rPr>
        <w:t>                        aelken@cravath.com</w:t>
      </w:r>
    </w:p>
    <w:p>
      <w:pPr>
        <w:ind w:left="980"/>
        <w:spacing w:after="0" w:line="231" w:lineRule="auto"/>
        <w:rPr>
          <w:sz w:val="20"/>
          <w:szCs w:val="20"/>
          <w:color w:val="auto"/>
        </w:rPr>
      </w:pPr>
      <w:r>
        <w:rPr>
          <w:rFonts w:ascii="Times New Roman" w:cs="Times New Roman" w:eastAsia="Times New Roman" w:hAnsi="Times New Roman"/>
          <w:sz w:val="22"/>
          <w:szCs w:val="22"/>
          <w:color w:val="auto"/>
        </w:rPr>
        <w:t>                        jbaek@cravath.com;</w:t>
      </w:r>
    </w:p>
    <w:p>
      <w:pPr>
        <w:ind w:left="980"/>
        <w:spacing w:after="0" w:line="230"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 GasLog LNG Services Ltd.</w:t>
      </w:r>
    </w:p>
    <w:p>
      <w:pPr>
        <w:ind w:left="980"/>
        <w:spacing w:after="0" w:line="230" w:lineRule="auto"/>
        <w:rPr>
          <w:sz w:val="20"/>
          <w:szCs w:val="20"/>
          <w:color w:val="auto"/>
        </w:rPr>
      </w:pPr>
      <w:r>
        <w:rPr>
          <w:rFonts w:ascii="Times New Roman" w:cs="Times New Roman" w:eastAsia="Times New Roman" w:hAnsi="Times New Roman"/>
          <w:sz w:val="22"/>
          <w:szCs w:val="22"/>
          <w:color w:val="auto"/>
        </w:rPr>
        <w:t>69 Akti Miaouli</w:t>
      </w:r>
    </w:p>
    <w:p>
      <w:pPr>
        <w:ind w:left="980"/>
        <w:spacing w:after="0" w:line="231" w:lineRule="auto"/>
        <w:rPr>
          <w:sz w:val="20"/>
          <w:szCs w:val="20"/>
          <w:color w:val="auto"/>
        </w:rPr>
      </w:pPr>
      <w:r>
        <w:rPr>
          <w:rFonts w:ascii="Times New Roman" w:cs="Times New Roman" w:eastAsia="Times New Roman" w:hAnsi="Times New Roman"/>
          <w:sz w:val="22"/>
          <w:szCs w:val="22"/>
          <w:color w:val="auto"/>
        </w:rPr>
        <w:t>18537 Piraeus</w:t>
      </w:r>
    </w:p>
    <w:p>
      <w:pPr>
        <w:ind w:left="980"/>
        <w:spacing w:after="0"/>
        <w:rPr>
          <w:sz w:val="20"/>
          <w:szCs w:val="20"/>
          <w:color w:val="auto"/>
        </w:rPr>
      </w:pPr>
      <w:r>
        <w:rPr>
          <w:rFonts w:ascii="Times New Roman" w:cs="Times New Roman" w:eastAsia="Times New Roman" w:hAnsi="Times New Roman"/>
          <w:sz w:val="22"/>
          <w:szCs w:val="22"/>
          <w:color w:val="auto"/>
        </w:rPr>
        <w:t>Greece</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     Alexandros Laios, General Counsel</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Email:            alaios@gaslogltd.com</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Richards, Layton &amp; Finger, P.A.</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One Rodney Square, 920 North King Street</w:t>
      </w:r>
    </w:p>
    <w:p>
      <w:pPr>
        <w:ind w:left="980"/>
        <w:spacing w:after="0"/>
        <w:rPr>
          <w:sz w:val="20"/>
          <w:szCs w:val="20"/>
          <w:color w:val="auto"/>
        </w:rPr>
      </w:pPr>
      <w:r>
        <w:rPr>
          <w:rFonts w:ascii="Times New Roman" w:cs="Times New Roman" w:eastAsia="Times New Roman" w:hAnsi="Times New Roman"/>
          <w:sz w:val="22"/>
          <w:szCs w:val="22"/>
          <w:color w:val="auto"/>
        </w:rPr>
        <w:t>Wilmington, Delaware 19801</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Attention:    Srinivas M. Raju</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Kenneth Jackman</w:t>
      </w:r>
    </w:p>
    <w:p>
      <w:pPr>
        <w:ind w:left="980"/>
        <w:spacing w:after="0" w:line="230" w:lineRule="auto"/>
        <w:rPr>
          <w:sz w:val="20"/>
          <w:szCs w:val="20"/>
          <w:color w:val="auto"/>
        </w:rPr>
      </w:pPr>
      <w:r>
        <w:rPr>
          <w:rFonts w:ascii="Times New Roman" w:cs="Times New Roman" w:eastAsia="Times New Roman" w:hAnsi="Times New Roman"/>
          <w:sz w:val="22"/>
          <w:szCs w:val="22"/>
          <w:color w:val="auto"/>
        </w:rPr>
        <w:t>Email:           raju@rlf.com</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jackman@rlf.com</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355" w:right="67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This Agreement shall not be amended or modified except by written instrument duly executed by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Partnership may not, without the prior written approval of the Conflicts Committee, agree to any amendment, modification or waiver of this Agreement.</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20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 and Binding Effect</w:t>
      </w:r>
      <w:r>
        <w:rPr>
          <w:rFonts w:ascii="Times New Roman" w:cs="Times New Roman" w:eastAsia="Times New Roman" w:hAnsi="Times New Roman"/>
          <w:sz w:val="22"/>
          <w:szCs w:val="22"/>
          <w:color w:val="auto"/>
        </w:rPr>
        <w:t xml:space="preserve">. Except in connection with a permitted Transfer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no Party may assign, delegate or otherwise transfer this Agreement or any of its rights or obligations hereunder, by operation of law or otherwise, without the prior written consent of the other Party, and any such attempted assignment, delegation or transfer shall be void. Subject to the preceding sentence, this Agreement will be binding upon, inure to the benefit of and be enforceable by the Parties and their respective successors, permitted transferees and permitted assigns. Except as expressly set forth in the prior sentence, (a) none of the provisions of this Agreement shall be for the benefit of or enforceable by any third party, including any creditor of any Party or any of their Affiliates, and (b) no such third party shall obtain any right under any provision of this Agreement or shall by reasons of any such provision make any claim in respect of any liability (or otherwise) against any other Party.</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with respect to the subject matter hereof and thereof and supersedes all previous agreements, negotiations, discussions, understandings, writings, commitments and conversations between the Parties with respect to such subject matter. No agreements or understandings exist among the Parties other than those set forth or referred to herein or therein.</w:t>
      </w:r>
    </w:p>
    <w:p>
      <w:pPr>
        <w:spacing w:after="0" w:line="20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Partnership, Agency or Joint Venture</w:t>
      </w:r>
      <w:r>
        <w:rPr>
          <w:rFonts w:ascii="Times New Roman" w:cs="Times New Roman" w:eastAsia="Times New Roman" w:hAnsi="Times New Roman"/>
          <w:sz w:val="22"/>
          <w:szCs w:val="22"/>
          <w:color w:val="auto"/>
        </w:rPr>
        <w:t>. This Agreement is intended to create, and creates, a contractual relationship and is not intended to create, and does not create, any agency, partnership, joint venture, any like relationship between the Parties or a presumption that the Parties are in any way acting in concert or as a group with respect to the obligations or the transactions contemplated by this Agreement.</w:t>
      </w:r>
    </w:p>
    <w:p>
      <w:pPr>
        <w:spacing w:after="0" w:line="20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Section 5.7</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All fees and expenses incurred in connection with this Agreement and the transactions contemplated hereby shall be paid by the Party incurring or required to incur such fees or expenses, whether or not the transactions contemplated by the Merger Agreement and this Agreement are consummated.</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5.8</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Ownership Interest</w:t>
      </w:r>
      <w:r>
        <w:rPr>
          <w:rFonts w:ascii="Times New Roman" w:cs="Times New Roman" w:eastAsia="Times New Roman" w:hAnsi="Times New Roman"/>
          <w:sz w:val="22"/>
          <w:szCs w:val="22"/>
          <w:color w:val="auto"/>
        </w:rPr>
        <w:t>. Nothing contained in this Agreement shall be deemed to vest in the Partnership any direct or indirect ownership or incidence of ownership of or with respect to the Subject Common Units. All rights, ownership and economic benefits of and relating to the Subject Common Units shall remain vested in and belong to Parent, and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jc w:val="both"/>
        <w:spacing w:after="0" w:line="244" w:lineRule="auto"/>
        <w:rPr>
          <w:sz w:val="20"/>
          <w:szCs w:val="20"/>
          <w:color w:val="auto"/>
        </w:rPr>
      </w:pPr>
      <w:r>
        <w:rPr>
          <w:rFonts w:ascii="Times New Roman" w:cs="Times New Roman" w:eastAsia="Times New Roman" w:hAnsi="Times New Roman"/>
          <w:sz w:val="22"/>
          <w:szCs w:val="22"/>
          <w:color w:val="auto"/>
        </w:rPr>
        <w:t>Partnership shall not have any authority to manage, direct, restrict, regulate, govern or administer any of the policies or operations of Parent or exercise any power or authority over Parent in the voting or disposition of any Subject Common Units, except as otherwise expressly provided herein.</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Section 5.9</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Parent consents to and authorizes the publication and disclosure by the Partnership of the terms of this Agreement (including, for avoidance of doubt, the disclosure of this Agreement), in the Schedule 13E-3 (including the Proxy Statement contained therein) and any other announcement or disclosure required by the SEC in connection with the Merger Agreement and the transactions contemplated by thereby.</w:t>
      </w:r>
    </w:p>
    <w:p>
      <w:pPr>
        <w:spacing w:after="0" w:line="20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Section 5.10</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Parties have participated jointly in negotiating and drafting this Agreement with the assistance of counsel.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spacing w:after="0" w:line="214" w:lineRule="exact"/>
        <w:rPr>
          <w:sz w:val="20"/>
          <w:szCs w:val="20"/>
          <w:color w:val="auto"/>
        </w:rPr>
      </w:pPr>
    </w:p>
    <w:p>
      <w:pPr>
        <w:jc w:val="both"/>
        <w:ind w:right="620" w:firstLine="1296"/>
        <w:spacing w:after="0" w:line="244" w:lineRule="auto"/>
        <w:rPr>
          <w:sz w:val="20"/>
          <w:szCs w:val="20"/>
          <w:color w:val="auto"/>
        </w:rPr>
      </w:pPr>
      <w:r>
        <w:rPr>
          <w:rFonts w:ascii="Times New Roman" w:cs="Times New Roman" w:eastAsia="Times New Roman" w:hAnsi="Times New Roman"/>
          <w:sz w:val="22"/>
          <w:szCs w:val="22"/>
          <w:color w:val="auto"/>
        </w:rPr>
        <w:t>Section 5.11</w:t>
      </w: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Miscellaneous Provisions</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Sections 8.5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8.13</w:t>
      </w:r>
      <w:r>
        <w:rPr>
          <w:rFonts w:ascii="Times New Roman" w:cs="Times New Roman" w:eastAsia="Times New Roman" w:hAnsi="Times New Roman"/>
          <w:sz w:val="22"/>
          <w:szCs w:val="22"/>
          <w:color w:val="auto"/>
        </w:rPr>
        <w:t xml:space="preserve"> of the Merger Agreement shall be incorporated into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except for such changes as are required to comply with applicable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hereby, have executed or caused this Agreement to be executed in counterparts, all as of the day and year first above written.</w:t>
      </w:r>
    </w:p>
    <w:p>
      <w:pPr>
        <w:spacing w:after="0" w:line="200" w:lineRule="exact"/>
        <w:rPr>
          <w:sz w:val="20"/>
          <w:szCs w:val="20"/>
          <w:color w:val="auto"/>
        </w:rPr>
      </w:pP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GASLOG LTD.</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Paolo Enoizi</w:t>
      </w:r>
    </w:p>
    <w:p>
      <w:pPr>
        <w:ind w:left="6200"/>
        <w:spacing w:after="0"/>
        <w:tabs>
          <w:tab w:leader="none" w:pos="6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355" w:right="1119" w:bottom="1440" w:gutter="0" w:footer="0" w:header="0"/>
        </w:sectPr>
      </w:pPr>
    </w:p>
    <w:bookmarkStart w:id="66" w:name="page67"/>
    <w:bookmarkEnd w:id="66"/>
    <w:p>
      <w:pPr>
        <w:ind w:left="4520"/>
        <w:spacing w:after="0"/>
        <w:rPr>
          <w:sz w:val="20"/>
          <w:szCs w:val="20"/>
          <w:color w:val="auto"/>
        </w:rPr>
      </w:pPr>
      <w:r>
        <w:rPr>
          <w:rFonts w:ascii="Times New Roman" w:cs="Times New Roman" w:eastAsia="Times New Roman" w:hAnsi="Times New Roman"/>
          <w:sz w:val="22"/>
          <w:szCs w:val="22"/>
          <w:b w:val="1"/>
          <w:bCs w:val="1"/>
          <w:color w:val="auto"/>
        </w:rPr>
        <w:t>GASLOG PARTNERS LP</w:t>
      </w:r>
    </w:p>
    <w:p>
      <w:pPr>
        <w:spacing w:after="0" w:line="200" w:lineRule="exact"/>
        <w:rPr>
          <w:sz w:val="20"/>
          <w:szCs w:val="20"/>
          <w:color w:val="auto"/>
        </w:rPr>
      </w:pPr>
    </w:p>
    <w:p>
      <w:pPr>
        <w:spacing w:after="0" w:line="280"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3197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22"/>
          <w:szCs w:val="22"/>
          <w:color w:val="auto"/>
        </w:rPr>
        <w:t>Name: Paolo Enoizi</w:t>
      </w:r>
    </w:p>
    <w:p>
      <w:pPr>
        <w:ind w:left="5080"/>
        <w:spacing w:after="0"/>
        <w:tabs>
          <w:tab w:leader="none" w:pos="5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 &amp; Chief Executive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upperLetter"/>
      <w:start w:val="2"/>
    </w:lvl>
  </w:abstractNum>
  <w:abstractNum w:abstractNumId="2">
    <w:nsid w:val="41B71EFB"/>
    <w:multiLevelType w:val="hybridMultilevel"/>
    <w:lvl w:ilvl="0">
      <w:lvlJc w:val="left"/>
      <w:lvlText w:val="(%1)"/>
      <w:numFmt w:val="lowerRoman"/>
      <w:start w:val="2"/>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5"/>
    </w:lvl>
  </w:abstractNum>
  <w:abstractNum w:abstractNumId="5">
    <w:nsid w:val="515F007C"/>
    <w:multiLevelType w:val="hybridMultilevel"/>
    <w:lvl w:ilvl="0">
      <w:lvlJc w:val="left"/>
      <w:lvlText w:val="(%1)"/>
      <w:numFmt w:val="upperLetter"/>
      <w:start w:val="2"/>
    </w:lvl>
  </w:abstractNum>
  <w:abstractNum w:abstractNumId="6">
    <w:nsid w:val="5BD062C2"/>
    <w:multiLevelType w:val="hybridMultilevel"/>
    <w:lvl w:ilvl="0">
      <w:lvlJc w:val="left"/>
      <w:lvlText w:val="(%1)"/>
      <w:numFmt w:val="upperLetter"/>
      <w:start w:val="1"/>
    </w:lvl>
  </w:abstractNum>
  <w:abstractNum w:abstractNumId="7">
    <w:nsid w:val="12200854"/>
    <w:multiLevelType w:val="hybridMultilevel"/>
    <w:lvl w:ilvl="0">
      <w:lvlJc w:val="left"/>
      <w:lvlText w:val="(%1)"/>
      <w:numFmt w:val="lowerRoman"/>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2023-04-07T07:32:51Z</dcterms:created>
  <dcterms:modified xsi:type="dcterms:W3CDTF">2023-04-07T07:32:51Z</dcterms:modified>
</cp:coreProperties>
</file>