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5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Form 6-K</w:t>
            </w:r>
          </w:p>
        </w:tc>
        <w:tc>
          <w:tcPr>
            <w:tcW w:w="660" w:type="dxa"/>
            <w:vAlign w:val="bottom"/>
          </w:tcPr>
          <w:p>
            <w:pPr>
              <w:spacing w:after="0"/>
              <w:rPr>
                <w:sz w:val="20"/>
                <w:szCs w:val="20"/>
                <w:color w:val="auto"/>
              </w:rPr>
            </w:pPr>
          </w:p>
        </w:tc>
      </w:tr>
      <w:tr>
        <w:trPr>
          <w:trHeight w:val="410"/>
        </w:trPr>
        <w:tc>
          <w:tcPr>
            <w:tcW w:w="105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REPORT OF FOREIGN PRIVATE ISSUER PURSUANT TO RULE 13a-16 OR 15d-16 UNDER THE SECURITIES</w:t>
            </w:r>
          </w:p>
        </w:tc>
        <w:tc>
          <w:tcPr>
            <w:tcW w:w="660" w:type="dxa"/>
            <w:vAlign w:val="bottom"/>
          </w:tcPr>
          <w:p>
            <w:pPr>
              <w:spacing w:after="0"/>
              <w:rPr>
                <w:sz w:val="24"/>
                <w:szCs w:val="24"/>
                <w:color w:val="auto"/>
              </w:rPr>
            </w:pPr>
          </w:p>
        </w:tc>
      </w:tr>
      <w:tr>
        <w:trPr>
          <w:trHeight w:val="238"/>
        </w:trPr>
        <w:tc>
          <w:tcPr>
            <w:tcW w:w="105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EXCHANGE ACT OF 1934</w:t>
            </w:r>
          </w:p>
        </w:tc>
        <w:tc>
          <w:tcPr>
            <w:tcW w:w="660" w:type="dxa"/>
            <w:vAlign w:val="bottom"/>
          </w:tcPr>
          <w:p>
            <w:pPr>
              <w:spacing w:after="0"/>
              <w:rPr>
                <w:sz w:val="20"/>
                <w:szCs w:val="20"/>
                <w:color w:val="auto"/>
              </w:rPr>
            </w:pPr>
          </w:p>
        </w:tc>
      </w:tr>
      <w:tr>
        <w:trPr>
          <w:trHeight w:val="43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March 2023</w:t>
            </w:r>
          </w:p>
        </w:tc>
        <w:tc>
          <w:tcPr>
            <w:tcW w:w="660" w:type="dxa"/>
            <w:vAlign w:val="bottom"/>
          </w:tcPr>
          <w:p>
            <w:pPr>
              <w:spacing w:after="0"/>
              <w:rPr>
                <w:sz w:val="24"/>
                <w:szCs w:val="24"/>
                <w:color w:val="auto"/>
              </w:rPr>
            </w:pPr>
          </w:p>
        </w:tc>
      </w:tr>
      <w:tr>
        <w:trPr>
          <w:trHeight w:val="43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660" w:type="dxa"/>
            <w:vAlign w:val="bottom"/>
          </w:tcPr>
          <w:p>
            <w:pPr>
              <w:spacing w:after="0"/>
              <w:rPr>
                <w:sz w:val="24"/>
                <w:szCs w:val="24"/>
                <w:color w:val="auto"/>
              </w:rPr>
            </w:pPr>
          </w:p>
        </w:tc>
      </w:tr>
      <w:tr>
        <w:trPr>
          <w:trHeight w:val="414"/>
        </w:trPr>
        <w:tc>
          <w:tcPr>
            <w:tcW w:w="105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GasLog Ltd.</w:t>
            </w:r>
          </w:p>
        </w:tc>
        <w:tc>
          <w:tcPr>
            <w:tcW w:w="660" w:type="dxa"/>
            <w:vAlign w:val="bottom"/>
          </w:tcPr>
          <w:p>
            <w:pPr>
              <w:spacing w:after="0"/>
              <w:rPr>
                <w:sz w:val="24"/>
                <w:szCs w:val="24"/>
                <w:color w:val="auto"/>
              </w:rPr>
            </w:pPr>
          </w:p>
        </w:tc>
      </w:tr>
      <w:tr>
        <w:trPr>
          <w:trHeight w:val="234"/>
        </w:trPr>
        <w:tc>
          <w:tcPr>
            <w:tcW w:w="10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660" w:type="dxa"/>
            <w:vAlign w:val="bottom"/>
          </w:tcPr>
          <w:p>
            <w:pPr>
              <w:spacing w:after="0"/>
              <w:rPr>
                <w:sz w:val="20"/>
                <w:szCs w:val="20"/>
                <w:color w:val="auto"/>
              </w:rPr>
            </w:pPr>
          </w:p>
        </w:tc>
      </w:tr>
      <w:tr>
        <w:trPr>
          <w:trHeight w:val="414"/>
        </w:trPr>
        <w:tc>
          <w:tcPr>
            <w:tcW w:w="10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660" w:type="dxa"/>
            <w:vAlign w:val="bottom"/>
          </w:tcPr>
          <w:p>
            <w:pPr>
              <w:spacing w:after="0"/>
              <w:rPr>
                <w:sz w:val="24"/>
                <w:szCs w:val="24"/>
                <w:color w:val="auto"/>
              </w:rPr>
            </w:pPr>
          </w:p>
        </w:tc>
      </w:tr>
      <w:tr>
        <w:trPr>
          <w:trHeight w:val="216"/>
        </w:trPr>
        <w:tc>
          <w:tcPr>
            <w:tcW w:w="105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660" w:type="dxa"/>
            <w:vAlign w:val="bottom"/>
          </w:tcPr>
          <w:p>
            <w:pPr>
              <w:spacing w:after="0"/>
              <w:rPr>
                <w:sz w:val="18"/>
                <w:szCs w:val="18"/>
                <w:color w:val="auto"/>
              </w:rPr>
            </w:pPr>
          </w:p>
        </w:tc>
      </w:tr>
      <w:tr>
        <w:trPr>
          <w:trHeight w:val="216"/>
        </w:trPr>
        <w:tc>
          <w:tcPr>
            <w:tcW w:w="105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Piraeus, Greece</w:t>
            </w:r>
          </w:p>
        </w:tc>
        <w:tc>
          <w:tcPr>
            <w:tcW w:w="660" w:type="dxa"/>
            <w:vAlign w:val="bottom"/>
          </w:tcPr>
          <w:p>
            <w:pPr>
              <w:spacing w:after="0"/>
              <w:rPr>
                <w:sz w:val="18"/>
                <w:szCs w:val="18"/>
                <w:color w:val="auto"/>
              </w:rPr>
            </w:pPr>
          </w:p>
        </w:tc>
      </w:tr>
      <w:tr>
        <w:trPr>
          <w:trHeight w:val="234"/>
        </w:trPr>
        <w:tc>
          <w:tcPr>
            <w:tcW w:w="105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660" w:type="dxa"/>
            <w:vAlign w:val="bottom"/>
          </w:tcPr>
          <w:p>
            <w:pPr>
              <w:spacing w:after="0"/>
              <w:rPr>
                <w:sz w:val="20"/>
                <w:szCs w:val="20"/>
                <w:color w:val="auto"/>
              </w:rPr>
            </w:pPr>
          </w:p>
        </w:tc>
      </w:tr>
      <w:tr>
        <w:trPr>
          <w:trHeight w:val="43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660" w:type="dxa"/>
            <w:vAlign w:val="bottom"/>
          </w:tcPr>
          <w:p>
            <w:pPr>
              <w:spacing w:after="0"/>
              <w:rPr>
                <w:sz w:val="24"/>
                <w:szCs w:val="24"/>
                <w:color w:val="auto"/>
              </w:rPr>
            </w:pPr>
          </w:p>
        </w:tc>
      </w:tr>
      <w:tr>
        <w:trPr>
          <w:trHeight w:val="452"/>
        </w:trPr>
        <w:tc>
          <w:tcPr>
            <w:tcW w:w="10580" w:type="dxa"/>
            <w:vAlign w:val="bottom"/>
          </w:tcPr>
          <w:p>
            <w:pPr>
              <w:spacing w:after="0" w:line="208" w:lineRule="exact"/>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r>
      <w:tr>
        <w:trPr>
          <w:trHeight w:val="43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6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66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10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8"/>
        </w:trPr>
        <w:tc>
          <w:tcPr>
            <w:tcW w:w="10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675"/>
        </w:trPr>
        <w:tc>
          <w:tcPr>
            <w:tcW w:w="10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9" w:right="339" w:bottom="1440" w:gutter="0" w:footer="0" w:header="0"/>
        </w:sectPr>
      </w:pPr>
    </w:p>
    <w:bookmarkStart w:id="1" w:name="page2"/>
    <w:bookmarkEnd w:id="1"/>
    <w:p>
      <w:pPr>
        <w:ind w:firstLine="356"/>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Ltd. on March 3, 2023 announcing the availability of its Annual Report on Form 20-F and the declaration of a dividend on its Series A Preference Shares is attached hereto as Exhibit 99.1.</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LIST</w:t>
      </w:r>
    </w:p>
    <w:p>
      <w:pPr>
        <w:spacing w:after="0" w:line="2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March 3, 2023</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color w:val="auto"/>
        </w:rPr>
        <w:t>SIGNATURES</w:t>
      </w:r>
    </w:p>
    <w:p>
      <w:pPr>
        <w:spacing w:after="0" w:line="235" w:lineRule="exact"/>
        <w:rPr>
          <w:sz w:val="20"/>
          <w:szCs w:val="20"/>
          <w:color w:val="auto"/>
        </w:rPr>
      </w:pPr>
    </w:p>
    <w:p>
      <w:pPr>
        <w:ind w:firstLine="35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3,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LTD.,</w:t>
      </w:r>
    </w:p>
    <w:p>
      <w:pPr>
        <w:spacing w:after="0" w:line="221" w:lineRule="exact"/>
        <w:rPr>
          <w:sz w:val="20"/>
          <w:szCs w:val="20"/>
          <w:color w:val="auto"/>
        </w:rPr>
      </w:pPr>
    </w:p>
    <w:p>
      <w:pPr>
        <w:ind w:left="5880"/>
        <w:spacing w:after="0"/>
        <w:tabs>
          <w:tab w:leader="none" w:pos="618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32"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tab/>
        <w:t>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-116205</wp:posOffset>
            </wp:positionV>
            <wp:extent cx="3197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33"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16"/>
          <w:szCs w:val="16"/>
          <w:b w:val="1"/>
          <w:bCs w:val="1"/>
          <w:color w:val="auto"/>
        </w:rPr>
        <w:t>GasLog Ltd. Announces Availability of its Annual Report on Form 20-F For the Year Ended December 31, 2022 and Declares Dividend on Series A Preference Shares</w:t>
      </w:r>
    </w:p>
    <w:p>
      <w:pPr>
        <w:spacing w:after="0" w:line="160"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6"/>
          <w:szCs w:val="16"/>
          <w:b w:val="1"/>
          <w:bCs w:val="1"/>
          <w:color w:val="auto"/>
        </w:rPr>
        <w:t>Hamilton, Bermuda, March 3, 2023, GasLog Ltd. and its subsidiaries (“GasLog”, “Group” or “Company”) (NYSE: GLOG-PA)</w:t>
      </w:r>
      <w:r>
        <w:rPr>
          <w:rFonts w:ascii="Times New Roman" w:cs="Times New Roman" w:eastAsia="Times New Roman" w:hAnsi="Times New Roman"/>
          <w:sz w:val="16"/>
          <w:szCs w:val="16"/>
          <w:color w:val="auto"/>
        </w:rPr>
        <w:t>, an international owner, operator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manager of liquefied natural gas (“LNG”) carriers, announced today that its Annual Report on Form 20-F for the fiscal year ended December 31, 2022 (the “Annual Report”) has been filed with the U.S. Securities and Exchange Commission and can be accessed on the Company’s website, http://www.gaslogltd.com, in the “Investor Relations” section under “SEC Filings”.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may also request a hard copy of the Annual Report, which includes the Company’s complete 2022 audited financial statements, free of charge by contacting:</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ir@gaslogltd.com</w:t>
      </w:r>
    </w:p>
    <w:p>
      <w:pPr>
        <w:spacing w:after="0" w:line="235"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In addition, GasLog announced today a dividend of $0.546875 per share on its 8.75% Series A Cumulative Redeemable Perpetual Preference Shares, payable on April 3, 2023 for all shareholders of record as of March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Ltd.</w:t>
      </w:r>
    </w:p>
    <w:p>
      <w:pPr>
        <w:spacing w:after="0" w:line="2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GasLog is an international owner, operator and manager of LNG carriers providing support to international energy companies as part of their LNG logistics chain. GasLog’s consolidated fleet consists of 38 LNG carriers (33 on the water, four under construction and one vessel undergoing conversion into a floating storage and regasification unit, or “FSRU”). Of these vessels, 19 are owned by GasLog, five have been sold and leased back by GasLog under long-term bareboat charters and of the remaining 14 LNG carriers, 12 are owned by the Company’s subsidiary, GasLog Partners LP, and two have been sold and leased back by GasLog Partners LP.</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2023-03-03T05:51:30Z</dcterms:created>
  <dcterms:modified xsi:type="dcterms:W3CDTF">2023-03-03T05:51:30Z</dcterms:modified>
</cp:coreProperties>
</file>