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13D</w:t>
      </w:r>
    </w:p>
    <w:p>
      <w:pPr>
        <w:spacing w:after="0" w:line="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(Amendment No. 1)</w:t>
      </w:r>
    </w:p>
    <w:p>
      <w:pPr>
        <w:spacing w:after="0" w:line="33"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GasLog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(Name of Issuer)</w:t>
      </w:r>
    </w:p>
    <w:p>
      <w:pPr>
        <w:spacing w:after="0" w:line="2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Common Shares,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G37585109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(CUSIP Number)</w:t>
      </w:r>
    </w:p>
    <w:p>
      <w:pPr>
        <w:spacing w:after="0" w:line="23"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Olympic LNG Investments Ltd.</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 ASOFIN Management A.G.</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Städtle 27, FL-9490 Vaduz</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Liechtenstein</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+423-237 48 03</w:t>
      </w:r>
    </w:p>
    <w:p>
      <w:pPr>
        <w:spacing w:after="0" w:line="20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Copies to: D. Scott Bennett</w:t>
      </w:r>
      <w:r>
        <w:rPr>
          <w:rFonts w:ascii="Arial" w:cs="Arial" w:eastAsia="Arial" w:hAnsi="Arial"/>
          <w:sz w:val="17"/>
          <w:szCs w:val="17"/>
          <w:b w:val="1"/>
          <w:bCs w:val="1"/>
          <w:color w:val="auto"/>
        </w:rPr>
        <w:t>, Esq.</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Cravath, Swaine &amp; Moore LLP</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Worldwide Plaza</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825 Eighth Avenue</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New York, New York 10019</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+1 (212) 474-1132</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(telephone number)</w:t>
      </w:r>
    </w:p>
    <w:p>
      <w:pPr>
        <w:spacing w:after="0" w:line="9"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+1 (212) 474-3700</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(facsimile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June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(Date of Event Which Requires Filing of This Statement)</w:t>
      </w:r>
    </w:p>
    <w:p>
      <w:pPr>
        <w:spacing w:after="0" w:line="23" w:lineRule="exact"/>
        <w:rPr>
          <w:sz w:val="24"/>
          <w:szCs w:val="24"/>
          <w:color w:val="auto"/>
        </w:rPr>
      </w:pPr>
    </w:p>
    <w:p>
      <w:pPr>
        <w:ind w:right="100"/>
        <w:spacing w:after="0" w:line="226"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240.13d-l(f) or 240.13d-l(g), check the following box. </w:t>
      </w:r>
      <w:r>
        <w:rPr>
          <w:rFonts w:ascii="MS PGothic" w:cs="MS PGothic" w:eastAsia="MS PGothic" w:hAnsi="MS PGothic"/>
          <w:sz w:val="18"/>
          <w:szCs w:val="18"/>
          <w:color w:val="auto"/>
        </w:rPr>
        <w:t>☐</w:t>
      </w:r>
    </w:p>
    <w:p>
      <w:pPr>
        <w:spacing w:after="0" w:line="33"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40"/>
          </w:cols>
          <w:pgMar w:left="320" w:top="463"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G37585109</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700" w:type="dxa"/>
            <w:vAlign w:val="bottom"/>
            <w:tcBorders>
              <w:top w:val="single" w:sz="8" w:color="auto"/>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1</w:t>
            </w:r>
          </w:p>
        </w:tc>
        <w:tc>
          <w:tcPr>
            <w:tcW w:w="320" w:type="dxa"/>
            <w:vAlign w:val="bottom"/>
            <w:tcBorders>
              <w:top w:val="single" w:sz="8" w:color="auto"/>
              <w:right w:val="single" w:sz="8" w:color="auto"/>
            </w:tcBorders>
          </w:tcPr>
          <w:p>
            <w:pPr>
              <w:spacing w:after="0"/>
              <w:rPr>
                <w:sz w:val="18"/>
                <w:szCs w:val="18"/>
                <w:color w:val="auto"/>
              </w:rPr>
            </w:pPr>
          </w:p>
        </w:tc>
        <w:tc>
          <w:tcPr>
            <w:tcW w:w="10220" w:type="dxa"/>
            <w:vAlign w:val="bottom"/>
            <w:tcBorders>
              <w:top w:val="single" w:sz="8" w:color="auto"/>
              <w:right w:val="single" w:sz="8" w:color="auto"/>
            </w:tcBorders>
            <w:gridSpan w:val="5"/>
          </w:tcPr>
          <w:p>
            <w:pPr>
              <w:ind w:left="2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tcBorders>
            <w:vMerge w:val="continue"/>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2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OLYMPIC LNG INVESTMENTS LTD.</w:t>
            </w:r>
          </w:p>
        </w:tc>
        <w:tc>
          <w:tcPr>
            <w:tcW w:w="0" w:type="dxa"/>
            <w:vAlign w:val="bottom"/>
          </w:tcPr>
          <w:p>
            <w:pPr>
              <w:spacing w:after="0"/>
              <w:rPr>
                <w:sz w:val="1"/>
                <w:szCs w:val="1"/>
                <w:color w:val="auto"/>
              </w:rPr>
            </w:pPr>
          </w:p>
        </w:tc>
      </w:tr>
      <w:tr>
        <w:trPr>
          <w:trHeight w:val="163"/>
        </w:trPr>
        <w:tc>
          <w:tcPr>
            <w:tcW w:w="700" w:type="dxa"/>
            <w:vAlign w:val="bottom"/>
            <w:tcBorders>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2</w:t>
            </w:r>
          </w:p>
        </w:tc>
        <w:tc>
          <w:tcPr>
            <w:tcW w:w="320" w:type="dxa"/>
            <w:vAlign w:val="bottom"/>
            <w:tcBorders>
              <w:right w:val="single" w:sz="8" w:color="auto"/>
            </w:tcBorders>
          </w:tcPr>
          <w:p>
            <w:pPr>
              <w:spacing w:after="0"/>
              <w:rPr>
                <w:sz w:val="14"/>
                <w:szCs w:val="14"/>
                <w:color w:val="auto"/>
              </w:rPr>
            </w:pPr>
          </w:p>
        </w:tc>
        <w:tc>
          <w:tcPr>
            <w:tcW w:w="10220" w:type="dxa"/>
            <w:vAlign w:val="bottom"/>
            <w:tcBorders>
              <w:right w:val="single" w:sz="8" w:color="auto"/>
            </w:tcBorders>
            <w:gridSpan w:val="5"/>
          </w:tcPr>
          <w:p>
            <w:pPr>
              <w:ind w:left="2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9"/>
        </w:trPr>
        <w:tc>
          <w:tcPr>
            <w:tcW w:w="700" w:type="dxa"/>
            <w:vAlign w:val="bottom"/>
            <w:tcBorders>
              <w:left w:val="single" w:sz="8" w:color="auto"/>
            </w:tcBorders>
            <w:vMerge w:val="continue"/>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960" w:type="dxa"/>
            <w:vAlign w:val="bottom"/>
            <w:gridSpan w:val="2"/>
          </w:tcPr>
          <w:p>
            <w:pPr>
              <w:ind w:left="2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(b) x</w:t>
            </w: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700" w:type="dxa"/>
            <w:vAlign w:val="bottom"/>
            <w:tcBorders>
              <w:left w:val="single" w:sz="8" w:color="auto"/>
            </w:tcBorders>
          </w:tcPr>
          <w:p>
            <w:pPr>
              <w:jc w:val="center"/>
              <w:ind w:left="248"/>
              <w:spacing w:after="0" w:line="156" w:lineRule="exact"/>
              <w:rPr>
                <w:sz w:val="20"/>
                <w:szCs w:val="20"/>
                <w:color w:val="auto"/>
              </w:rPr>
            </w:pPr>
            <w:r>
              <w:rPr>
                <w:rFonts w:ascii="Arial" w:cs="Arial" w:eastAsia="Arial" w:hAnsi="Arial"/>
                <w:sz w:val="18"/>
                <w:szCs w:val="18"/>
                <w:b w:val="1"/>
                <w:bCs w:val="1"/>
                <w:color w:val="auto"/>
              </w:rPr>
              <w:t>3</w:t>
            </w:r>
          </w:p>
        </w:tc>
        <w:tc>
          <w:tcPr>
            <w:tcW w:w="320" w:type="dxa"/>
            <w:vAlign w:val="bottom"/>
            <w:tcBorders>
              <w:right w:val="single" w:sz="8" w:color="auto"/>
            </w:tcBorders>
          </w:tcPr>
          <w:p>
            <w:pPr>
              <w:spacing w:after="0"/>
              <w:rPr>
                <w:sz w:val="13"/>
                <w:szCs w:val="13"/>
                <w:color w:val="auto"/>
              </w:rPr>
            </w:pPr>
          </w:p>
        </w:tc>
        <w:tc>
          <w:tcPr>
            <w:tcW w:w="1960" w:type="dxa"/>
            <w:vAlign w:val="bottom"/>
            <w:gridSpan w:val="2"/>
            <w:vMerge w:val="restart"/>
          </w:tcPr>
          <w:p>
            <w:pPr>
              <w:ind w:left="260"/>
              <w:spacing w:after="0"/>
              <w:rPr>
                <w:sz w:val="20"/>
                <w:szCs w:val="20"/>
                <w:color w:val="auto"/>
              </w:rPr>
            </w:pPr>
            <w:r>
              <w:rPr>
                <w:rFonts w:ascii="Arial" w:cs="Arial" w:eastAsia="Arial" w:hAnsi="Arial"/>
                <w:sz w:val="18"/>
                <w:szCs w:val="18"/>
                <w:color w:val="auto"/>
              </w:rPr>
              <w:t>SEC USE ONLY</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700" w:type="dxa"/>
            <w:vAlign w:val="bottom"/>
            <w:tcBorders>
              <w:left w:val="single" w:sz="8" w:color="auto"/>
            </w:tcBorders>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96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700" w:type="dxa"/>
            <w:vAlign w:val="bottom"/>
            <w:tcBorders>
              <w:left w:val="single" w:sz="8" w:color="auto"/>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tcBorders>
            <w:gridSpan w:val="2"/>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4</w:t>
            </w:r>
          </w:p>
        </w:tc>
        <w:tc>
          <w:tcPr>
            <w:tcW w:w="320" w:type="dxa"/>
            <w:vAlign w:val="bottom"/>
            <w:tcBorders>
              <w:right w:val="single" w:sz="8" w:color="auto"/>
            </w:tcBorders>
          </w:tcPr>
          <w:p>
            <w:pPr>
              <w:spacing w:after="0"/>
              <w:rPr>
                <w:sz w:val="16"/>
                <w:szCs w:val="16"/>
                <w:color w:val="auto"/>
              </w:rPr>
            </w:pPr>
          </w:p>
        </w:tc>
        <w:tc>
          <w:tcPr>
            <w:tcW w:w="1960" w:type="dxa"/>
            <w:vAlign w:val="bottom"/>
            <w:gridSpan w:val="2"/>
          </w:tcPr>
          <w:p>
            <w:pPr>
              <w:ind w:left="260"/>
              <w:spacing w:after="0" w:line="191" w:lineRule="exact"/>
              <w:rPr>
                <w:sz w:val="20"/>
                <w:szCs w:val="20"/>
                <w:color w:val="auto"/>
              </w:rPr>
            </w:pPr>
            <w:r>
              <w:rPr>
                <w:rFonts w:ascii="Arial" w:cs="Arial" w:eastAsia="Arial" w:hAnsi="Arial"/>
                <w:sz w:val="18"/>
                <w:szCs w:val="18"/>
                <w:color w:val="auto"/>
                <w:w w:val="96"/>
              </w:rPr>
              <w:t>SOURCE OF FUNDS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vMerge w:val="continue"/>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WC, AF</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
        </w:trPr>
        <w:tc>
          <w:tcPr>
            <w:tcW w:w="700" w:type="dxa"/>
            <w:vAlign w:val="bottom"/>
            <w:tcBorders>
              <w:left w:val="single" w:sz="8" w:color="auto"/>
            </w:tcBorders>
            <w:shd w:val="clear" w:color="auto" w:fill="000000"/>
          </w:tcPr>
          <w:p>
            <w:pPr>
              <w:jc w:val="center"/>
              <w:ind w:left="248"/>
              <w:spacing w:after="0"/>
              <w:rPr>
                <w:sz w:val="20"/>
                <w:szCs w:val="20"/>
                <w:color w:val="auto"/>
              </w:rPr>
            </w:pPr>
            <w:r>
              <w:rPr>
                <w:rFonts w:ascii="Arial" w:cs="Arial" w:eastAsia="Arial" w:hAnsi="Arial"/>
                <w:sz w:val="1"/>
                <w:szCs w:val="1"/>
                <w:b w:val="1"/>
                <w:bCs w:val="1"/>
                <w:color w:val="auto"/>
              </w:rPr>
              <w:t>5</w:t>
            </w: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960" w:type="dxa"/>
            <w:vAlign w:val="bottom"/>
            <w:gridSpan w:val="2"/>
            <w:shd w:val="clear" w:color="auto" w:fill="000000"/>
          </w:tcPr>
          <w:p>
            <w:pPr>
              <w:ind w:left="260"/>
              <w:spacing w:after="0" w:line="16" w:lineRule="exact"/>
              <w:rPr>
                <w:sz w:val="20"/>
                <w:szCs w:val="20"/>
                <w:color w:val="auto"/>
              </w:rPr>
            </w:pPr>
            <w:r>
              <w:rPr>
                <w:rFonts w:ascii="MS PGothic" w:cs="MS PGothic" w:eastAsia="MS PGothic" w:hAnsi="MS PGothic"/>
                <w:sz w:val="2"/>
                <w:szCs w:val="2"/>
                <w:color w:val="auto"/>
              </w:rPr>
              <w:t>☐</w:t>
            </w: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0220" w:type="dxa"/>
            <w:vAlign w:val="bottom"/>
            <w:tcBorders>
              <w:right w:val="single" w:sz="8" w:color="auto"/>
            </w:tcBorders>
            <w:gridSpan w:val="5"/>
          </w:tcPr>
          <w:p>
            <w:pPr>
              <w:ind w:left="2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200"/>
        </w:trPr>
        <w:tc>
          <w:tcPr>
            <w:tcW w:w="700" w:type="dxa"/>
            <w:vAlign w:val="bottom"/>
            <w:tcBorders>
              <w:left w:val="single" w:sz="8" w:color="auto"/>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0220" w:type="dxa"/>
            <w:vAlign w:val="bottom"/>
            <w:tcBorders>
              <w:bottom w:val="single" w:sz="8" w:color="auto"/>
              <w:right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6</w:t>
            </w:r>
          </w:p>
        </w:tc>
        <w:tc>
          <w:tcPr>
            <w:tcW w:w="320" w:type="dxa"/>
            <w:vAlign w:val="bottom"/>
            <w:tcBorders>
              <w:right w:val="single" w:sz="8" w:color="auto"/>
            </w:tcBorders>
          </w:tcPr>
          <w:p>
            <w:pPr>
              <w:spacing w:after="0"/>
              <w:rPr>
                <w:sz w:val="16"/>
                <w:szCs w:val="16"/>
                <w:color w:val="auto"/>
              </w:rPr>
            </w:pPr>
          </w:p>
        </w:tc>
        <w:tc>
          <w:tcPr>
            <w:tcW w:w="10220" w:type="dxa"/>
            <w:vAlign w:val="bottom"/>
            <w:tcBorders>
              <w:right w:val="single" w:sz="8" w:color="auto"/>
            </w:tcBorders>
            <w:gridSpan w:val="5"/>
          </w:tcPr>
          <w:p>
            <w:pPr>
              <w:ind w:left="260"/>
              <w:spacing w:after="0" w:line="191"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tcBorders>
            <w:vMerge w:val="continue"/>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BERMUDA</w:t>
            </w: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gridSpan w:val="2"/>
          </w:tcPr>
          <w:p>
            <w:pPr>
              <w:jc w:val="center"/>
              <w:ind w:right="624"/>
              <w:spacing w:after="0" w:line="191" w:lineRule="exact"/>
              <w:rPr>
                <w:sz w:val="20"/>
                <w:szCs w:val="20"/>
                <w:color w:val="auto"/>
              </w:rPr>
            </w:pPr>
            <w:r>
              <w:rPr>
                <w:rFonts w:ascii="Arial" w:cs="Arial" w:eastAsia="Arial" w:hAnsi="Arial"/>
                <w:sz w:val="18"/>
                <w:szCs w:val="18"/>
                <w:color w:val="auto"/>
                <w:w w:val="98"/>
              </w:rPr>
              <w:t>NUMBER OF</w:t>
            </w:r>
          </w:p>
        </w:tc>
        <w:tc>
          <w:tcPr>
            <w:tcW w:w="240" w:type="dxa"/>
            <w:vAlign w:val="bottom"/>
          </w:tcPr>
          <w:p>
            <w:pPr>
              <w:spacing w:after="0"/>
              <w:rPr>
                <w:sz w:val="16"/>
                <w:szCs w:val="16"/>
                <w:color w:val="auto"/>
              </w:rPr>
            </w:pPr>
          </w:p>
        </w:tc>
        <w:tc>
          <w:tcPr>
            <w:tcW w:w="740" w:type="dxa"/>
            <w:vAlign w:val="bottom"/>
            <w:tcBorders>
              <w:right w:val="single" w:sz="8" w:color="auto"/>
            </w:tcBorders>
            <w:vMerge w:val="restart"/>
          </w:tcPr>
          <w:p>
            <w:pPr>
              <w:jc w:val="center"/>
              <w:ind w:right="98"/>
              <w:spacing w:after="0"/>
              <w:rPr>
                <w:sz w:val="20"/>
                <w:szCs w:val="20"/>
                <w:color w:val="auto"/>
              </w:rPr>
            </w:pPr>
            <w:r>
              <w:rPr>
                <w:rFonts w:ascii="Arial" w:cs="Arial" w:eastAsia="Arial" w:hAnsi="Arial"/>
                <w:sz w:val="32"/>
                <w:szCs w:val="32"/>
                <w:b w:val="1"/>
                <w:bCs w:val="1"/>
                <w:color w:val="auto"/>
                <w:w w:val="89"/>
              </w:rPr>
              <w:t>7</w:t>
            </w:r>
          </w:p>
        </w:tc>
        <w:tc>
          <w:tcPr>
            <w:tcW w:w="80" w:type="dxa"/>
            <w:vAlign w:val="bottom"/>
          </w:tcPr>
          <w:p>
            <w:pPr>
              <w:spacing w:after="0"/>
              <w:rPr>
                <w:sz w:val="16"/>
                <w:szCs w:val="16"/>
                <w:color w:val="auto"/>
              </w:rPr>
            </w:pPr>
          </w:p>
        </w:tc>
        <w:tc>
          <w:tcPr>
            <w:tcW w:w="7440" w:type="dxa"/>
            <w:vAlign w:val="bottom"/>
            <w:tcBorders>
              <w:right w:val="single" w:sz="8" w:color="auto"/>
            </w:tcBorders>
          </w:tcPr>
          <w:p>
            <w:pPr>
              <w:ind w:left="180"/>
              <w:spacing w:after="0" w:line="191"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0"/>
        </w:trPr>
        <w:tc>
          <w:tcPr>
            <w:tcW w:w="70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Borders>
              <w:right w:val="single" w:sz="8" w:color="auto"/>
            </w:tcBorders>
          </w:tcPr>
          <w:p>
            <w:pPr>
              <w:jc w:val="center"/>
              <w:ind w:right="944"/>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9"/>
                <w:szCs w:val="19"/>
                <w:color w:val="auto"/>
              </w:rPr>
            </w:pPr>
          </w:p>
        </w:tc>
        <w:tc>
          <w:tcPr>
            <w:tcW w:w="7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7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11,164,904</w:t>
            </w:r>
          </w:p>
        </w:tc>
        <w:tc>
          <w:tcPr>
            <w:tcW w:w="0" w:type="dxa"/>
            <w:vAlign w:val="bottom"/>
          </w:tcPr>
          <w:p>
            <w:pPr>
              <w:spacing w:after="0"/>
              <w:rPr>
                <w:sz w:val="1"/>
                <w:szCs w:val="1"/>
                <w:color w:val="auto"/>
              </w:rPr>
            </w:pPr>
          </w:p>
        </w:tc>
      </w:tr>
      <w:tr>
        <w:trPr>
          <w:trHeight w:val="28"/>
        </w:trPr>
        <w:tc>
          <w:tcPr>
            <w:tcW w:w="700" w:type="dxa"/>
            <w:vAlign w:val="bottom"/>
            <w:tcBorders>
              <w:left w:val="single" w:sz="8" w:color="auto"/>
            </w:tcBorders>
          </w:tcPr>
          <w:p>
            <w:pPr>
              <w:spacing w:after="0"/>
              <w:rPr>
                <w:sz w:val="2"/>
                <w:szCs w:val="2"/>
                <w:color w:val="auto"/>
              </w:rPr>
            </w:pPr>
          </w:p>
        </w:tc>
        <w:tc>
          <w:tcPr>
            <w:tcW w:w="2040" w:type="dxa"/>
            <w:vAlign w:val="bottom"/>
            <w:tcBorders>
              <w:right w:val="single" w:sz="8" w:color="auto"/>
            </w:tcBorders>
            <w:gridSpan w:val="2"/>
            <w:vMerge w:val="restart"/>
          </w:tcPr>
          <w:p>
            <w:pPr>
              <w:jc w:val="center"/>
              <w:ind w:right="624"/>
              <w:spacing w:after="0"/>
              <w:rPr>
                <w:sz w:val="20"/>
                <w:szCs w:val="20"/>
                <w:color w:val="auto"/>
              </w:rPr>
            </w:pPr>
            <w:r>
              <w:rPr>
                <w:rFonts w:ascii="Arial" w:cs="Arial" w:eastAsia="Arial" w:hAnsi="Arial"/>
                <w:sz w:val="18"/>
                <w:szCs w:val="18"/>
                <w:color w:val="auto"/>
                <w:w w:val="99"/>
              </w:rPr>
              <w:t>BENEFICIALLY</w:t>
            </w: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00" w:type="dxa"/>
            <w:vAlign w:val="bottom"/>
            <w:tcBorders>
              <w:left w:val="single" w:sz="8" w:color="auto"/>
            </w:tcBorders>
          </w:tcPr>
          <w:p>
            <w:pPr>
              <w:spacing w:after="0"/>
              <w:rPr>
                <w:sz w:val="14"/>
                <w:szCs w:val="14"/>
                <w:color w:val="auto"/>
              </w:rPr>
            </w:pPr>
          </w:p>
        </w:tc>
        <w:tc>
          <w:tcPr>
            <w:tcW w:w="2040" w:type="dxa"/>
            <w:vAlign w:val="bottom"/>
            <w:tcBorders>
              <w:right w:val="single" w:sz="8" w:color="auto"/>
            </w:tcBorders>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right w:val="single" w:sz="8" w:color="auto"/>
            </w:tcBorders>
            <w:vMerge w:val="restart"/>
          </w:tcPr>
          <w:p>
            <w:pPr>
              <w:jc w:val="center"/>
              <w:ind w:right="98"/>
              <w:spacing w:after="0"/>
              <w:rPr>
                <w:sz w:val="20"/>
                <w:szCs w:val="20"/>
                <w:color w:val="auto"/>
              </w:rPr>
            </w:pPr>
            <w:r>
              <w:rPr>
                <w:rFonts w:ascii="Arial" w:cs="Arial" w:eastAsia="Arial" w:hAnsi="Arial"/>
                <w:sz w:val="32"/>
                <w:szCs w:val="32"/>
                <w:b w:val="1"/>
                <w:bCs w:val="1"/>
                <w:color w:val="auto"/>
                <w:w w:val="89"/>
              </w:rPr>
              <w:t>8</w:t>
            </w:r>
          </w:p>
        </w:tc>
        <w:tc>
          <w:tcPr>
            <w:tcW w:w="80" w:type="dxa"/>
            <w:vAlign w:val="bottom"/>
          </w:tcPr>
          <w:p>
            <w:pPr>
              <w:spacing w:after="0"/>
              <w:rPr>
                <w:sz w:val="14"/>
                <w:szCs w:val="14"/>
                <w:color w:val="auto"/>
              </w:rPr>
            </w:pPr>
          </w:p>
        </w:tc>
        <w:tc>
          <w:tcPr>
            <w:tcW w:w="7440" w:type="dxa"/>
            <w:vAlign w:val="bottom"/>
            <w:tcBorders>
              <w:right w:val="single" w:sz="8" w:color="auto"/>
            </w:tcBorders>
          </w:tcPr>
          <w:p>
            <w:pPr>
              <w:ind w:left="180"/>
              <w:spacing w:after="0" w:line="16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7"/>
        </w:trPr>
        <w:tc>
          <w:tcPr>
            <w:tcW w:w="7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gridSpan w:val="2"/>
          </w:tcPr>
          <w:p>
            <w:pPr>
              <w:jc w:val="center"/>
              <w:ind w:right="624"/>
              <w:spacing w:after="0"/>
              <w:rPr>
                <w:sz w:val="20"/>
                <w:szCs w:val="20"/>
                <w:color w:val="auto"/>
              </w:rPr>
            </w:pPr>
            <w:r>
              <w:rPr>
                <w:rFonts w:ascii="Arial" w:cs="Arial" w:eastAsia="Arial" w:hAnsi="Arial"/>
                <w:sz w:val="18"/>
                <w:szCs w:val="18"/>
                <w:color w:val="auto"/>
                <w:w w:val="99"/>
              </w:rPr>
              <w:t>OWNED BY</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Borders>
              <w:right w:val="single" w:sz="8" w:color="auto"/>
            </w:tcBorders>
          </w:tcPr>
          <w:p>
            <w:pPr>
              <w:jc w:val="center"/>
              <w:ind w:right="944"/>
              <w:spacing w:after="0" w:line="195" w:lineRule="exact"/>
              <w:rPr>
                <w:sz w:val="20"/>
                <w:szCs w:val="20"/>
                <w:color w:val="auto"/>
              </w:rPr>
            </w:pPr>
            <w:r>
              <w:rPr>
                <w:rFonts w:ascii="Arial" w:cs="Arial" w:eastAsia="Arial" w:hAnsi="Arial"/>
                <w:sz w:val="18"/>
                <w:szCs w:val="18"/>
                <w:color w:val="auto"/>
                <w:w w:val="99"/>
              </w:rPr>
              <w:t>EACH</w:t>
            </w:r>
          </w:p>
        </w:tc>
        <w:tc>
          <w:tcPr>
            <w:tcW w:w="240" w:type="dxa"/>
            <w:vAlign w:val="bottom"/>
          </w:tcPr>
          <w:p>
            <w:pPr>
              <w:spacing w:after="0"/>
              <w:rPr>
                <w:sz w:val="16"/>
                <w:szCs w:val="16"/>
                <w:color w:val="auto"/>
              </w:rPr>
            </w:pPr>
          </w:p>
        </w:tc>
        <w:tc>
          <w:tcPr>
            <w:tcW w:w="740" w:type="dxa"/>
            <w:vAlign w:val="bottom"/>
            <w:tcBorders>
              <w:right w:val="single" w:sz="8" w:color="auto"/>
            </w:tcBorders>
            <w:vMerge w:val="restart"/>
          </w:tcPr>
          <w:p>
            <w:pPr>
              <w:jc w:val="center"/>
              <w:ind w:right="98"/>
              <w:spacing w:after="0"/>
              <w:rPr>
                <w:sz w:val="20"/>
                <w:szCs w:val="20"/>
                <w:color w:val="auto"/>
              </w:rPr>
            </w:pPr>
            <w:r>
              <w:rPr>
                <w:rFonts w:ascii="Arial" w:cs="Arial" w:eastAsia="Arial" w:hAnsi="Arial"/>
                <w:sz w:val="32"/>
                <w:szCs w:val="32"/>
                <w:b w:val="1"/>
                <w:bCs w:val="1"/>
                <w:color w:val="auto"/>
                <w:w w:val="89"/>
              </w:rPr>
              <w:t>9</w:t>
            </w:r>
          </w:p>
        </w:tc>
        <w:tc>
          <w:tcPr>
            <w:tcW w:w="80" w:type="dxa"/>
            <w:vAlign w:val="bottom"/>
          </w:tcPr>
          <w:p>
            <w:pPr>
              <w:spacing w:after="0"/>
              <w:rPr>
                <w:sz w:val="16"/>
                <w:szCs w:val="16"/>
                <w:color w:val="auto"/>
              </w:rPr>
            </w:pPr>
          </w:p>
        </w:tc>
        <w:tc>
          <w:tcPr>
            <w:tcW w:w="744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gridSpan w:val="2"/>
          </w:tcPr>
          <w:p>
            <w:pPr>
              <w:jc w:val="center"/>
              <w:ind w:right="604"/>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74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11,164,904</w:t>
            </w:r>
          </w:p>
        </w:tc>
        <w:tc>
          <w:tcPr>
            <w:tcW w:w="0" w:type="dxa"/>
            <w:vAlign w:val="bottom"/>
          </w:tcPr>
          <w:p>
            <w:pPr>
              <w:spacing w:after="0"/>
              <w:rPr>
                <w:sz w:val="1"/>
                <w:szCs w:val="1"/>
                <w:color w:val="auto"/>
              </w:rPr>
            </w:pPr>
          </w:p>
        </w:tc>
      </w:tr>
      <w:tr>
        <w:trPr>
          <w:trHeight w:val="41"/>
        </w:trPr>
        <w:tc>
          <w:tcPr>
            <w:tcW w:w="700" w:type="dxa"/>
            <w:vAlign w:val="bottom"/>
            <w:tcBorders>
              <w:left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Borders>
              <w:right w:val="single" w:sz="8" w:color="auto"/>
            </w:tcBorders>
            <w:vMerge w:val="restart"/>
          </w:tcPr>
          <w:p>
            <w:pPr>
              <w:jc w:val="center"/>
              <w:ind w:right="944"/>
              <w:spacing w:after="0"/>
              <w:rPr>
                <w:sz w:val="20"/>
                <w:szCs w:val="20"/>
                <w:color w:val="auto"/>
              </w:rPr>
            </w:pPr>
            <w:r>
              <w:rPr>
                <w:rFonts w:ascii="Arial" w:cs="Arial" w:eastAsia="Arial" w:hAnsi="Arial"/>
                <w:sz w:val="18"/>
                <w:szCs w:val="18"/>
                <w:color w:val="auto"/>
                <w:w w:val="92"/>
              </w:rPr>
              <w:t>PERSON</w:t>
            </w: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70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Borders>
              <w:right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right w:val="single" w:sz="8" w:color="auto"/>
            </w:tcBorders>
            <w:vMerge w:val="restart"/>
          </w:tcPr>
          <w:p>
            <w:pPr>
              <w:jc w:val="center"/>
              <w:ind w:right="98"/>
              <w:spacing w:after="0"/>
              <w:rPr>
                <w:sz w:val="20"/>
                <w:szCs w:val="20"/>
                <w:color w:val="auto"/>
              </w:rPr>
            </w:pPr>
            <w:r>
              <w:rPr>
                <w:rFonts w:ascii="Arial" w:cs="Arial" w:eastAsia="Arial" w:hAnsi="Arial"/>
                <w:sz w:val="32"/>
                <w:szCs w:val="32"/>
                <w:b w:val="1"/>
                <w:bCs w:val="1"/>
                <w:color w:val="auto"/>
                <w:w w:val="89"/>
              </w:rPr>
              <w:t>10</w:t>
            </w:r>
          </w:p>
        </w:tc>
        <w:tc>
          <w:tcPr>
            <w:tcW w:w="80" w:type="dxa"/>
            <w:vAlign w:val="bottom"/>
          </w:tcPr>
          <w:p>
            <w:pPr>
              <w:spacing w:after="0"/>
              <w:rPr>
                <w:sz w:val="13"/>
                <w:szCs w:val="13"/>
                <w:color w:val="auto"/>
              </w:rPr>
            </w:pPr>
          </w:p>
        </w:tc>
        <w:tc>
          <w:tcPr>
            <w:tcW w:w="7440" w:type="dxa"/>
            <w:vAlign w:val="bottom"/>
            <w:tcBorders>
              <w:right w:val="single" w:sz="8" w:color="auto"/>
            </w:tcBorders>
          </w:tcPr>
          <w:p>
            <w:pPr>
              <w:ind w:left="180"/>
              <w:spacing w:after="0" w:line="156"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9"/>
        </w:trPr>
        <w:tc>
          <w:tcPr>
            <w:tcW w:w="700" w:type="dxa"/>
            <w:vAlign w:val="bottom"/>
            <w:tcBorders>
              <w:left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ind w:right="944"/>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tcBorders>
            <w:vMerge w:val="restart"/>
          </w:tcPr>
          <w:p>
            <w:pPr>
              <w:jc w:val="center"/>
              <w:ind w:left="228"/>
              <w:spacing w:after="0"/>
              <w:rPr>
                <w:sz w:val="20"/>
                <w:szCs w:val="20"/>
                <w:color w:val="auto"/>
              </w:rPr>
            </w:pPr>
            <w:r>
              <w:rPr>
                <w:rFonts w:ascii="Arial" w:cs="Arial" w:eastAsia="Arial" w:hAnsi="Arial"/>
                <w:sz w:val="32"/>
                <w:szCs w:val="32"/>
                <w:b w:val="1"/>
                <w:bCs w:val="1"/>
                <w:color w:val="auto"/>
                <w:w w:val="84"/>
              </w:rPr>
              <w:t>11</w:t>
            </w:r>
          </w:p>
        </w:tc>
        <w:tc>
          <w:tcPr>
            <w:tcW w:w="320" w:type="dxa"/>
            <w:vAlign w:val="bottom"/>
            <w:tcBorders>
              <w:right w:val="single" w:sz="8" w:color="auto"/>
            </w:tcBorders>
          </w:tcPr>
          <w:p>
            <w:pPr>
              <w:spacing w:after="0"/>
              <w:rPr>
                <w:sz w:val="16"/>
                <w:szCs w:val="16"/>
                <w:color w:val="auto"/>
              </w:rPr>
            </w:pPr>
          </w:p>
        </w:tc>
        <w:tc>
          <w:tcPr>
            <w:tcW w:w="10220" w:type="dxa"/>
            <w:vAlign w:val="bottom"/>
            <w:tcBorders>
              <w:right w:val="single" w:sz="8" w:color="auto"/>
            </w:tcBorders>
            <w:gridSpan w:val="5"/>
          </w:tcPr>
          <w:p>
            <w:pPr>
              <w:ind w:left="260"/>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700" w:type="dxa"/>
            <w:vAlign w:val="bottom"/>
            <w:tcBorders>
              <w:left w:val="single" w:sz="8" w:color="auto"/>
            </w:tcBorders>
            <w:vMerge w:val="continue"/>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720" w:type="dxa"/>
            <w:vAlign w:val="bottom"/>
          </w:tcPr>
          <w:p>
            <w:pPr>
              <w:ind w:left="100"/>
              <w:spacing w:after="0"/>
              <w:rPr>
                <w:sz w:val="20"/>
                <w:szCs w:val="20"/>
                <w:color w:val="auto"/>
              </w:rPr>
            </w:pPr>
            <w:r>
              <w:rPr>
                <w:rFonts w:ascii="Arial" w:cs="Arial" w:eastAsia="Arial" w:hAnsi="Arial"/>
                <w:sz w:val="18"/>
                <w:szCs w:val="18"/>
                <w:color w:val="auto"/>
              </w:rPr>
              <w:t>11,164,904</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
        </w:trPr>
        <w:tc>
          <w:tcPr>
            <w:tcW w:w="700" w:type="dxa"/>
            <w:vAlign w:val="bottom"/>
            <w:tcBorders>
              <w:left w:val="single" w:sz="8" w:color="auto"/>
            </w:tcBorders>
            <w:shd w:val="clear" w:color="auto" w:fill="000000"/>
          </w:tcPr>
          <w:p>
            <w:pPr>
              <w:jc w:val="center"/>
              <w:ind w:left="248"/>
              <w:spacing w:after="0"/>
              <w:rPr>
                <w:sz w:val="20"/>
                <w:szCs w:val="20"/>
                <w:color w:val="auto"/>
              </w:rPr>
            </w:pPr>
            <w:r>
              <w:rPr>
                <w:rFonts w:ascii="Arial" w:cs="Arial" w:eastAsia="Arial" w:hAnsi="Arial"/>
                <w:sz w:val="1"/>
                <w:szCs w:val="1"/>
                <w:b w:val="1"/>
                <w:bCs w:val="1"/>
                <w:color w:val="auto"/>
              </w:rPr>
              <w:t>12</w:t>
            </w: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960" w:type="dxa"/>
            <w:vAlign w:val="bottom"/>
            <w:gridSpan w:val="2"/>
            <w:shd w:val="clear" w:color="auto" w:fill="000000"/>
          </w:tcPr>
          <w:p>
            <w:pPr>
              <w:ind w:left="260"/>
              <w:spacing w:after="0" w:line="16" w:lineRule="exact"/>
              <w:rPr>
                <w:sz w:val="20"/>
                <w:szCs w:val="20"/>
                <w:color w:val="auto"/>
              </w:rPr>
            </w:pPr>
            <w:r>
              <w:rPr>
                <w:rFonts w:ascii="MS PGothic" w:cs="MS PGothic" w:eastAsia="MS PGothic" w:hAnsi="MS PGothic"/>
                <w:sz w:val="2"/>
                <w:szCs w:val="2"/>
                <w:color w:val="auto"/>
              </w:rPr>
              <w:t>☐</w:t>
            </w: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0220" w:type="dxa"/>
            <w:vAlign w:val="bottom"/>
            <w:tcBorders>
              <w:right w:val="single" w:sz="8" w:color="auto"/>
            </w:tcBorders>
            <w:gridSpan w:val="5"/>
          </w:tcPr>
          <w:p>
            <w:pPr>
              <w:ind w:left="2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00"/>
        </w:trPr>
        <w:tc>
          <w:tcPr>
            <w:tcW w:w="7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700" w:type="dxa"/>
            <w:vAlign w:val="bottom"/>
            <w:tcBorders>
              <w:left w:val="single" w:sz="8" w:color="auto"/>
            </w:tcBorders>
            <w:shd w:val="clear" w:color="auto" w:fill="000000"/>
          </w:tcPr>
          <w:p>
            <w:pPr>
              <w:jc w:val="center"/>
              <w:ind w:left="248"/>
              <w:spacing w:after="0"/>
              <w:rPr>
                <w:sz w:val="20"/>
                <w:szCs w:val="20"/>
                <w:color w:val="auto"/>
              </w:rPr>
            </w:pPr>
            <w:r>
              <w:rPr>
                <w:rFonts w:ascii="Arial" w:cs="Arial" w:eastAsia="Arial" w:hAnsi="Arial"/>
                <w:sz w:val="1"/>
                <w:szCs w:val="1"/>
                <w:b w:val="1"/>
                <w:bCs w:val="1"/>
                <w:color w:val="auto"/>
              </w:rPr>
              <w:t>13</w:t>
            </w: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ind w:left="260"/>
              <w:spacing w:after="0"/>
              <w:rPr>
                <w:sz w:val="20"/>
                <w:szCs w:val="20"/>
                <w:color w:val="auto"/>
              </w:rPr>
            </w:pPr>
            <w:r>
              <w:rPr>
                <w:rFonts w:ascii="Arial" w:cs="Arial" w:eastAsia="Arial" w:hAnsi="Arial"/>
                <w:sz w:val="1"/>
                <w:szCs w:val="1"/>
                <w:color w:val="auto"/>
              </w:rPr>
              <w:t>11.7%</w:t>
            </w:r>
            <w:r>
              <w:rPr>
                <w:rFonts w:ascii="Arial" w:cs="Arial" w:eastAsia="Arial" w:hAnsi="Arial"/>
                <w:sz w:val="1"/>
                <w:szCs w:val="1"/>
                <w:color w:val="auto"/>
                <w:vertAlign w:val="superscript"/>
              </w:rPr>
              <w:t>1</w:t>
            </w:r>
          </w:p>
        </w:tc>
        <w:tc>
          <w:tcPr>
            <w:tcW w:w="2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0220" w:type="dxa"/>
            <w:vAlign w:val="bottom"/>
            <w:tcBorders>
              <w:right w:val="single" w:sz="8" w:color="auto"/>
            </w:tcBorders>
            <w:gridSpan w:val="5"/>
          </w:tcPr>
          <w:p>
            <w:pPr>
              <w:ind w:left="2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00"/>
        </w:trPr>
        <w:tc>
          <w:tcPr>
            <w:tcW w:w="7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700" w:type="dxa"/>
            <w:vAlign w:val="bottom"/>
            <w:tcBorders>
              <w:left w:val="single" w:sz="8" w:color="auto"/>
            </w:tcBorders>
            <w:shd w:val="clear" w:color="auto" w:fill="000000"/>
          </w:tcPr>
          <w:p>
            <w:pPr>
              <w:jc w:val="center"/>
              <w:ind w:left="248"/>
              <w:spacing w:after="0"/>
              <w:rPr>
                <w:sz w:val="20"/>
                <w:szCs w:val="20"/>
                <w:color w:val="auto"/>
              </w:rPr>
            </w:pPr>
            <w:r>
              <w:rPr>
                <w:rFonts w:ascii="Arial" w:cs="Arial" w:eastAsia="Arial" w:hAnsi="Arial"/>
                <w:sz w:val="1"/>
                <w:szCs w:val="1"/>
                <w:b w:val="1"/>
                <w:bCs w:val="1"/>
                <w:color w:val="auto"/>
              </w:rPr>
              <w:t>14</w:t>
            </w: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960" w:type="dxa"/>
            <w:vAlign w:val="bottom"/>
            <w:gridSpan w:val="2"/>
            <w:shd w:val="clear" w:color="auto" w:fill="000000"/>
          </w:tcPr>
          <w:p>
            <w:pPr>
              <w:ind w:left="100"/>
              <w:spacing w:after="0"/>
              <w:rPr>
                <w:sz w:val="20"/>
                <w:szCs w:val="20"/>
                <w:color w:val="auto"/>
              </w:rPr>
            </w:pPr>
            <w:r>
              <w:rPr>
                <w:rFonts w:ascii="Arial" w:cs="Arial" w:eastAsia="Arial" w:hAnsi="Arial"/>
                <w:sz w:val="1"/>
                <w:szCs w:val="1"/>
                <w:b w:val="1"/>
                <w:bCs w:val="1"/>
                <w:color w:val="auto"/>
              </w:rPr>
              <w:t>CO</w:t>
            </w: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780" w:type="dxa"/>
            <w:vAlign w:val="bottom"/>
            <w:gridSpan w:val="4"/>
          </w:tcPr>
          <w:p>
            <w:pPr>
              <w:ind w:left="260"/>
              <w:spacing w:after="0"/>
              <w:rPr>
                <w:sz w:val="20"/>
                <w:szCs w:val="20"/>
                <w:color w:val="auto"/>
              </w:rPr>
            </w:pPr>
            <w:r>
              <w:rPr>
                <w:rFonts w:ascii="Arial" w:cs="Arial" w:eastAsia="Arial" w:hAnsi="Arial"/>
                <w:sz w:val="18"/>
                <w:szCs w:val="18"/>
                <w:color w:val="auto"/>
                <w:w w:val="92"/>
              </w:rPr>
              <w:t>TYPE OF REPORTING PERSON</w:t>
            </w:r>
          </w:p>
        </w:tc>
        <w:tc>
          <w:tcPr>
            <w:tcW w:w="7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00" w:type="dxa"/>
            <w:vAlign w:val="bottom"/>
            <w:tcBorders>
              <w:left w:val="single" w:sz="8" w:color="auto"/>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800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hanging="143"/>
        <w:spacing w:after="0"/>
        <w:tabs>
          <w:tab w:leader="none" w:pos="540"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The percentage ownership is calculated based on aggregate number of 95,114,166 Common Shares issued and outstanding as of June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G37585109</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700" w:type="dxa"/>
            <w:vAlign w:val="bottom"/>
            <w:tcBorders>
              <w:top w:val="single" w:sz="8" w:color="auto"/>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1</w:t>
            </w:r>
          </w:p>
        </w:tc>
        <w:tc>
          <w:tcPr>
            <w:tcW w:w="320" w:type="dxa"/>
            <w:vAlign w:val="bottom"/>
            <w:tcBorders>
              <w:top w:val="single" w:sz="8" w:color="auto"/>
              <w:right w:val="single" w:sz="8" w:color="auto"/>
            </w:tcBorders>
          </w:tcPr>
          <w:p>
            <w:pPr>
              <w:spacing w:after="0"/>
              <w:rPr>
                <w:sz w:val="18"/>
                <w:szCs w:val="18"/>
                <w:color w:val="auto"/>
              </w:rPr>
            </w:pPr>
          </w:p>
        </w:tc>
        <w:tc>
          <w:tcPr>
            <w:tcW w:w="10220" w:type="dxa"/>
            <w:vAlign w:val="bottom"/>
            <w:tcBorders>
              <w:top w:val="single" w:sz="8" w:color="auto"/>
              <w:right w:val="single" w:sz="8" w:color="auto"/>
            </w:tcBorders>
            <w:gridSpan w:val="5"/>
          </w:tcPr>
          <w:p>
            <w:pPr>
              <w:ind w:left="2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tcBorders>
            <w:vMerge w:val="continue"/>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7"/>
              </w:rPr>
              <w:t>A.S.O. HOLDINGS S.A.</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700" w:type="dxa"/>
            <w:vAlign w:val="bottom"/>
            <w:tcBorders>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2</w:t>
            </w:r>
          </w:p>
        </w:tc>
        <w:tc>
          <w:tcPr>
            <w:tcW w:w="320" w:type="dxa"/>
            <w:vAlign w:val="bottom"/>
            <w:tcBorders>
              <w:right w:val="single" w:sz="8" w:color="auto"/>
            </w:tcBorders>
          </w:tcPr>
          <w:p>
            <w:pPr>
              <w:spacing w:after="0"/>
              <w:rPr>
                <w:sz w:val="14"/>
                <w:szCs w:val="14"/>
                <w:color w:val="auto"/>
              </w:rPr>
            </w:pPr>
          </w:p>
        </w:tc>
        <w:tc>
          <w:tcPr>
            <w:tcW w:w="10220" w:type="dxa"/>
            <w:vAlign w:val="bottom"/>
            <w:tcBorders>
              <w:right w:val="single" w:sz="8" w:color="auto"/>
            </w:tcBorders>
            <w:gridSpan w:val="5"/>
          </w:tcPr>
          <w:p>
            <w:pPr>
              <w:ind w:left="2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9"/>
        </w:trPr>
        <w:tc>
          <w:tcPr>
            <w:tcW w:w="700" w:type="dxa"/>
            <w:vAlign w:val="bottom"/>
            <w:tcBorders>
              <w:left w:val="single" w:sz="8" w:color="auto"/>
            </w:tcBorders>
            <w:vMerge w:val="continue"/>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020" w:type="dxa"/>
            <w:vAlign w:val="bottom"/>
            <w:gridSpan w:val="2"/>
          </w:tcPr>
          <w:p>
            <w:pPr>
              <w:ind w:left="2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(b) x</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700" w:type="dxa"/>
            <w:vAlign w:val="bottom"/>
            <w:tcBorders>
              <w:left w:val="single" w:sz="8" w:color="auto"/>
            </w:tcBorders>
          </w:tcPr>
          <w:p>
            <w:pPr>
              <w:jc w:val="center"/>
              <w:ind w:left="248"/>
              <w:spacing w:after="0" w:line="156" w:lineRule="exact"/>
              <w:rPr>
                <w:sz w:val="20"/>
                <w:szCs w:val="20"/>
                <w:color w:val="auto"/>
              </w:rPr>
            </w:pPr>
            <w:r>
              <w:rPr>
                <w:rFonts w:ascii="Arial" w:cs="Arial" w:eastAsia="Arial" w:hAnsi="Arial"/>
                <w:sz w:val="18"/>
                <w:szCs w:val="18"/>
                <w:b w:val="1"/>
                <w:bCs w:val="1"/>
                <w:color w:val="auto"/>
              </w:rPr>
              <w:t>3</w:t>
            </w:r>
          </w:p>
        </w:tc>
        <w:tc>
          <w:tcPr>
            <w:tcW w:w="320" w:type="dxa"/>
            <w:vAlign w:val="bottom"/>
            <w:tcBorders>
              <w:right w:val="single" w:sz="8" w:color="auto"/>
            </w:tcBorders>
          </w:tcPr>
          <w:p>
            <w:pPr>
              <w:spacing w:after="0"/>
              <w:rPr>
                <w:sz w:val="13"/>
                <w:szCs w:val="13"/>
                <w:color w:val="auto"/>
              </w:rPr>
            </w:pPr>
          </w:p>
        </w:tc>
        <w:tc>
          <w:tcPr>
            <w:tcW w:w="2020" w:type="dxa"/>
            <w:vAlign w:val="bottom"/>
            <w:gridSpan w:val="2"/>
            <w:vMerge w:val="restart"/>
          </w:tcPr>
          <w:p>
            <w:pPr>
              <w:ind w:left="2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700" w:type="dxa"/>
            <w:vAlign w:val="bottom"/>
            <w:tcBorders>
              <w:left w:val="single" w:sz="8" w:color="auto"/>
            </w:tcBorders>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700" w:type="dxa"/>
            <w:vAlign w:val="bottom"/>
            <w:tcBorders>
              <w:left w:val="single" w:sz="8" w:color="auto"/>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tcBorders>
            <w:gridSpan w:val="2"/>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4</w:t>
            </w:r>
          </w:p>
        </w:tc>
        <w:tc>
          <w:tcPr>
            <w:tcW w:w="320" w:type="dxa"/>
            <w:vAlign w:val="bottom"/>
            <w:tcBorders>
              <w:right w:val="single" w:sz="8" w:color="auto"/>
            </w:tcBorders>
          </w:tcPr>
          <w:p>
            <w:pPr>
              <w:spacing w:after="0"/>
              <w:rPr>
                <w:sz w:val="16"/>
                <w:szCs w:val="16"/>
                <w:color w:val="auto"/>
              </w:rPr>
            </w:pPr>
          </w:p>
        </w:tc>
        <w:tc>
          <w:tcPr>
            <w:tcW w:w="2020" w:type="dxa"/>
            <w:vAlign w:val="bottom"/>
            <w:gridSpan w:val="2"/>
          </w:tcPr>
          <w:p>
            <w:pPr>
              <w:ind w:left="260"/>
              <w:spacing w:after="0" w:line="191" w:lineRule="exact"/>
              <w:rPr>
                <w:sz w:val="20"/>
                <w:szCs w:val="20"/>
                <w:color w:val="auto"/>
              </w:rPr>
            </w:pPr>
            <w:r>
              <w:rPr>
                <w:rFonts w:ascii="Arial" w:cs="Arial" w:eastAsia="Arial" w:hAnsi="Arial"/>
                <w:sz w:val="18"/>
                <w:szCs w:val="18"/>
                <w:color w:val="auto"/>
                <w:w w:val="99"/>
              </w:rPr>
              <w:t>SOURCE OF FUNDS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vMerge w:val="continue"/>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020" w:type="dxa"/>
            <w:vAlign w:val="bottom"/>
            <w:gridSpan w:val="2"/>
          </w:tcPr>
          <w:p>
            <w:pPr>
              <w:ind w:left="100"/>
              <w:spacing w:after="0"/>
              <w:rPr>
                <w:sz w:val="20"/>
                <w:szCs w:val="20"/>
                <w:color w:val="auto"/>
              </w:rPr>
            </w:pPr>
            <w:r>
              <w:rPr>
                <w:rFonts w:ascii="Arial" w:cs="Arial" w:eastAsia="Arial" w:hAnsi="Arial"/>
                <w:sz w:val="18"/>
                <w:szCs w:val="18"/>
                <w:b w:val="1"/>
                <w:bCs w:val="1"/>
                <w:color w:val="auto"/>
              </w:rPr>
              <w:t>WC, AF</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
        </w:trPr>
        <w:tc>
          <w:tcPr>
            <w:tcW w:w="700" w:type="dxa"/>
            <w:vAlign w:val="bottom"/>
            <w:tcBorders>
              <w:left w:val="single" w:sz="8" w:color="auto"/>
            </w:tcBorders>
            <w:shd w:val="clear" w:color="auto" w:fill="000000"/>
          </w:tcPr>
          <w:p>
            <w:pPr>
              <w:jc w:val="center"/>
              <w:ind w:left="248"/>
              <w:spacing w:after="0"/>
              <w:rPr>
                <w:sz w:val="20"/>
                <w:szCs w:val="20"/>
                <w:color w:val="auto"/>
              </w:rPr>
            </w:pPr>
            <w:r>
              <w:rPr>
                <w:rFonts w:ascii="Arial" w:cs="Arial" w:eastAsia="Arial" w:hAnsi="Arial"/>
                <w:sz w:val="1"/>
                <w:szCs w:val="1"/>
                <w:b w:val="1"/>
                <w:bCs w:val="1"/>
                <w:color w:val="auto"/>
              </w:rPr>
              <w:t>5</w:t>
            </w: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20" w:type="dxa"/>
            <w:vAlign w:val="bottom"/>
            <w:gridSpan w:val="2"/>
            <w:shd w:val="clear" w:color="auto" w:fill="000000"/>
          </w:tcPr>
          <w:p>
            <w:pPr>
              <w:ind w:left="260"/>
              <w:spacing w:after="0" w:line="16" w:lineRule="exact"/>
              <w:rPr>
                <w:sz w:val="20"/>
                <w:szCs w:val="20"/>
                <w:color w:val="auto"/>
              </w:rPr>
            </w:pPr>
            <w:r>
              <w:rPr>
                <w:rFonts w:ascii="MS PGothic" w:cs="MS PGothic" w:eastAsia="MS PGothic" w:hAnsi="MS PGothic"/>
                <w:sz w:val="2"/>
                <w:szCs w:val="2"/>
                <w:color w:val="auto"/>
              </w:rPr>
              <w:t>☐</w:t>
            </w: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0220" w:type="dxa"/>
            <w:vAlign w:val="bottom"/>
            <w:tcBorders>
              <w:right w:val="single" w:sz="8" w:color="auto"/>
            </w:tcBorders>
            <w:gridSpan w:val="5"/>
          </w:tcPr>
          <w:p>
            <w:pPr>
              <w:ind w:left="2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200"/>
        </w:trPr>
        <w:tc>
          <w:tcPr>
            <w:tcW w:w="700" w:type="dxa"/>
            <w:vAlign w:val="bottom"/>
            <w:tcBorders>
              <w:left w:val="single" w:sz="8" w:color="auto"/>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0220" w:type="dxa"/>
            <w:vAlign w:val="bottom"/>
            <w:tcBorders>
              <w:bottom w:val="single" w:sz="8" w:color="auto"/>
              <w:right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6</w:t>
            </w:r>
          </w:p>
        </w:tc>
        <w:tc>
          <w:tcPr>
            <w:tcW w:w="320" w:type="dxa"/>
            <w:vAlign w:val="bottom"/>
            <w:tcBorders>
              <w:right w:val="single" w:sz="8" w:color="auto"/>
            </w:tcBorders>
          </w:tcPr>
          <w:p>
            <w:pPr>
              <w:spacing w:after="0"/>
              <w:rPr>
                <w:sz w:val="16"/>
                <w:szCs w:val="16"/>
                <w:color w:val="auto"/>
              </w:rPr>
            </w:pPr>
          </w:p>
        </w:tc>
        <w:tc>
          <w:tcPr>
            <w:tcW w:w="10220" w:type="dxa"/>
            <w:vAlign w:val="bottom"/>
            <w:tcBorders>
              <w:right w:val="single" w:sz="8" w:color="auto"/>
            </w:tcBorders>
            <w:gridSpan w:val="5"/>
          </w:tcPr>
          <w:p>
            <w:pPr>
              <w:ind w:left="260"/>
              <w:spacing w:after="0" w:line="191"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tcBorders>
            <w:vMerge w:val="continue"/>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PANAMA</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gridSpan w:val="2"/>
          </w:tcPr>
          <w:p>
            <w:pPr>
              <w:jc w:val="center"/>
              <w:ind w:right="624"/>
              <w:spacing w:after="0" w:line="195" w:lineRule="exact"/>
              <w:rPr>
                <w:sz w:val="20"/>
                <w:szCs w:val="20"/>
                <w:color w:val="auto"/>
              </w:rPr>
            </w:pPr>
            <w:r>
              <w:rPr>
                <w:rFonts w:ascii="Arial" w:cs="Arial" w:eastAsia="Arial" w:hAnsi="Arial"/>
                <w:sz w:val="18"/>
                <w:szCs w:val="18"/>
                <w:color w:val="auto"/>
                <w:w w:val="98"/>
              </w:rPr>
              <w:t>NUMBER OF</w:t>
            </w:r>
          </w:p>
        </w:tc>
        <w:tc>
          <w:tcPr>
            <w:tcW w:w="300" w:type="dxa"/>
            <w:vAlign w:val="bottom"/>
          </w:tcPr>
          <w:p>
            <w:pPr>
              <w:spacing w:after="0"/>
              <w:rPr>
                <w:sz w:val="16"/>
                <w:szCs w:val="16"/>
                <w:color w:val="auto"/>
              </w:rPr>
            </w:pPr>
          </w:p>
        </w:tc>
        <w:tc>
          <w:tcPr>
            <w:tcW w:w="680" w:type="dxa"/>
            <w:vAlign w:val="bottom"/>
            <w:tcBorders>
              <w:right w:val="single" w:sz="8" w:color="auto"/>
            </w:tcBorders>
            <w:vMerge w:val="restart"/>
          </w:tcPr>
          <w:p>
            <w:pPr>
              <w:jc w:val="center"/>
              <w:ind w:right="158"/>
              <w:spacing w:after="0"/>
              <w:rPr>
                <w:sz w:val="20"/>
                <w:szCs w:val="20"/>
                <w:color w:val="auto"/>
              </w:rPr>
            </w:pPr>
            <w:r>
              <w:rPr>
                <w:rFonts w:ascii="Arial" w:cs="Arial" w:eastAsia="Arial" w:hAnsi="Arial"/>
                <w:sz w:val="32"/>
                <w:szCs w:val="32"/>
                <w:b w:val="1"/>
                <w:bCs w:val="1"/>
                <w:color w:val="auto"/>
                <w:w w:val="89"/>
              </w:rPr>
              <w:t>7</w:t>
            </w:r>
          </w:p>
        </w:tc>
        <w:tc>
          <w:tcPr>
            <w:tcW w:w="80" w:type="dxa"/>
            <w:vAlign w:val="bottom"/>
          </w:tcPr>
          <w:p>
            <w:pPr>
              <w:spacing w:after="0"/>
              <w:rPr>
                <w:sz w:val="16"/>
                <w:szCs w:val="16"/>
                <w:color w:val="auto"/>
              </w:rPr>
            </w:pPr>
          </w:p>
        </w:tc>
        <w:tc>
          <w:tcPr>
            <w:tcW w:w="744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Borders>
              <w:right w:val="single" w:sz="8" w:color="auto"/>
            </w:tcBorders>
          </w:tcPr>
          <w:p>
            <w:pPr>
              <w:jc w:val="center"/>
              <w:ind w:right="944"/>
              <w:spacing w:after="0"/>
              <w:rPr>
                <w:sz w:val="20"/>
                <w:szCs w:val="20"/>
                <w:color w:val="auto"/>
              </w:rPr>
            </w:pPr>
            <w:r>
              <w:rPr>
                <w:rFonts w:ascii="Arial" w:cs="Arial" w:eastAsia="Arial" w:hAnsi="Arial"/>
                <w:sz w:val="18"/>
                <w:szCs w:val="18"/>
                <w:color w:val="auto"/>
                <w:w w:val="94"/>
              </w:rPr>
              <w:t>SHARES</w:t>
            </w:r>
          </w:p>
        </w:tc>
        <w:tc>
          <w:tcPr>
            <w:tcW w:w="300" w:type="dxa"/>
            <w:vAlign w:val="bottom"/>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11,164,904</w:t>
            </w:r>
          </w:p>
        </w:tc>
        <w:tc>
          <w:tcPr>
            <w:tcW w:w="0" w:type="dxa"/>
            <w:vAlign w:val="bottom"/>
          </w:tcPr>
          <w:p>
            <w:pPr>
              <w:spacing w:after="0"/>
              <w:rPr>
                <w:sz w:val="1"/>
                <w:szCs w:val="1"/>
                <w:color w:val="auto"/>
              </w:rPr>
            </w:pPr>
          </w:p>
        </w:tc>
      </w:tr>
      <w:tr>
        <w:trPr>
          <w:trHeight w:val="28"/>
        </w:trPr>
        <w:tc>
          <w:tcPr>
            <w:tcW w:w="700" w:type="dxa"/>
            <w:vAlign w:val="bottom"/>
            <w:tcBorders>
              <w:left w:val="single" w:sz="8" w:color="auto"/>
            </w:tcBorders>
          </w:tcPr>
          <w:p>
            <w:pPr>
              <w:spacing w:after="0"/>
              <w:rPr>
                <w:sz w:val="2"/>
                <w:szCs w:val="2"/>
                <w:color w:val="auto"/>
              </w:rPr>
            </w:pPr>
          </w:p>
        </w:tc>
        <w:tc>
          <w:tcPr>
            <w:tcW w:w="2040" w:type="dxa"/>
            <w:vAlign w:val="bottom"/>
            <w:tcBorders>
              <w:right w:val="single" w:sz="8" w:color="auto"/>
            </w:tcBorders>
            <w:gridSpan w:val="2"/>
            <w:vMerge w:val="restart"/>
          </w:tcPr>
          <w:p>
            <w:pPr>
              <w:jc w:val="center"/>
              <w:ind w:right="624"/>
              <w:spacing w:after="0"/>
              <w:rPr>
                <w:sz w:val="20"/>
                <w:szCs w:val="20"/>
                <w:color w:val="auto"/>
              </w:rPr>
            </w:pPr>
            <w:r>
              <w:rPr>
                <w:rFonts w:ascii="Arial" w:cs="Arial" w:eastAsia="Arial" w:hAnsi="Arial"/>
                <w:sz w:val="18"/>
                <w:szCs w:val="18"/>
                <w:color w:val="auto"/>
                <w:w w:val="99"/>
              </w:rPr>
              <w:t>BENEFICIALLY</w:t>
            </w: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00" w:type="dxa"/>
            <w:vAlign w:val="bottom"/>
            <w:tcBorders>
              <w:left w:val="single" w:sz="8" w:color="auto"/>
            </w:tcBorders>
          </w:tcPr>
          <w:p>
            <w:pPr>
              <w:spacing w:after="0"/>
              <w:rPr>
                <w:sz w:val="14"/>
                <w:szCs w:val="14"/>
                <w:color w:val="auto"/>
              </w:rPr>
            </w:pPr>
          </w:p>
        </w:tc>
        <w:tc>
          <w:tcPr>
            <w:tcW w:w="2040" w:type="dxa"/>
            <w:vAlign w:val="bottom"/>
            <w:tcBorders>
              <w:right w:val="single" w:sz="8" w:color="auto"/>
            </w:tcBorders>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right w:val="single" w:sz="8" w:color="auto"/>
            </w:tcBorders>
            <w:vMerge w:val="restart"/>
          </w:tcPr>
          <w:p>
            <w:pPr>
              <w:jc w:val="center"/>
              <w:ind w:right="158"/>
              <w:spacing w:after="0"/>
              <w:rPr>
                <w:sz w:val="20"/>
                <w:szCs w:val="20"/>
                <w:color w:val="auto"/>
              </w:rPr>
            </w:pPr>
            <w:r>
              <w:rPr>
                <w:rFonts w:ascii="Arial" w:cs="Arial" w:eastAsia="Arial" w:hAnsi="Arial"/>
                <w:sz w:val="32"/>
                <w:szCs w:val="32"/>
                <w:b w:val="1"/>
                <w:bCs w:val="1"/>
                <w:color w:val="auto"/>
                <w:w w:val="89"/>
              </w:rPr>
              <w:t>8</w:t>
            </w:r>
          </w:p>
        </w:tc>
        <w:tc>
          <w:tcPr>
            <w:tcW w:w="80" w:type="dxa"/>
            <w:vAlign w:val="bottom"/>
          </w:tcPr>
          <w:p>
            <w:pPr>
              <w:spacing w:after="0"/>
              <w:rPr>
                <w:sz w:val="14"/>
                <w:szCs w:val="14"/>
                <w:color w:val="auto"/>
              </w:rPr>
            </w:pPr>
          </w:p>
        </w:tc>
        <w:tc>
          <w:tcPr>
            <w:tcW w:w="7440" w:type="dxa"/>
            <w:vAlign w:val="bottom"/>
            <w:tcBorders>
              <w:right w:val="single" w:sz="8" w:color="auto"/>
            </w:tcBorders>
          </w:tcPr>
          <w:p>
            <w:pPr>
              <w:ind w:left="180"/>
              <w:spacing w:after="0" w:line="16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7"/>
        </w:trPr>
        <w:tc>
          <w:tcPr>
            <w:tcW w:w="7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gridSpan w:val="2"/>
          </w:tcPr>
          <w:p>
            <w:pPr>
              <w:jc w:val="center"/>
              <w:ind w:right="624"/>
              <w:spacing w:after="0"/>
              <w:rPr>
                <w:sz w:val="20"/>
                <w:szCs w:val="20"/>
                <w:color w:val="auto"/>
              </w:rPr>
            </w:pPr>
            <w:r>
              <w:rPr>
                <w:rFonts w:ascii="Arial" w:cs="Arial" w:eastAsia="Arial" w:hAnsi="Arial"/>
                <w:sz w:val="18"/>
                <w:szCs w:val="18"/>
                <w:color w:val="auto"/>
                <w:w w:val="99"/>
              </w:rPr>
              <w:t>OWNED BY</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Borders>
              <w:right w:val="single" w:sz="8" w:color="auto"/>
            </w:tcBorders>
          </w:tcPr>
          <w:p>
            <w:pPr>
              <w:jc w:val="center"/>
              <w:ind w:right="944"/>
              <w:spacing w:after="0" w:line="195" w:lineRule="exact"/>
              <w:rPr>
                <w:sz w:val="20"/>
                <w:szCs w:val="20"/>
                <w:color w:val="auto"/>
              </w:rPr>
            </w:pPr>
            <w:r>
              <w:rPr>
                <w:rFonts w:ascii="Arial" w:cs="Arial" w:eastAsia="Arial" w:hAnsi="Arial"/>
                <w:sz w:val="18"/>
                <w:szCs w:val="18"/>
                <w:color w:val="auto"/>
                <w:w w:val="99"/>
              </w:rPr>
              <w:t>EACH</w:t>
            </w:r>
          </w:p>
        </w:tc>
        <w:tc>
          <w:tcPr>
            <w:tcW w:w="300" w:type="dxa"/>
            <w:vAlign w:val="bottom"/>
          </w:tcPr>
          <w:p>
            <w:pPr>
              <w:spacing w:after="0"/>
              <w:rPr>
                <w:sz w:val="16"/>
                <w:szCs w:val="16"/>
                <w:color w:val="auto"/>
              </w:rPr>
            </w:pPr>
          </w:p>
        </w:tc>
        <w:tc>
          <w:tcPr>
            <w:tcW w:w="680" w:type="dxa"/>
            <w:vAlign w:val="bottom"/>
            <w:tcBorders>
              <w:right w:val="single" w:sz="8" w:color="auto"/>
            </w:tcBorders>
            <w:vMerge w:val="restart"/>
          </w:tcPr>
          <w:p>
            <w:pPr>
              <w:jc w:val="center"/>
              <w:ind w:right="158"/>
              <w:spacing w:after="0"/>
              <w:rPr>
                <w:sz w:val="20"/>
                <w:szCs w:val="20"/>
                <w:color w:val="auto"/>
              </w:rPr>
            </w:pPr>
            <w:r>
              <w:rPr>
                <w:rFonts w:ascii="Arial" w:cs="Arial" w:eastAsia="Arial" w:hAnsi="Arial"/>
                <w:sz w:val="32"/>
                <w:szCs w:val="32"/>
                <w:b w:val="1"/>
                <w:bCs w:val="1"/>
                <w:color w:val="auto"/>
                <w:w w:val="89"/>
              </w:rPr>
              <w:t>9</w:t>
            </w:r>
          </w:p>
        </w:tc>
        <w:tc>
          <w:tcPr>
            <w:tcW w:w="80" w:type="dxa"/>
            <w:vAlign w:val="bottom"/>
          </w:tcPr>
          <w:p>
            <w:pPr>
              <w:spacing w:after="0"/>
              <w:rPr>
                <w:sz w:val="16"/>
                <w:szCs w:val="16"/>
                <w:color w:val="auto"/>
              </w:rPr>
            </w:pPr>
          </w:p>
        </w:tc>
        <w:tc>
          <w:tcPr>
            <w:tcW w:w="744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gridSpan w:val="2"/>
          </w:tcPr>
          <w:p>
            <w:pPr>
              <w:jc w:val="center"/>
              <w:ind w:right="604"/>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11,164,904</w:t>
            </w:r>
          </w:p>
        </w:tc>
        <w:tc>
          <w:tcPr>
            <w:tcW w:w="0" w:type="dxa"/>
            <w:vAlign w:val="bottom"/>
          </w:tcPr>
          <w:p>
            <w:pPr>
              <w:spacing w:after="0"/>
              <w:rPr>
                <w:sz w:val="1"/>
                <w:szCs w:val="1"/>
                <w:color w:val="auto"/>
              </w:rPr>
            </w:pPr>
          </w:p>
        </w:tc>
      </w:tr>
      <w:tr>
        <w:trPr>
          <w:trHeight w:val="41"/>
        </w:trPr>
        <w:tc>
          <w:tcPr>
            <w:tcW w:w="700" w:type="dxa"/>
            <w:vAlign w:val="bottom"/>
            <w:tcBorders>
              <w:left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Borders>
              <w:right w:val="single" w:sz="8" w:color="auto"/>
            </w:tcBorders>
            <w:vMerge w:val="restart"/>
          </w:tcPr>
          <w:p>
            <w:pPr>
              <w:jc w:val="center"/>
              <w:ind w:right="944"/>
              <w:spacing w:after="0"/>
              <w:rPr>
                <w:sz w:val="20"/>
                <w:szCs w:val="20"/>
                <w:color w:val="auto"/>
              </w:rPr>
            </w:pPr>
            <w:r>
              <w:rPr>
                <w:rFonts w:ascii="Arial" w:cs="Arial" w:eastAsia="Arial" w:hAnsi="Arial"/>
                <w:sz w:val="18"/>
                <w:szCs w:val="18"/>
                <w:color w:val="auto"/>
                <w:w w:val="92"/>
              </w:rPr>
              <w:t>PERSON</w:t>
            </w: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70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Borders>
              <w:right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right w:val="single" w:sz="8" w:color="auto"/>
            </w:tcBorders>
            <w:vMerge w:val="restart"/>
          </w:tcPr>
          <w:p>
            <w:pPr>
              <w:jc w:val="center"/>
              <w:ind w:right="158"/>
              <w:spacing w:after="0"/>
              <w:rPr>
                <w:sz w:val="20"/>
                <w:szCs w:val="20"/>
                <w:color w:val="auto"/>
              </w:rPr>
            </w:pPr>
            <w:r>
              <w:rPr>
                <w:rFonts w:ascii="Arial" w:cs="Arial" w:eastAsia="Arial" w:hAnsi="Arial"/>
                <w:sz w:val="32"/>
                <w:szCs w:val="32"/>
                <w:b w:val="1"/>
                <w:bCs w:val="1"/>
                <w:color w:val="auto"/>
                <w:w w:val="89"/>
              </w:rPr>
              <w:t>10</w:t>
            </w:r>
          </w:p>
        </w:tc>
        <w:tc>
          <w:tcPr>
            <w:tcW w:w="80" w:type="dxa"/>
            <w:vAlign w:val="bottom"/>
          </w:tcPr>
          <w:p>
            <w:pPr>
              <w:spacing w:after="0"/>
              <w:rPr>
                <w:sz w:val="13"/>
                <w:szCs w:val="13"/>
                <w:color w:val="auto"/>
              </w:rPr>
            </w:pPr>
          </w:p>
        </w:tc>
        <w:tc>
          <w:tcPr>
            <w:tcW w:w="7440" w:type="dxa"/>
            <w:vAlign w:val="bottom"/>
            <w:tcBorders>
              <w:right w:val="single" w:sz="8" w:color="auto"/>
            </w:tcBorders>
          </w:tcPr>
          <w:p>
            <w:pPr>
              <w:ind w:left="180"/>
              <w:spacing w:after="0" w:line="156"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9"/>
        </w:trPr>
        <w:tc>
          <w:tcPr>
            <w:tcW w:w="700" w:type="dxa"/>
            <w:vAlign w:val="bottom"/>
            <w:tcBorders>
              <w:left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ind w:right="944"/>
              <w:spacing w:after="0"/>
              <w:rPr>
                <w:sz w:val="20"/>
                <w:szCs w:val="20"/>
                <w:color w:val="auto"/>
              </w:rPr>
            </w:pPr>
            <w:r>
              <w:rPr>
                <w:rFonts w:ascii="Arial" w:cs="Arial" w:eastAsia="Arial" w:hAnsi="Arial"/>
                <w:sz w:val="18"/>
                <w:szCs w:val="18"/>
                <w:color w:val="auto"/>
                <w:w w:val="99"/>
              </w:rPr>
              <w:t>WITH</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tcBorders>
            <w:vMerge w:val="restart"/>
          </w:tcPr>
          <w:p>
            <w:pPr>
              <w:jc w:val="center"/>
              <w:ind w:left="228"/>
              <w:spacing w:after="0"/>
              <w:rPr>
                <w:sz w:val="20"/>
                <w:szCs w:val="20"/>
                <w:color w:val="auto"/>
              </w:rPr>
            </w:pPr>
            <w:r>
              <w:rPr>
                <w:rFonts w:ascii="Arial" w:cs="Arial" w:eastAsia="Arial" w:hAnsi="Arial"/>
                <w:sz w:val="32"/>
                <w:szCs w:val="32"/>
                <w:b w:val="1"/>
                <w:bCs w:val="1"/>
                <w:color w:val="auto"/>
                <w:w w:val="84"/>
              </w:rPr>
              <w:t>11</w:t>
            </w:r>
          </w:p>
        </w:tc>
        <w:tc>
          <w:tcPr>
            <w:tcW w:w="320" w:type="dxa"/>
            <w:vAlign w:val="bottom"/>
            <w:tcBorders>
              <w:right w:val="single" w:sz="8" w:color="auto"/>
            </w:tcBorders>
          </w:tcPr>
          <w:p>
            <w:pPr>
              <w:spacing w:after="0"/>
              <w:rPr>
                <w:sz w:val="16"/>
                <w:szCs w:val="16"/>
                <w:color w:val="auto"/>
              </w:rPr>
            </w:pPr>
          </w:p>
        </w:tc>
        <w:tc>
          <w:tcPr>
            <w:tcW w:w="10220" w:type="dxa"/>
            <w:vAlign w:val="bottom"/>
            <w:tcBorders>
              <w:right w:val="single" w:sz="8" w:color="auto"/>
            </w:tcBorders>
            <w:gridSpan w:val="5"/>
          </w:tcPr>
          <w:p>
            <w:pPr>
              <w:ind w:left="260"/>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700" w:type="dxa"/>
            <w:vAlign w:val="bottom"/>
            <w:tcBorders>
              <w:left w:val="single" w:sz="8" w:color="auto"/>
            </w:tcBorders>
            <w:vMerge w:val="continue"/>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720" w:type="dxa"/>
            <w:vAlign w:val="bottom"/>
          </w:tcPr>
          <w:p>
            <w:pPr>
              <w:ind w:left="100"/>
              <w:spacing w:after="0"/>
              <w:rPr>
                <w:sz w:val="20"/>
                <w:szCs w:val="20"/>
                <w:color w:val="auto"/>
              </w:rPr>
            </w:pPr>
            <w:r>
              <w:rPr>
                <w:rFonts w:ascii="Arial" w:cs="Arial" w:eastAsia="Arial" w:hAnsi="Arial"/>
                <w:sz w:val="18"/>
                <w:szCs w:val="18"/>
                <w:color w:val="auto"/>
              </w:rPr>
              <w:t>11,164,904</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
        </w:trPr>
        <w:tc>
          <w:tcPr>
            <w:tcW w:w="700" w:type="dxa"/>
            <w:vAlign w:val="bottom"/>
            <w:tcBorders>
              <w:left w:val="single" w:sz="8" w:color="auto"/>
            </w:tcBorders>
            <w:shd w:val="clear" w:color="auto" w:fill="000000"/>
          </w:tcPr>
          <w:p>
            <w:pPr>
              <w:jc w:val="center"/>
              <w:ind w:left="248"/>
              <w:spacing w:after="0"/>
              <w:rPr>
                <w:sz w:val="20"/>
                <w:szCs w:val="20"/>
                <w:color w:val="auto"/>
              </w:rPr>
            </w:pPr>
            <w:r>
              <w:rPr>
                <w:rFonts w:ascii="Arial" w:cs="Arial" w:eastAsia="Arial" w:hAnsi="Arial"/>
                <w:sz w:val="1"/>
                <w:szCs w:val="1"/>
                <w:b w:val="1"/>
                <w:bCs w:val="1"/>
                <w:color w:val="auto"/>
              </w:rPr>
              <w:t>12</w:t>
            </w: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20" w:type="dxa"/>
            <w:vAlign w:val="bottom"/>
            <w:gridSpan w:val="2"/>
            <w:shd w:val="clear" w:color="auto" w:fill="000000"/>
          </w:tcPr>
          <w:p>
            <w:pPr>
              <w:ind w:left="260"/>
              <w:spacing w:after="0" w:line="16" w:lineRule="exact"/>
              <w:rPr>
                <w:sz w:val="20"/>
                <w:szCs w:val="20"/>
                <w:color w:val="auto"/>
              </w:rPr>
            </w:pPr>
            <w:r>
              <w:rPr>
                <w:rFonts w:ascii="MS PGothic" w:cs="MS PGothic" w:eastAsia="MS PGothic" w:hAnsi="MS PGothic"/>
                <w:sz w:val="2"/>
                <w:szCs w:val="2"/>
                <w:color w:val="auto"/>
              </w:rPr>
              <w:t>☐</w:t>
            </w: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0220" w:type="dxa"/>
            <w:vAlign w:val="bottom"/>
            <w:tcBorders>
              <w:right w:val="single" w:sz="8" w:color="auto"/>
            </w:tcBorders>
            <w:gridSpan w:val="5"/>
          </w:tcPr>
          <w:p>
            <w:pPr>
              <w:ind w:left="2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00"/>
        </w:trPr>
        <w:tc>
          <w:tcPr>
            <w:tcW w:w="7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700" w:type="dxa"/>
            <w:vAlign w:val="bottom"/>
            <w:tcBorders>
              <w:left w:val="single" w:sz="8" w:color="auto"/>
            </w:tcBorders>
            <w:shd w:val="clear" w:color="auto" w:fill="000000"/>
          </w:tcPr>
          <w:p>
            <w:pPr>
              <w:jc w:val="center"/>
              <w:ind w:left="248"/>
              <w:spacing w:after="0"/>
              <w:rPr>
                <w:sz w:val="20"/>
                <w:szCs w:val="20"/>
                <w:color w:val="auto"/>
              </w:rPr>
            </w:pPr>
            <w:r>
              <w:rPr>
                <w:rFonts w:ascii="Arial" w:cs="Arial" w:eastAsia="Arial" w:hAnsi="Arial"/>
                <w:sz w:val="1"/>
                <w:szCs w:val="1"/>
                <w:b w:val="1"/>
                <w:bCs w:val="1"/>
                <w:color w:val="auto"/>
              </w:rPr>
              <w:t>13</w:t>
            </w: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ind w:left="260"/>
              <w:spacing w:after="0"/>
              <w:rPr>
                <w:sz w:val="20"/>
                <w:szCs w:val="20"/>
                <w:color w:val="auto"/>
              </w:rPr>
            </w:pPr>
            <w:r>
              <w:rPr>
                <w:rFonts w:ascii="Arial" w:cs="Arial" w:eastAsia="Arial" w:hAnsi="Arial"/>
                <w:sz w:val="1"/>
                <w:szCs w:val="1"/>
                <w:color w:val="auto"/>
              </w:rPr>
              <w:t>11.7%</w:t>
            </w:r>
            <w:r>
              <w:rPr>
                <w:rFonts w:ascii="Arial" w:cs="Arial" w:eastAsia="Arial" w:hAnsi="Arial"/>
                <w:sz w:val="1"/>
                <w:szCs w:val="1"/>
                <w:color w:val="auto"/>
                <w:vertAlign w:val="superscript"/>
              </w:rPr>
              <w:t>2</w:t>
            </w:r>
          </w:p>
        </w:tc>
        <w:tc>
          <w:tcPr>
            <w:tcW w:w="3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0220" w:type="dxa"/>
            <w:vAlign w:val="bottom"/>
            <w:tcBorders>
              <w:right w:val="single" w:sz="8" w:color="auto"/>
            </w:tcBorders>
            <w:gridSpan w:val="5"/>
          </w:tcPr>
          <w:p>
            <w:pPr>
              <w:ind w:left="2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00"/>
        </w:trPr>
        <w:tc>
          <w:tcPr>
            <w:tcW w:w="7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700" w:type="dxa"/>
            <w:vAlign w:val="bottom"/>
            <w:tcBorders>
              <w:left w:val="single" w:sz="8" w:color="auto"/>
            </w:tcBorders>
            <w:shd w:val="clear" w:color="auto" w:fill="000000"/>
          </w:tcPr>
          <w:p>
            <w:pPr>
              <w:jc w:val="center"/>
              <w:ind w:left="248"/>
              <w:spacing w:after="0"/>
              <w:rPr>
                <w:sz w:val="20"/>
                <w:szCs w:val="20"/>
                <w:color w:val="auto"/>
              </w:rPr>
            </w:pPr>
            <w:r>
              <w:rPr>
                <w:rFonts w:ascii="Arial" w:cs="Arial" w:eastAsia="Arial" w:hAnsi="Arial"/>
                <w:sz w:val="1"/>
                <w:szCs w:val="1"/>
                <w:b w:val="1"/>
                <w:bCs w:val="1"/>
                <w:color w:val="auto"/>
              </w:rPr>
              <w:t>14</w:t>
            </w: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20" w:type="dxa"/>
            <w:vAlign w:val="bottom"/>
            <w:gridSpan w:val="2"/>
            <w:shd w:val="clear" w:color="auto" w:fill="000000"/>
          </w:tcPr>
          <w:p>
            <w:pPr>
              <w:ind w:left="100"/>
              <w:spacing w:after="0"/>
              <w:rPr>
                <w:sz w:val="20"/>
                <w:szCs w:val="20"/>
                <w:color w:val="auto"/>
              </w:rPr>
            </w:pPr>
            <w:r>
              <w:rPr>
                <w:rFonts w:ascii="Arial" w:cs="Arial" w:eastAsia="Arial" w:hAnsi="Arial"/>
                <w:sz w:val="1"/>
                <w:szCs w:val="1"/>
                <w:b w:val="1"/>
                <w:bCs w:val="1"/>
                <w:color w:val="auto"/>
              </w:rPr>
              <w:t>CO</w:t>
            </w: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780" w:type="dxa"/>
            <w:vAlign w:val="bottom"/>
            <w:gridSpan w:val="4"/>
          </w:tcPr>
          <w:p>
            <w:pPr>
              <w:ind w:left="260"/>
              <w:spacing w:after="0"/>
              <w:rPr>
                <w:sz w:val="20"/>
                <w:szCs w:val="20"/>
                <w:color w:val="auto"/>
              </w:rPr>
            </w:pPr>
            <w:r>
              <w:rPr>
                <w:rFonts w:ascii="Arial" w:cs="Arial" w:eastAsia="Arial" w:hAnsi="Arial"/>
                <w:sz w:val="18"/>
                <w:szCs w:val="18"/>
                <w:color w:val="auto"/>
                <w:w w:val="92"/>
              </w:rPr>
              <w:t>TYPE OF REPORTING PERSON</w:t>
            </w:r>
          </w:p>
        </w:tc>
        <w:tc>
          <w:tcPr>
            <w:tcW w:w="7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00" w:type="dxa"/>
            <w:vAlign w:val="bottom"/>
            <w:tcBorders>
              <w:left w:val="single" w:sz="8" w:color="auto"/>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800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hanging="143"/>
        <w:spacing w:after="0"/>
        <w:tabs>
          <w:tab w:leader="none" w:pos="54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The percentage ownership is calculated based on aggregate number of 95,114,166 Common Shares issued and outstanding as of June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G37585109</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700" w:type="dxa"/>
            <w:vAlign w:val="bottom"/>
            <w:tcBorders>
              <w:top w:val="single" w:sz="8" w:color="auto"/>
              <w:left w:val="single" w:sz="8" w:color="auto"/>
            </w:tcBorders>
            <w:vMerge w:val="restart"/>
          </w:tcPr>
          <w:p>
            <w:pPr>
              <w:jc w:val="center"/>
              <w:ind w:left="264"/>
              <w:spacing w:after="0"/>
              <w:rPr>
                <w:sz w:val="20"/>
                <w:szCs w:val="20"/>
                <w:color w:val="auto"/>
              </w:rPr>
            </w:pPr>
            <w:r>
              <w:rPr>
                <w:rFonts w:ascii="Arial" w:cs="Arial" w:eastAsia="Arial" w:hAnsi="Arial"/>
                <w:sz w:val="32"/>
                <w:szCs w:val="32"/>
                <w:b w:val="1"/>
                <w:bCs w:val="1"/>
                <w:color w:val="auto"/>
                <w:w w:val="89"/>
              </w:rPr>
              <w:t>1</w:t>
            </w:r>
          </w:p>
        </w:tc>
        <w:tc>
          <w:tcPr>
            <w:tcW w:w="320" w:type="dxa"/>
            <w:vAlign w:val="bottom"/>
            <w:tcBorders>
              <w:top w:val="single" w:sz="8" w:color="auto"/>
              <w:right w:val="single" w:sz="8" w:color="auto"/>
            </w:tcBorders>
          </w:tcPr>
          <w:p>
            <w:pPr>
              <w:spacing w:after="0"/>
              <w:rPr>
                <w:sz w:val="18"/>
                <w:szCs w:val="18"/>
                <w:color w:val="auto"/>
              </w:rPr>
            </w:pPr>
          </w:p>
        </w:tc>
        <w:tc>
          <w:tcPr>
            <w:tcW w:w="10220" w:type="dxa"/>
            <w:vAlign w:val="bottom"/>
            <w:tcBorders>
              <w:top w:val="single" w:sz="8" w:color="auto"/>
              <w:right w:val="single" w:sz="8" w:color="auto"/>
            </w:tcBorders>
            <w:gridSpan w:val="5"/>
          </w:tcPr>
          <w:p>
            <w:pPr>
              <w:ind w:left="2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tcBorders>
            <w:vMerge w:val="continue"/>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2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ALEXANDER S. ONASSIS FOUNDATION</w:t>
            </w:r>
          </w:p>
        </w:tc>
        <w:tc>
          <w:tcPr>
            <w:tcW w:w="0" w:type="dxa"/>
            <w:vAlign w:val="bottom"/>
          </w:tcPr>
          <w:p>
            <w:pPr>
              <w:spacing w:after="0"/>
              <w:rPr>
                <w:sz w:val="1"/>
                <w:szCs w:val="1"/>
                <w:color w:val="auto"/>
              </w:rPr>
            </w:pPr>
          </w:p>
        </w:tc>
      </w:tr>
      <w:tr>
        <w:trPr>
          <w:trHeight w:val="163"/>
        </w:trPr>
        <w:tc>
          <w:tcPr>
            <w:tcW w:w="700" w:type="dxa"/>
            <w:vAlign w:val="bottom"/>
            <w:tcBorders>
              <w:left w:val="single" w:sz="8" w:color="auto"/>
            </w:tcBorders>
            <w:vMerge w:val="restart"/>
          </w:tcPr>
          <w:p>
            <w:pPr>
              <w:jc w:val="center"/>
              <w:ind w:left="264"/>
              <w:spacing w:after="0"/>
              <w:rPr>
                <w:sz w:val="20"/>
                <w:szCs w:val="20"/>
                <w:color w:val="auto"/>
              </w:rPr>
            </w:pPr>
            <w:r>
              <w:rPr>
                <w:rFonts w:ascii="Arial" w:cs="Arial" w:eastAsia="Arial" w:hAnsi="Arial"/>
                <w:sz w:val="32"/>
                <w:szCs w:val="32"/>
                <w:b w:val="1"/>
                <w:bCs w:val="1"/>
                <w:color w:val="auto"/>
                <w:w w:val="89"/>
              </w:rPr>
              <w:t>2</w:t>
            </w:r>
          </w:p>
        </w:tc>
        <w:tc>
          <w:tcPr>
            <w:tcW w:w="320" w:type="dxa"/>
            <w:vAlign w:val="bottom"/>
            <w:tcBorders>
              <w:right w:val="single" w:sz="8" w:color="auto"/>
            </w:tcBorders>
          </w:tcPr>
          <w:p>
            <w:pPr>
              <w:spacing w:after="0"/>
              <w:rPr>
                <w:sz w:val="14"/>
                <w:szCs w:val="14"/>
                <w:color w:val="auto"/>
              </w:rPr>
            </w:pPr>
          </w:p>
        </w:tc>
        <w:tc>
          <w:tcPr>
            <w:tcW w:w="10220" w:type="dxa"/>
            <w:vAlign w:val="bottom"/>
            <w:tcBorders>
              <w:right w:val="single" w:sz="8" w:color="auto"/>
            </w:tcBorders>
            <w:gridSpan w:val="5"/>
          </w:tcPr>
          <w:p>
            <w:pPr>
              <w:ind w:left="2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9"/>
        </w:trPr>
        <w:tc>
          <w:tcPr>
            <w:tcW w:w="700" w:type="dxa"/>
            <w:vAlign w:val="bottom"/>
            <w:tcBorders>
              <w:left w:val="single" w:sz="8" w:color="auto"/>
            </w:tcBorders>
            <w:vMerge w:val="continue"/>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960" w:type="dxa"/>
            <w:vAlign w:val="bottom"/>
            <w:gridSpan w:val="2"/>
          </w:tcPr>
          <w:p>
            <w:pPr>
              <w:ind w:left="2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(b) x</w:t>
            </w: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700" w:type="dxa"/>
            <w:vAlign w:val="bottom"/>
            <w:tcBorders>
              <w:left w:val="single" w:sz="8" w:color="auto"/>
            </w:tcBorders>
          </w:tcPr>
          <w:p>
            <w:pPr>
              <w:jc w:val="center"/>
              <w:ind w:left="264"/>
              <w:spacing w:after="0" w:line="156" w:lineRule="exact"/>
              <w:rPr>
                <w:sz w:val="20"/>
                <w:szCs w:val="20"/>
                <w:color w:val="auto"/>
              </w:rPr>
            </w:pPr>
            <w:r>
              <w:rPr>
                <w:rFonts w:ascii="Arial" w:cs="Arial" w:eastAsia="Arial" w:hAnsi="Arial"/>
                <w:sz w:val="18"/>
                <w:szCs w:val="18"/>
                <w:b w:val="1"/>
                <w:bCs w:val="1"/>
                <w:color w:val="auto"/>
              </w:rPr>
              <w:t>3</w:t>
            </w:r>
          </w:p>
        </w:tc>
        <w:tc>
          <w:tcPr>
            <w:tcW w:w="320" w:type="dxa"/>
            <w:vAlign w:val="bottom"/>
            <w:tcBorders>
              <w:right w:val="single" w:sz="8" w:color="auto"/>
            </w:tcBorders>
          </w:tcPr>
          <w:p>
            <w:pPr>
              <w:spacing w:after="0"/>
              <w:rPr>
                <w:sz w:val="13"/>
                <w:szCs w:val="13"/>
                <w:color w:val="auto"/>
              </w:rPr>
            </w:pPr>
          </w:p>
        </w:tc>
        <w:tc>
          <w:tcPr>
            <w:tcW w:w="1960" w:type="dxa"/>
            <w:vAlign w:val="bottom"/>
            <w:gridSpan w:val="2"/>
            <w:vMerge w:val="restart"/>
          </w:tcPr>
          <w:p>
            <w:pPr>
              <w:ind w:left="260"/>
              <w:spacing w:after="0"/>
              <w:rPr>
                <w:sz w:val="20"/>
                <w:szCs w:val="20"/>
                <w:color w:val="auto"/>
              </w:rPr>
            </w:pPr>
            <w:r>
              <w:rPr>
                <w:rFonts w:ascii="Arial" w:cs="Arial" w:eastAsia="Arial" w:hAnsi="Arial"/>
                <w:sz w:val="18"/>
                <w:szCs w:val="18"/>
                <w:color w:val="auto"/>
              </w:rPr>
              <w:t>SEC USE ONLY</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700" w:type="dxa"/>
            <w:vAlign w:val="bottom"/>
            <w:tcBorders>
              <w:left w:val="single" w:sz="8" w:color="auto"/>
            </w:tcBorders>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96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700" w:type="dxa"/>
            <w:vAlign w:val="bottom"/>
            <w:tcBorders>
              <w:lef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96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
        </w:trPr>
        <w:tc>
          <w:tcPr>
            <w:tcW w:w="700" w:type="dxa"/>
            <w:vAlign w:val="bottom"/>
            <w:tcBorders>
              <w:left w:val="single" w:sz="8" w:color="auto"/>
            </w:tcBorders>
            <w:shd w:val="clear" w:color="auto" w:fill="000000"/>
          </w:tcPr>
          <w:p>
            <w:pPr>
              <w:jc w:val="center"/>
              <w:ind w:left="264"/>
              <w:spacing w:after="0"/>
              <w:rPr>
                <w:sz w:val="20"/>
                <w:szCs w:val="20"/>
                <w:color w:val="auto"/>
              </w:rPr>
            </w:pPr>
            <w:r>
              <w:rPr>
                <w:rFonts w:ascii="Arial" w:cs="Arial" w:eastAsia="Arial" w:hAnsi="Arial"/>
                <w:sz w:val="1"/>
                <w:szCs w:val="1"/>
                <w:b w:val="1"/>
                <w:bCs w:val="1"/>
                <w:color w:val="auto"/>
              </w:rPr>
              <w:t>4</w:t>
            </w: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960" w:type="dxa"/>
            <w:vAlign w:val="bottom"/>
            <w:gridSpan w:val="2"/>
            <w:shd w:val="clear" w:color="auto" w:fill="000000"/>
          </w:tcPr>
          <w:p>
            <w:pPr>
              <w:ind w:left="100"/>
              <w:spacing w:after="0"/>
              <w:rPr>
                <w:sz w:val="20"/>
                <w:szCs w:val="20"/>
                <w:color w:val="auto"/>
              </w:rPr>
            </w:pPr>
            <w:r>
              <w:rPr>
                <w:rFonts w:ascii="Arial" w:cs="Arial" w:eastAsia="Arial" w:hAnsi="Arial"/>
                <w:sz w:val="1"/>
                <w:szCs w:val="1"/>
                <w:b w:val="1"/>
                <w:bCs w:val="1"/>
                <w:color w:val="auto"/>
              </w:rPr>
              <w:t>AF</w:t>
            </w: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960" w:type="dxa"/>
            <w:vAlign w:val="bottom"/>
            <w:gridSpan w:val="2"/>
          </w:tcPr>
          <w:p>
            <w:pPr>
              <w:ind w:left="260"/>
              <w:spacing w:after="0"/>
              <w:rPr>
                <w:sz w:val="20"/>
                <w:szCs w:val="20"/>
                <w:color w:val="auto"/>
              </w:rPr>
            </w:pPr>
            <w:r>
              <w:rPr>
                <w:rFonts w:ascii="Arial" w:cs="Arial" w:eastAsia="Arial" w:hAnsi="Arial"/>
                <w:sz w:val="18"/>
                <w:szCs w:val="18"/>
                <w:color w:val="auto"/>
                <w:w w:val="96"/>
              </w:rPr>
              <w:t>SOURCE OF FUNDS</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96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700" w:type="dxa"/>
            <w:vAlign w:val="bottom"/>
            <w:tcBorders>
              <w:left w:val="single" w:sz="8" w:color="auto"/>
            </w:tcBorders>
            <w:shd w:val="clear" w:color="auto" w:fill="000000"/>
          </w:tcPr>
          <w:p>
            <w:pPr>
              <w:jc w:val="center"/>
              <w:ind w:left="264"/>
              <w:spacing w:after="0"/>
              <w:rPr>
                <w:sz w:val="20"/>
                <w:szCs w:val="20"/>
                <w:color w:val="auto"/>
              </w:rPr>
            </w:pPr>
            <w:r>
              <w:rPr>
                <w:rFonts w:ascii="Arial" w:cs="Arial" w:eastAsia="Arial" w:hAnsi="Arial"/>
                <w:sz w:val="1"/>
                <w:szCs w:val="1"/>
                <w:b w:val="1"/>
                <w:bCs w:val="1"/>
                <w:color w:val="auto"/>
              </w:rPr>
              <w:t>5</w:t>
            </w: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960" w:type="dxa"/>
            <w:vAlign w:val="bottom"/>
            <w:gridSpan w:val="2"/>
            <w:shd w:val="clear" w:color="auto" w:fill="000000"/>
          </w:tcPr>
          <w:p>
            <w:pPr>
              <w:ind w:left="260"/>
              <w:spacing w:after="0" w:line="16" w:lineRule="exact"/>
              <w:rPr>
                <w:sz w:val="20"/>
                <w:szCs w:val="20"/>
                <w:color w:val="auto"/>
              </w:rPr>
            </w:pPr>
            <w:r>
              <w:rPr>
                <w:rFonts w:ascii="MS PGothic" w:cs="MS PGothic" w:eastAsia="MS PGothic" w:hAnsi="MS PGothic"/>
                <w:sz w:val="2"/>
                <w:szCs w:val="2"/>
                <w:color w:val="auto"/>
              </w:rPr>
              <w:t>☐</w:t>
            </w: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0220" w:type="dxa"/>
            <w:vAlign w:val="bottom"/>
            <w:tcBorders>
              <w:right w:val="single" w:sz="8" w:color="auto"/>
            </w:tcBorders>
            <w:gridSpan w:val="5"/>
          </w:tcPr>
          <w:p>
            <w:pPr>
              <w:ind w:left="2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200"/>
        </w:trPr>
        <w:tc>
          <w:tcPr>
            <w:tcW w:w="700" w:type="dxa"/>
            <w:vAlign w:val="bottom"/>
            <w:tcBorders>
              <w:left w:val="single" w:sz="8" w:color="auto"/>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0220" w:type="dxa"/>
            <w:vAlign w:val="bottom"/>
            <w:tcBorders>
              <w:bottom w:val="single" w:sz="8" w:color="auto"/>
              <w:right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auto"/>
            </w:tcBorders>
            <w:vMerge w:val="restart"/>
          </w:tcPr>
          <w:p>
            <w:pPr>
              <w:jc w:val="center"/>
              <w:ind w:left="264"/>
              <w:spacing w:after="0"/>
              <w:rPr>
                <w:sz w:val="20"/>
                <w:szCs w:val="20"/>
                <w:color w:val="auto"/>
              </w:rPr>
            </w:pPr>
            <w:r>
              <w:rPr>
                <w:rFonts w:ascii="Arial" w:cs="Arial" w:eastAsia="Arial" w:hAnsi="Arial"/>
                <w:sz w:val="32"/>
                <w:szCs w:val="32"/>
                <w:b w:val="1"/>
                <w:bCs w:val="1"/>
                <w:color w:val="auto"/>
                <w:w w:val="89"/>
              </w:rPr>
              <w:t>6</w:t>
            </w:r>
          </w:p>
        </w:tc>
        <w:tc>
          <w:tcPr>
            <w:tcW w:w="320" w:type="dxa"/>
            <w:vAlign w:val="bottom"/>
            <w:tcBorders>
              <w:right w:val="single" w:sz="8" w:color="auto"/>
            </w:tcBorders>
          </w:tcPr>
          <w:p>
            <w:pPr>
              <w:spacing w:after="0"/>
              <w:rPr>
                <w:sz w:val="16"/>
                <w:szCs w:val="16"/>
                <w:color w:val="auto"/>
              </w:rPr>
            </w:pPr>
          </w:p>
        </w:tc>
        <w:tc>
          <w:tcPr>
            <w:tcW w:w="10220" w:type="dxa"/>
            <w:vAlign w:val="bottom"/>
            <w:tcBorders>
              <w:right w:val="single" w:sz="8" w:color="auto"/>
            </w:tcBorders>
            <w:gridSpan w:val="5"/>
          </w:tcPr>
          <w:p>
            <w:pPr>
              <w:ind w:left="260"/>
              <w:spacing w:after="0" w:line="191"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tcBorders>
            <w:vMerge w:val="continue"/>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LIECHTENSTEIN</w:t>
            </w: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gridSpan w:val="2"/>
          </w:tcPr>
          <w:p>
            <w:pPr>
              <w:jc w:val="center"/>
              <w:ind w:right="627"/>
              <w:spacing w:after="0" w:line="195" w:lineRule="exact"/>
              <w:rPr>
                <w:sz w:val="20"/>
                <w:szCs w:val="20"/>
                <w:color w:val="auto"/>
              </w:rPr>
            </w:pPr>
            <w:r>
              <w:rPr>
                <w:rFonts w:ascii="Arial" w:cs="Arial" w:eastAsia="Arial" w:hAnsi="Arial"/>
                <w:sz w:val="18"/>
                <w:szCs w:val="18"/>
                <w:color w:val="auto"/>
                <w:w w:val="98"/>
              </w:rPr>
              <w:t>NUMBER OF</w:t>
            </w:r>
          </w:p>
        </w:tc>
        <w:tc>
          <w:tcPr>
            <w:tcW w:w="240" w:type="dxa"/>
            <w:vAlign w:val="bottom"/>
          </w:tcPr>
          <w:p>
            <w:pPr>
              <w:spacing w:after="0"/>
              <w:rPr>
                <w:sz w:val="16"/>
                <w:szCs w:val="16"/>
                <w:color w:val="auto"/>
              </w:rPr>
            </w:pPr>
          </w:p>
        </w:tc>
        <w:tc>
          <w:tcPr>
            <w:tcW w:w="740" w:type="dxa"/>
            <w:vAlign w:val="bottom"/>
            <w:tcBorders>
              <w:right w:val="single" w:sz="8" w:color="auto"/>
            </w:tcBorders>
            <w:vMerge w:val="restart"/>
          </w:tcPr>
          <w:p>
            <w:pPr>
              <w:jc w:val="center"/>
              <w:ind w:right="98"/>
              <w:spacing w:after="0"/>
              <w:rPr>
                <w:sz w:val="20"/>
                <w:szCs w:val="20"/>
                <w:color w:val="auto"/>
              </w:rPr>
            </w:pPr>
            <w:r>
              <w:rPr>
                <w:rFonts w:ascii="Arial" w:cs="Arial" w:eastAsia="Arial" w:hAnsi="Arial"/>
                <w:sz w:val="32"/>
                <w:szCs w:val="32"/>
                <w:b w:val="1"/>
                <w:bCs w:val="1"/>
                <w:color w:val="auto"/>
                <w:w w:val="89"/>
              </w:rPr>
              <w:t>7</w:t>
            </w:r>
          </w:p>
        </w:tc>
        <w:tc>
          <w:tcPr>
            <w:tcW w:w="80" w:type="dxa"/>
            <w:vAlign w:val="bottom"/>
          </w:tcPr>
          <w:p>
            <w:pPr>
              <w:spacing w:after="0"/>
              <w:rPr>
                <w:sz w:val="16"/>
                <w:szCs w:val="16"/>
                <w:color w:val="auto"/>
              </w:rPr>
            </w:pPr>
          </w:p>
        </w:tc>
        <w:tc>
          <w:tcPr>
            <w:tcW w:w="744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Borders>
              <w:right w:val="single" w:sz="8" w:color="auto"/>
            </w:tcBorders>
          </w:tcPr>
          <w:p>
            <w:pPr>
              <w:jc w:val="center"/>
              <w:ind w:right="947"/>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74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11,164,904</w:t>
            </w:r>
          </w:p>
        </w:tc>
        <w:tc>
          <w:tcPr>
            <w:tcW w:w="0" w:type="dxa"/>
            <w:vAlign w:val="bottom"/>
          </w:tcPr>
          <w:p>
            <w:pPr>
              <w:spacing w:after="0"/>
              <w:rPr>
                <w:sz w:val="1"/>
                <w:szCs w:val="1"/>
                <w:color w:val="auto"/>
              </w:rPr>
            </w:pPr>
          </w:p>
        </w:tc>
      </w:tr>
      <w:tr>
        <w:trPr>
          <w:trHeight w:val="28"/>
        </w:trPr>
        <w:tc>
          <w:tcPr>
            <w:tcW w:w="700" w:type="dxa"/>
            <w:vAlign w:val="bottom"/>
            <w:tcBorders>
              <w:left w:val="single" w:sz="8" w:color="auto"/>
            </w:tcBorders>
          </w:tcPr>
          <w:p>
            <w:pPr>
              <w:spacing w:after="0"/>
              <w:rPr>
                <w:sz w:val="2"/>
                <w:szCs w:val="2"/>
                <w:color w:val="auto"/>
              </w:rPr>
            </w:pPr>
          </w:p>
        </w:tc>
        <w:tc>
          <w:tcPr>
            <w:tcW w:w="2040" w:type="dxa"/>
            <w:vAlign w:val="bottom"/>
            <w:tcBorders>
              <w:right w:val="single" w:sz="8" w:color="auto"/>
            </w:tcBorders>
            <w:gridSpan w:val="2"/>
            <w:vMerge w:val="restart"/>
          </w:tcPr>
          <w:p>
            <w:pPr>
              <w:jc w:val="center"/>
              <w:ind w:right="627"/>
              <w:spacing w:after="0"/>
              <w:rPr>
                <w:sz w:val="20"/>
                <w:szCs w:val="20"/>
                <w:color w:val="auto"/>
              </w:rPr>
            </w:pPr>
            <w:r>
              <w:rPr>
                <w:rFonts w:ascii="Arial" w:cs="Arial" w:eastAsia="Arial" w:hAnsi="Arial"/>
                <w:sz w:val="18"/>
                <w:szCs w:val="18"/>
                <w:color w:val="auto"/>
                <w:w w:val="99"/>
              </w:rPr>
              <w:t>BENEFICIALLY</w:t>
            </w: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00" w:type="dxa"/>
            <w:vAlign w:val="bottom"/>
            <w:tcBorders>
              <w:left w:val="single" w:sz="8" w:color="auto"/>
            </w:tcBorders>
          </w:tcPr>
          <w:p>
            <w:pPr>
              <w:spacing w:after="0"/>
              <w:rPr>
                <w:sz w:val="14"/>
                <w:szCs w:val="14"/>
                <w:color w:val="auto"/>
              </w:rPr>
            </w:pPr>
          </w:p>
        </w:tc>
        <w:tc>
          <w:tcPr>
            <w:tcW w:w="2040" w:type="dxa"/>
            <w:vAlign w:val="bottom"/>
            <w:tcBorders>
              <w:right w:val="single" w:sz="8" w:color="auto"/>
            </w:tcBorders>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right w:val="single" w:sz="8" w:color="auto"/>
            </w:tcBorders>
            <w:vMerge w:val="restart"/>
          </w:tcPr>
          <w:p>
            <w:pPr>
              <w:jc w:val="center"/>
              <w:ind w:right="98"/>
              <w:spacing w:after="0"/>
              <w:rPr>
                <w:sz w:val="20"/>
                <w:szCs w:val="20"/>
                <w:color w:val="auto"/>
              </w:rPr>
            </w:pPr>
            <w:r>
              <w:rPr>
                <w:rFonts w:ascii="Arial" w:cs="Arial" w:eastAsia="Arial" w:hAnsi="Arial"/>
                <w:sz w:val="32"/>
                <w:szCs w:val="32"/>
                <w:b w:val="1"/>
                <w:bCs w:val="1"/>
                <w:color w:val="auto"/>
                <w:w w:val="89"/>
              </w:rPr>
              <w:t>8</w:t>
            </w:r>
          </w:p>
        </w:tc>
        <w:tc>
          <w:tcPr>
            <w:tcW w:w="80" w:type="dxa"/>
            <w:vAlign w:val="bottom"/>
          </w:tcPr>
          <w:p>
            <w:pPr>
              <w:spacing w:after="0"/>
              <w:rPr>
                <w:sz w:val="14"/>
                <w:szCs w:val="14"/>
                <w:color w:val="auto"/>
              </w:rPr>
            </w:pPr>
          </w:p>
        </w:tc>
        <w:tc>
          <w:tcPr>
            <w:tcW w:w="7440" w:type="dxa"/>
            <w:vAlign w:val="bottom"/>
            <w:tcBorders>
              <w:right w:val="single" w:sz="8" w:color="auto"/>
            </w:tcBorders>
          </w:tcPr>
          <w:p>
            <w:pPr>
              <w:ind w:left="180"/>
              <w:spacing w:after="0" w:line="16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7"/>
        </w:trPr>
        <w:tc>
          <w:tcPr>
            <w:tcW w:w="7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gridSpan w:val="2"/>
          </w:tcPr>
          <w:p>
            <w:pPr>
              <w:jc w:val="center"/>
              <w:ind w:right="627"/>
              <w:spacing w:after="0"/>
              <w:rPr>
                <w:sz w:val="20"/>
                <w:szCs w:val="20"/>
                <w:color w:val="auto"/>
              </w:rPr>
            </w:pPr>
            <w:r>
              <w:rPr>
                <w:rFonts w:ascii="Arial" w:cs="Arial" w:eastAsia="Arial" w:hAnsi="Arial"/>
                <w:sz w:val="18"/>
                <w:szCs w:val="18"/>
                <w:color w:val="auto"/>
                <w:w w:val="99"/>
              </w:rPr>
              <w:t>OWNED BY</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Borders>
              <w:right w:val="single" w:sz="8" w:color="auto"/>
            </w:tcBorders>
          </w:tcPr>
          <w:p>
            <w:pPr>
              <w:jc w:val="center"/>
              <w:ind w:right="947"/>
              <w:spacing w:after="0" w:line="195" w:lineRule="exact"/>
              <w:rPr>
                <w:sz w:val="20"/>
                <w:szCs w:val="20"/>
                <w:color w:val="auto"/>
              </w:rPr>
            </w:pPr>
            <w:r>
              <w:rPr>
                <w:rFonts w:ascii="Arial" w:cs="Arial" w:eastAsia="Arial" w:hAnsi="Arial"/>
                <w:sz w:val="18"/>
                <w:szCs w:val="18"/>
                <w:color w:val="auto"/>
                <w:w w:val="99"/>
              </w:rPr>
              <w:t>EACH</w:t>
            </w:r>
          </w:p>
        </w:tc>
        <w:tc>
          <w:tcPr>
            <w:tcW w:w="240" w:type="dxa"/>
            <w:vAlign w:val="bottom"/>
          </w:tcPr>
          <w:p>
            <w:pPr>
              <w:spacing w:after="0"/>
              <w:rPr>
                <w:sz w:val="16"/>
                <w:szCs w:val="16"/>
                <w:color w:val="auto"/>
              </w:rPr>
            </w:pPr>
          </w:p>
        </w:tc>
        <w:tc>
          <w:tcPr>
            <w:tcW w:w="740" w:type="dxa"/>
            <w:vAlign w:val="bottom"/>
            <w:tcBorders>
              <w:right w:val="single" w:sz="8" w:color="auto"/>
            </w:tcBorders>
            <w:vMerge w:val="restart"/>
          </w:tcPr>
          <w:p>
            <w:pPr>
              <w:jc w:val="center"/>
              <w:ind w:right="98"/>
              <w:spacing w:after="0"/>
              <w:rPr>
                <w:sz w:val="20"/>
                <w:szCs w:val="20"/>
                <w:color w:val="auto"/>
              </w:rPr>
            </w:pPr>
            <w:r>
              <w:rPr>
                <w:rFonts w:ascii="Arial" w:cs="Arial" w:eastAsia="Arial" w:hAnsi="Arial"/>
                <w:sz w:val="32"/>
                <w:szCs w:val="32"/>
                <w:b w:val="1"/>
                <w:bCs w:val="1"/>
                <w:color w:val="auto"/>
                <w:w w:val="89"/>
              </w:rPr>
              <w:t>9</w:t>
            </w:r>
          </w:p>
        </w:tc>
        <w:tc>
          <w:tcPr>
            <w:tcW w:w="80" w:type="dxa"/>
            <w:vAlign w:val="bottom"/>
          </w:tcPr>
          <w:p>
            <w:pPr>
              <w:spacing w:after="0"/>
              <w:rPr>
                <w:sz w:val="16"/>
                <w:szCs w:val="16"/>
                <w:color w:val="auto"/>
              </w:rPr>
            </w:pPr>
          </w:p>
        </w:tc>
        <w:tc>
          <w:tcPr>
            <w:tcW w:w="744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gridSpan w:val="2"/>
          </w:tcPr>
          <w:p>
            <w:pPr>
              <w:jc w:val="center"/>
              <w:ind w:right="607"/>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74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11,164,904</w:t>
            </w:r>
          </w:p>
        </w:tc>
        <w:tc>
          <w:tcPr>
            <w:tcW w:w="0" w:type="dxa"/>
            <w:vAlign w:val="bottom"/>
          </w:tcPr>
          <w:p>
            <w:pPr>
              <w:spacing w:after="0"/>
              <w:rPr>
                <w:sz w:val="1"/>
                <w:szCs w:val="1"/>
                <w:color w:val="auto"/>
              </w:rPr>
            </w:pPr>
          </w:p>
        </w:tc>
      </w:tr>
      <w:tr>
        <w:trPr>
          <w:trHeight w:val="41"/>
        </w:trPr>
        <w:tc>
          <w:tcPr>
            <w:tcW w:w="700" w:type="dxa"/>
            <w:vAlign w:val="bottom"/>
            <w:tcBorders>
              <w:left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Borders>
              <w:right w:val="single" w:sz="8" w:color="auto"/>
            </w:tcBorders>
            <w:vMerge w:val="restart"/>
          </w:tcPr>
          <w:p>
            <w:pPr>
              <w:jc w:val="center"/>
              <w:ind w:right="947"/>
              <w:spacing w:after="0"/>
              <w:rPr>
                <w:sz w:val="20"/>
                <w:szCs w:val="20"/>
                <w:color w:val="auto"/>
              </w:rPr>
            </w:pPr>
            <w:r>
              <w:rPr>
                <w:rFonts w:ascii="Arial" w:cs="Arial" w:eastAsia="Arial" w:hAnsi="Arial"/>
                <w:sz w:val="18"/>
                <w:szCs w:val="18"/>
                <w:color w:val="auto"/>
                <w:w w:val="92"/>
              </w:rPr>
              <w:t>PERSON</w:t>
            </w: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70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Borders>
              <w:right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right w:val="single" w:sz="8" w:color="auto"/>
            </w:tcBorders>
            <w:vMerge w:val="restart"/>
          </w:tcPr>
          <w:p>
            <w:pPr>
              <w:jc w:val="center"/>
              <w:ind w:right="98"/>
              <w:spacing w:after="0"/>
              <w:rPr>
                <w:sz w:val="20"/>
                <w:szCs w:val="20"/>
                <w:color w:val="auto"/>
              </w:rPr>
            </w:pPr>
            <w:r>
              <w:rPr>
                <w:rFonts w:ascii="Arial" w:cs="Arial" w:eastAsia="Arial" w:hAnsi="Arial"/>
                <w:sz w:val="32"/>
                <w:szCs w:val="32"/>
                <w:b w:val="1"/>
                <w:bCs w:val="1"/>
                <w:color w:val="auto"/>
                <w:w w:val="89"/>
              </w:rPr>
              <w:t>10</w:t>
            </w:r>
          </w:p>
        </w:tc>
        <w:tc>
          <w:tcPr>
            <w:tcW w:w="80" w:type="dxa"/>
            <w:vAlign w:val="bottom"/>
          </w:tcPr>
          <w:p>
            <w:pPr>
              <w:spacing w:after="0"/>
              <w:rPr>
                <w:sz w:val="13"/>
                <w:szCs w:val="13"/>
                <w:color w:val="auto"/>
              </w:rPr>
            </w:pPr>
          </w:p>
        </w:tc>
        <w:tc>
          <w:tcPr>
            <w:tcW w:w="7440" w:type="dxa"/>
            <w:vAlign w:val="bottom"/>
            <w:tcBorders>
              <w:right w:val="single" w:sz="8" w:color="auto"/>
            </w:tcBorders>
          </w:tcPr>
          <w:p>
            <w:pPr>
              <w:ind w:left="180"/>
              <w:spacing w:after="0" w:line="156"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9"/>
        </w:trPr>
        <w:tc>
          <w:tcPr>
            <w:tcW w:w="700" w:type="dxa"/>
            <w:vAlign w:val="bottom"/>
            <w:tcBorders>
              <w:left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ind w:right="947"/>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tcBorders>
            <w:vMerge w:val="restart"/>
          </w:tcPr>
          <w:p>
            <w:pPr>
              <w:jc w:val="center"/>
              <w:ind w:left="244"/>
              <w:spacing w:after="0"/>
              <w:rPr>
                <w:sz w:val="20"/>
                <w:szCs w:val="20"/>
                <w:color w:val="auto"/>
              </w:rPr>
            </w:pPr>
            <w:r>
              <w:rPr>
                <w:rFonts w:ascii="Arial" w:cs="Arial" w:eastAsia="Arial" w:hAnsi="Arial"/>
                <w:sz w:val="32"/>
                <w:szCs w:val="32"/>
                <w:b w:val="1"/>
                <w:bCs w:val="1"/>
                <w:color w:val="auto"/>
                <w:w w:val="84"/>
              </w:rPr>
              <w:t>11</w:t>
            </w:r>
          </w:p>
        </w:tc>
        <w:tc>
          <w:tcPr>
            <w:tcW w:w="320" w:type="dxa"/>
            <w:vAlign w:val="bottom"/>
            <w:tcBorders>
              <w:right w:val="single" w:sz="8" w:color="auto"/>
            </w:tcBorders>
          </w:tcPr>
          <w:p>
            <w:pPr>
              <w:spacing w:after="0"/>
              <w:rPr>
                <w:sz w:val="16"/>
                <w:szCs w:val="16"/>
                <w:color w:val="auto"/>
              </w:rPr>
            </w:pPr>
          </w:p>
        </w:tc>
        <w:tc>
          <w:tcPr>
            <w:tcW w:w="10220" w:type="dxa"/>
            <w:vAlign w:val="bottom"/>
            <w:tcBorders>
              <w:right w:val="single" w:sz="8" w:color="auto"/>
            </w:tcBorders>
            <w:gridSpan w:val="5"/>
          </w:tcPr>
          <w:p>
            <w:pPr>
              <w:ind w:left="260"/>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700" w:type="dxa"/>
            <w:vAlign w:val="bottom"/>
            <w:tcBorders>
              <w:left w:val="single" w:sz="8" w:color="auto"/>
            </w:tcBorders>
            <w:vMerge w:val="continue"/>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720" w:type="dxa"/>
            <w:vAlign w:val="bottom"/>
          </w:tcPr>
          <w:p>
            <w:pPr>
              <w:ind w:left="100"/>
              <w:spacing w:after="0"/>
              <w:rPr>
                <w:sz w:val="20"/>
                <w:szCs w:val="20"/>
                <w:color w:val="auto"/>
              </w:rPr>
            </w:pPr>
            <w:r>
              <w:rPr>
                <w:rFonts w:ascii="Arial" w:cs="Arial" w:eastAsia="Arial" w:hAnsi="Arial"/>
                <w:sz w:val="18"/>
                <w:szCs w:val="18"/>
                <w:color w:val="auto"/>
              </w:rPr>
              <w:t>11,164,904</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
        </w:trPr>
        <w:tc>
          <w:tcPr>
            <w:tcW w:w="700" w:type="dxa"/>
            <w:vAlign w:val="bottom"/>
            <w:tcBorders>
              <w:left w:val="single" w:sz="8" w:color="auto"/>
            </w:tcBorders>
            <w:shd w:val="clear" w:color="auto" w:fill="000000"/>
          </w:tcPr>
          <w:p>
            <w:pPr>
              <w:jc w:val="center"/>
              <w:ind w:left="264"/>
              <w:spacing w:after="0"/>
              <w:rPr>
                <w:sz w:val="20"/>
                <w:szCs w:val="20"/>
                <w:color w:val="auto"/>
              </w:rPr>
            </w:pPr>
            <w:r>
              <w:rPr>
                <w:rFonts w:ascii="Arial" w:cs="Arial" w:eastAsia="Arial" w:hAnsi="Arial"/>
                <w:sz w:val="1"/>
                <w:szCs w:val="1"/>
                <w:b w:val="1"/>
                <w:bCs w:val="1"/>
                <w:color w:val="auto"/>
              </w:rPr>
              <w:t>12</w:t>
            </w: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960" w:type="dxa"/>
            <w:vAlign w:val="bottom"/>
            <w:gridSpan w:val="2"/>
            <w:shd w:val="clear" w:color="auto" w:fill="000000"/>
          </w:tcPr>
          <w:p>
            <w:pPr>
              <w:ind w:left="260"/>
              <w:spacing w:after="0" w:line="16" w:lineRule="exact"/>
              <w:rPr>
                <w:sz w:val="20"/>
                <w:szCs w:val="20"/>
                <w:color w:val="auto"/>
              </w:rPr>
            </w:pPr>
            <w:r>
              <w:rPr>
                <w:rFonts w:ascii="MS PGothic" w:cs="MS PGothic" w:eastAsia="MS PGothic" w:hAnsi="MS PGothic"/>
                <w:sz w:val="2"/>
                <w:szCs w:val="2"/>
                <w:color w:val="auto"/>
              </w:rPr>
              <w:t>☐</w:t>
            </w: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0220" w:type="dxa"/>
            <w:vAlign w:val="bottom"/>
            <w:tcBorders>
              <w:right w:val="single" w:sz="8" w:color="auto"/>
            </w:tcBorders>
            <w:gridSpan w:val="5"/>
          </w:tcPr>
          <w:p>
            <w:pPr>
              <w:ind w:left="2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00"/>
        </w:trPr>
        <w:tc>
          <w:tcPr>
            <w:tcW w:w="7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700" w:type="dxa"/>
            <w:vAlign w:val="bottom"/>
            <w:tcBorders>
              <w:left w:val="single" w:sz="8" w:color="auto"/>
            </w:tcBorders>
            <w:shd w:val="clear" w:color="auto" w:fill="000000"/>
          </w:tcPr>
          <w:p>
            <w:pPr>
              <w:jc w:val="center"/>
              <w:ind w:left="264"/>
              <w:spacing w:after="0"/>
              <w:rPr>
                <w:sz w:val="20"/>
                <w:szCs w:val="20"/>
                <w:color w:val="auto"/>
              </w:rPr>
            </w:pPr>
            <w:r>
              <w:rPr>
                <w:rFonts w:ascii="Arial" w:cs="Arial" w:eastAsia="Arial" w:hAnsi="Arial"/>
                <w:sz w:val="1"/>
                <w:szCs w:val="1"/>
                <w:b w:val="1"/>
                <w:bCs w:val="1"/>
                <w:color w:val="auto"/>
              </w:rPr>
              <w:t>13</w:t>
            </w: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ind w:left="260"/>
              <w:spacing w:after="0"/>
              <w:rPr>
                <w:sz w:val="20"/>
                <w:szCs w:val="20"/>
                <w:color w:val="auto"/>
              </w:rPr>
            </w:pPr>
            <w:r>
              <w:rPr>
                <w:rFonts w:ascii="Arial" w:cs="Arial" w:eastAsia="Arial" w:hAnsi="Arial"/>
                <w:sz w:val="1"/>
                <w:szCs w:val="1"/>
                <w:color w:val="auto"/>
              </w:rPr>
              <w:t>11.7%</w:t>
            </w:r>
            <w:r>
              <w:rPr>
                <w:rFonts w:ascii="Arial" w:cs="Arial" w:eastAsia="Arial" w:hAnsi="Arial"/>
                <w:sz w:val="1"/>
                <w:szCs w:val="1"/>
                <w:color w:val="auto"/>
                <w:vertAlign w:val="superscript"/>
              </w:rPr>
              <w:t>3</w:t>
            </w:r>
          </w:p>
        </w:tc>
        <w:tc>
          <w:tcPr>
            <w:tcW w:w="2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0220" w:type="dxa"/>
            <w:vAlign w:val="bottom"/>
            <w:tcBorders>
              <w:right w:val="single" w:sz="8" w:color="auto"/>
            </w:tcBorders>
            <w:gridSpan w:val="5"/>
          </w:tcPr>
          <w:p>
            <w:pPr>
              <w:ind w:left="2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00"/>
        </w:trPr>
        <w:tc>
          <w:tcPr>
            <w:tcW w:w="700" w:type="dxa"/>
            <w:vAlign w:val="bottom"/>
            <w:tcBorders>
              <w:lef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700" w:type="dxa"/>
            <w:vAlign w:val="bottom"/>
            <w:tcBorders>
              <w:left w:val="single" w:sz="8" w:color="auto"/>
            </w:tcBorders>
            <w:shd w:val="clear" w:color="auto" w:fill="000000"/>
          </w:tcPr>
          <w:p>
            <w:pPr>
              <w:jc w:val="center"/>
              <w:ind w:left="264"/>
              <w:spacing w:after="0"/>
              <w:rPr>
                <w:sz w:val="20"/>
                <w:szCs w:val="20"/>
                <w:color w:val="auto"/>
              </w:rPr>
            </w:pPr>
            <w:r>
              <w:rPr>
                <w:rFonts w:ascii="Arial" w:cs="Arial" w:eastAsia="Arial" w:hAnsi="Arial"/>
                <w:sz w:val="1"/>
                <w:szCs w:val="1"/>
                <w:b w:val="1"/>
                <w:bCs w:val="1"/>
                <w:color w:val="auto"/>
              </w:rPr>
              <w:t>14</w:t>
            </w: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960" w:type="dxa"/>
            <w:vAlign w:val="bottom"/>
            <w:gridSpan w:val="2"/>
            <w:shd w:val="clear" w:color="auto" w:fill="000000"/>
          </w:tcPr>
          <w:p>
            <w:pPr>
              <w:ind w:left="100"/>
              <w:spacing w:after="0"/>
              <w:rPr>
                <w:sz w:val="20"/>
                <w:szCs w:val="20"/>
                <w:color w:val="auto"/>
              </w:rPr>
            </w:pPr>
            <w:r>
              <w:rPr>
                <w:rFonts w:ascii="Arial" w:cs="Arial" w:eastAsia="Arial" w:hAnsi="Arial"/>
                <w:sz w:val="1"/>
                <w:szCs w:val="1"/>
                <w:b w:val="1"/>
                <w:bCs w:val="1"/>
                <w:color w:val="auto"/>
              </w:rPr>
              <w:t>OO</w:t>
            </w: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780" w:type="dxa"/>
            <w:vAlign w:val="bottom"/>
            <w:gridSpan w:val="4"/>
          </w:tcPr>
          <w:p>
            <w:pPr>
              <w:ind w:left="260"/>
              <w:spacing w:after="0"/>
              <w:rPr>
                <w:sz w:val="20"/>
                <w:szCs w:val="20"/>
                <w:color w:val="auto"/>
              </w:rPr>
            </w:pPr>
            <w:r>
              <w:rPr>
                <w:rFonts w:ascii="Arial" w:cs="Arial" w:eastAsia="Arial" w:hAnsi="Arial"/>
                <w:sz w:val="18"/>
                <w:szCs w:val="18"/>
                <w:color w:val="auto"/>
                <w:w w:val="92"/>
              </w:rPr>
              <w:t>TYPE OF REPORTING PERSON</w:t>
            </w:r>
          </w:p>
        </w:tc>
        <w:tc>
          <w:tcPr>
            <w:tcW w:w="7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00" w:type="dxa"/>
            <w:vAlign w:val="bottom"/>
            <w:tcBorders>
              <w:left w:val="single" w:sz="8" w:color="auto"/>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800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hanging="143"/>
        <w:spacing w:after="0"/>
        <w:tabs>
          <w:tab w:leader="none" w:pos="54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The percentage ownership is calculated based on aggregate number of 95,114,166 Common Shares issued and outstanding as of June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i w:val="1"/>
          <w:iCs w:val="1"/>
          <w:color w:val="auto"/>
        </w:rPr>
        <w:t>Explanatory Note</w:t>
      </w:r>
    </w:p>
    <w:p>
      <w:pPr>
        <w:spacing w:after="0" w:line="221" w:lineRule="exact"/>
        <w:rPr>
          <w:sz w:val="20"/>
          <w:szCs w:val="20"/>
          <w:color w:val="auto"/>
        </w:rPr>
      </w:pPr>
    </w:p>
    <w:p>
      <w:pPr>
        <w:ind w:right="180" w:firstLine="648"/>
        <w:spacing w:after="0" w:line="314" w:lineRule="auto"/>
        <w:rPr>
          <w:sz w:val="20"/>
          <w:szCs w:val="20"/>
          <w:color w:val="auto"/>
        </w:rPr>
      </w:pPr>
      <w:r>
        <w:rPr>
          <w:rFonts w:ascii="Arial" w:cs="Arial" w:eastAsia="Arial" w:hAnsi="Arial"/>
          <w:sz w:val="16"/>
          <w:szCs w:val="16"/>
          <w:color w:val="auto"/>
        </w:rPr>
        <w:t>The purpose of this Amendment No. 1 (this “</w:t>
      </w:r>
      <w:r>
        <w:rPr>
          <w:rFonts w:ascii="Arial" w:cs="Arial" w:eastAsia="Arial" w:hAnsi="Arial"/>
          <w:sz w:val="16"/>
          <w:szCs w:val="16"/>
          <w:b w:val="1"/>
          <w:bCs w:val="1"/>
          <w:color w:val="auto"/>
        </w:rPr>
        <w:t>Amendment No. 1</w:t>
      </w:r>
      <w:r>
        <w:rPr>
          <w:rFonts w:ascii="Arial" w:cs="Arial" w:eastAsia="Arial" w:hAnsi="Arial"/>
          <w:sz w:val="16"/>
          <w:szCs w:val="16"/>
          <w:color w:val="auto"/>
        </w:rPr>
        <w:t>”) to the Schedule 13D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on February 3, 2014 (the “</w:t>
      </w:r>
      <w:r>
        <w:rPr>
          <w:rFonts w:ascii="Arial" w:cs="Arial" w:eastAsia="Arial" w:hAnsi="Arial"/>
          <w:sz w:val="16"/>
          <w:szCs w:val="16"/>
          <w:b w:val="1"/>
          <w:bCs w:val="1"/>
          <w:color w:val="auto"/>
        </w:rPr>
        <w:t>Original Schedule 13D</w:t>
      </w:r>
      <w:r>
        <w:rPr>
          <w:rFonts w:ascii="Arial" w:cs="Arial" w:eastAsia="Arial" w:hAnsi="Arial"/>
          <w:sz w:val="16"/>
          <w:szCs w:val="16"/>
          <w:color w:val="auto"/>
        </w:rPr>
        <w:t>”) is to reflect the entry by Olympic LNG Investments Ltd. (“</w:t>
      </w:r>
      <w:r>
        <w:rPr>
          <w:rFonts w:ascii="Arial" w:cs="Arial" w:eastAsia="Arial" w:hAnsi="Arial"/>
          <w:sz w:val="16"/>
          <w:szCs w:val="16"/>
          <w:b w:val="1"/>
          <w:bCs w:val="1"/>
          <w:color w:val="auto"/>
        </w:rPr>
        <w:t>Olympic</w:t>
      </w:r>
      <w:r>
        <w:rPr>
          <w:rFonts w:ascii="Arial" w:cs="Arial" w:eastAsia="Arial" w:hAnsi="Arial"/>
          <w:sz w:val="16"/>
          <w:szCs w:val="16"/>
          <w:color w:val="auto"/>
        </w:rPr>
        <w:t>”) into a share purchase agreement to acquire 4,000,000 shares of common stock, par value US$0.01 per share (“</w:t>
      </w:r>
      <w:r>
        <w:rPr>
          <w:rFonts w:ascii="Arial" w:cs="Arial" w:eastAsia="Arial" w:hAnsi="Arial"/>
          <w:sz w:val="16"/>
          <w:szCs w:val="16"/>
          <w:b w:val="1"/>
          <w:bCs w:val="1"/>
          <w:color w:val="auto"/>
        </w:rPr>
        <w:t>Shares</w:t>
      </w:r>
      <w:r>
        <w:rPr>
          <w:rFonts w:ascii="Arial" w:cs="Arial" w:eastAsia="Arial" w:hAnsi="Arial"/>
          <w:sz w:val="16"/>
          <w:szCs w:val="16"/>
          <w:color w:val="auto"/>
        </w:rPr>
        <w:t>”) of GasLog Ltd. (the “</w:t>
      </w:r>
      <w:r>
        <w:rPr>
          <w:rFonts w:ascii="Arial" w:cs="Arial" w:eastAsia="Arial" w:hAnsi="Arial"/>
          <w:sz w:val="16"/>
          <w:szCs w:val="16"/>
          <w:b w:val="1"/>
          <w:bCs w:val="1"/>
          <w:color w:val="auto"/>
        </w:rPr>
        <w:t>Issuer</w:t>
      </w:r>
      <w:r>
        <w:rPr>
          <w:rFonts w:ascii="Arial" w:cs="Arial" w:eastAsia="Arial" w:hAnsi="Arial"/>
          <w:sz w:val="16"/>
          <w:szCs w:val="16"/>
          <w:color w:val="auto"/>
        </w:rPr>
        <w:t>”) from the Issuer.</w:t>
      </w:r>
    </w:p>
    <w:p>
      <w:pPr>
        <w:spacing w:after="0" w:line="14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Except as set forth below, all Items in the Original Schedule 13D remain unchanged. Capitalized terms used in this Amendment No. 1 and not otherwise defined shall have the respective meanings assigned to such terms in the Original Schedule 13D.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Security and Issuer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executive offices of the Issuer are located at c/o 69 Akti Miaouli, 18537 Piraeus, Greece.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Identity and Background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60" w:type="dxa"/>
            <w:vAlign w:val="bottom"/>
            <w:tcBorders>
              <w:top w:val="single" w:sz="8" w:color="auto"/>
              <w:lef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center"/>
              <w:spacing w:after="0" w:line="189" w:lineRule="exact"/>
              <w:rPr>
                <w:sz w:val="20"/>
                <w:szCs w:val="20"/>
                <w:color w:val="auto"/>
              </w:rPr>
            </w:pPr>
            <w:r>
              <w:rPr>
                <w:rFonts w:ascii="Arial" w:cs="Arial" w:eastAsia="Arial" w:hAnsi="Arial"/>
                <w:sz w:val="18"/>
                <w:szCs w:val="18"/>
                <w:b w:val="1"/>
                <w:bCs w:val="1"/>
                <w:color w:val="auto"/>
                <w:w w:val="89"/>
              </w:rPr>
              <w:t>Reporting Person/</w:t>
            </w:r>
          </w:p>
        </w:tc>
        <w:tc>
          <w:tcPr>
            <w:tcW w:w="900" w:type="dxa"/>
            <w:vAlign w:val="bottom"/>
            <w:tcBorders>
              <w:top w:val="single" w:sz="8" w:color="auto"/>
              <w:right w:val="single" w:sz="8" w:color="auto"/>
            </w:tcBorders>
            <w:gridSpan w:val="3"/>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center"/>
              <w:spacing w:after="0" w:line="189" w:lineRule="exact"/>
              <w:rPr>
                <w:sz w:val="20"/>
                <w:szCs w:val="20"/>
                <w:color w:val="auto"/>
              </w:rPr>
            </w:pPr>
            <w:r>
              <w:rPr>
                <w:rFonts w:ascii="Arial" w:cs="Arial" w:eastAsia="Arial" w:hAnsi="Arial"/>
                <w:sz w:val="18"/>
                <w:szCs w:val="18"/>
                <w:b w:val="1"/>
                <w:bCs w:val="1"/>
                <w:color w:val="auto"/>
                <w:w w:val="76"/>
              </w:rPr>
              <w:t>Address of</w:t>
            </w:r>
          </w:p>
        </w:tc>
        <w:tc>
          <w:tcPr>
            <w:tcW w:w="1060" w:type="dxa"/>
            <w:vAlign w:val="bottom"/>
            <w:tcBorders>
              <w:top w:val="single" w:sz="8" w:color="auto"/>
              <w:right w:val="single" w:sz="8" w:color="auto"/>
            </w:tcBorders>
            <w:gridSpan w:val="2"/>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spacing w:after="0" w:line="189" w:lineRule="exact"/>
              <w:rPr>
                <w:sz w:val="20"/>
                <w:szCs w:val="20"/>
                <w:color w:val="auto"/>
              </w:rPr>
            </w:pPr>
            <w:r>
              <w:rPr>
                <w:rFonts w:ascii="Arial" w:cs="Arial" w:eastAsia="Arial" w:hAnsi="Arial"/>
                <w:sz w:val="18"/>
                <w:szCs w:val="18"/>
                <w:b w:val="1"/>
                <w:bCs w:val="1"/>
                <w:color w:val="auto"/>
                <w:w w:val="90"/>
              </w:rPr>
              <w:t>Jurisdiction of</w:t>
            </w:r>
          </w:p>
        </w:tc>
        <w:tc>
          <w:tcPr>
            <w:tcW w:w="220" w:type="dxa"/>
            <w:vAlign w:val="bottom"/>
            <w:tcBorders>
              <w:top w:val="single" w:sz="8" w:color="auto"/>
              <w:right w:val="single" w:sz="8" w:color="auto"/>
            </w:tcBorders>
          </w:tcPr>
          <w:p>
            <w:pPr>
              <w:spacing w:after="0"/>
              <w:rPr>
                <w:sz w:val="16"/>
                <w:szCs w:val="16"/>
                <w:color w:val="auto"/>
              </w:rPr>
            </w:pPr>
          </w:p>
        </w:tc>
        <w:tc>
          <w:tcPr>
            <w:tcW w:w="2140" w:type="dxa"/>
            <w:vAlign w:val="bottom"/>
            <w:tcBorders>
              <w:top w:val="single" w:sz="8" w:color="auto"/>
              <w:right w:val="single" w:sz="8" w:color="auto"/>
            </w:tcBorders>
            <w:gridSpan w:val="7"/>
          </w:tcPr>
          <w:p>
            <w:pPr>
              <w:jc w:val="center"/>
              <w:ind w:right="20"/>
              <w:spacing w:after="0" w:line="189" w:lineRule="exact"/>
              <w:rPr>
                <w:sz w:val="20"/>
                <w:szCs w:val="20"/>
                <w:color w:val="auto"/>
              </w:rPr>
            </w:pPr>
            <w:r>
              <w:rPr>
                <w:rFonts w:ascii="Arial" w:cs="Arial" w:eastAsia="Arial" w:hAnsi="Arial"/>
                <w:sz w:val="18"/>
                <w:szCs w:val="18"/>
                <w:b w:val="1"/>
                <w:bCs w:val="1"/>
                <w:color w:val="auto"/>
                <w:w w:val="89"/>
              </w:rPr>
              <w:t>Name/Address of</w:t>
            </w:r>
          </w:p>
        </w:tc>
        <w:tc>
          <w:tcPr>
            <w:tcW w:w="420" w:type="dxa"/>
            <w:vAlign w:val="bottom"/>
            <w:tcBorders>
              <w:top w:val="single" w:sz="8" w:color="auto"/>
            </w:tcBorders>
          </w:tcPr>
          <w:p>
            <w:pPr>
              <w:spacing w:after="0"/>
              <w:rPr>
                <w:sz w:val="16"/>
                <w:szCs w:val="16"/>
                <w:color w:val="auto"/>
              </w:rPr>
            </w:pPr>
          </w:p>
        </w:tc>
        <w:tc>
          <w:tcPr>
            <w:tcW w:w="110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Principal</w:t>
            </w:r>
          </w:p>
        </w:tc>
        <w:tc>
          <w:tcPr>
            <w:tcW w:w="40" w:type="dxa"/>
            <w:vAlign w:val="bottom"/>
          </w:tcPr>
          <w:p>
            <w:pPr>
              <w:spacing w:after="0"/>
              <w:rPr>
                <w:sz w:val="16"/>
                <w:szCs w:val="16"/>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60" w:type="dxa"/>
            <w:vAlign w:val="bottom"/>
            <w:tcBorders>
              <w:left w:val="single" w:sz="8" w:color="auto"/>
            </w:tcBorders>
          </w:tcPr>
          <w:p>
            <w:pPr>
              <w:spacing w:after="0"/>
              <w:rPr>
                <w:sz w:val="17"/>
                <w:szCs w:val="17"/>
                <w:color w:val="auto"/>
              </w:rPr>
            </w:pPr>
          </w:p>
        </w:tc>
        <w:tc>
          <w:tcPr>
            <w:tcW w:w="2560" w:type="dxa"/>
            <w:vAlign w:val="bottom"/>
            <w:tcBorders>
              <w:right w:val="single" w:sz="8" w:color="auto"/>
            </w:tcBorders>
            <w:gridSpan w:val="8"/>
          </w:tcPr>
          <w:p>
            <w:pPr>
              <w:jc w:val="center"/>
              <w:ind w:right="660"/>
              <w:spacing w:after="0" w:line="196" w:lineRule="exact"/>
              <w:rPr>
                <w:sz w:val="20"/>
                <w:szCs w:val="20"/>
                <w:color w:val="auto"/>
              </w:rPr>
            </w:pPr>
            <w:r>
              <w:rPr>
                <w:rFonts w:ascii="Arial" w:cs="Arial" w:eastAsia="Arial" w:hAnsi="Arial"/>
                <w:sz w:val="18"/>
                <w:szCs w:val="18"/>
                <w:b w:val="1"/>
                <w:bCs w:val="1"/>
                <w:color w:val="auto"/>
                <w:w w:val="94"/>
              </w:rPr>
              <w:t>Director/Officer/Control</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Borders>
              <w:right w:val="single" w:sz="8" w:color="auto"/>
            </w:tcBorders>
            <w:gridSpan w:val="4"/>
          </w:tcPr>
          <w:p>
            <w:pPr>
              <w:jc w:val="center"/>
              <w:ind w:right="1060"/>
              <w:spacing w:after="0" w:line="196" w:lineRule="exact"/>
              <w:rPr>
                <w:sz w:val="20"/>
                <w:szCs w:val="20"/>
                <w:color w:val="auto"/>
              </w:rPr>
            </w:pPr>
            <w:r>
              <w:rPr>
                <w:rFonts w:ascii="Arial" w:cs="Arial" w:eastAsia="Arial" w:hAnsi="Arial"/>
                <w:sz w:val="18"/>
                <w:szCs w:val="18"/>
                <w:b w:val="1"/>
                <w:bCs w:val="1"/>
                <w:color w:val="auto"/>
                <w:w w:val="86"/>
              </w:rPr>
              <w:t>Principal</w:t>
            </w:r>
          </w:p>
        </w:tc>
        <w:tc>
          <w:tcPr>
            <w:tcW w:w="1540" w:type="dxa"/>
            <w:vAlign w:val="bottom"/>
            <w:tcBorders>
              <w:right w:val="single" w:sz="8" w:color="auto"/>
            </w:tcBorders>
            <w:gridSpan w:val="5"/>
          </w:tcPr>
          <w:p>
            <w:pPr>
              <w:jc w:val="center"/>
              <w:ind w:right="20"/>
              <w:spacing w:after="0" w:line="196" w:lineRule="exact"/>
              <w:rPr>
                <w:sz w:val="20"/>
                <w:szCs w:val="20"/>
                <w:color w:val="auto"/>
              </w:rPr>
            </w:pPr>
            <w:r>
              <w:rPr>
                <w:rFonts w:ascii="Arial" w:cs="Arial" w:eastAsia="Arial" w:hAnsi="Arial"/>
                <w:sz w:val="18"/>
                <w:szCs w:val="18"/>
                <w:b w:val="1"/>
                <w:bCs w:val="1"/>
                <w:color w:val="auto"/>
                <w:w w:val="92"/>
              </w:rPr>
              <w:t>Incorporation/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right w:val="single" w:sz="8" w:color="auto"/>
            </w:tcBorders>
            <w:gridSpan w:val="5"/>
          </w:tcPr>
          <w:p>
            <w:pPr>
              <w:jc w:val="center"/>
              <w:ind w:right="540"/>
              <w:spacing w:after="0" w:line="196" w:lineRule="exact"/>
              <w:rPr>
                <w:sz w:val="20"/>
                <w:szCs w:val="20"/>
                <w:color w:val="auto"/>
              </w:rPr>
            </w:pPr>
            <w:r>
              <w:rPr>
                <w:rFonts w:ascii="Arial" w:cs="Arial" w:eastAsia="Arial" w:hAnsi="Arial"/>
                <w:sz w:val="18"/>
                <w:szCs w:val="18"/>
                <w:b w:val="1"/>
                <w:bCs w:val="1"/>
                <w:color w:val="auto"/>
                <w:w w:val="92"/>
              </w:rPr>
              <w:t>Employer and</w:t>
            </w:r>
          </w:p>
        </w:tc>
        <w:tc>
          <w:tcPr>
            <w:tcW w:w="420" w:type="dxa"/>
            <w:vAlign w:val="bottom"/>
          </w:tcPr>
          <w:p>
            <w:pPr>
              <w:spacing w:after="0"/>
              <w:rPr>
                <w:sz w:val="17"/>
                <w:szCs w:val="17"/>
                <w:color w:val="auto"/>
              </w:rPr>
            </w:pPr>
          </w:p>
        </w:tc>
        <w:tc>
          <w:tcPr>
            <w:tcW w:w="110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Business</w:t>
            </w:r>
          </w:p>
        </w:tc>
        <w:tc>
          <w:tcPr>
            <w:tcW w:w="40" w:type="dxa"/>
            <w:vAlign w:val="bottom"/>
          </w:tcPr>
          <w:p>
            <w:pPr>
              <w:spacing w:after="0"/>
              <w:rPr>
                <w:sz w:val="17"/>
                <w:szCs w:val="17"/>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8"/>
              </w:rPr>
              <w:t>Person</w:t>
            </w:r>
          </w:p>
        </w:tc>
        <w:tc>
          <w:tcPr>
            <w:tcW w:w="680" w:type="dxa"/>
            <w:vAlign w:val="bottom"/>
            <w:gridSpan w:val="3"/>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120" w:type="dxa"/>
            <w:vAlign w:val="bottom"/>
            <w:tcBorders>
              <w:right w:val="single" w:sz="8" w:color="auto"/>
            </w:tcBorders>
            <w:gridSpan w:val="5"/>
          </w:tcPr>
          <w:p>
            <w:pPr>
              <w:jc w:val="center"/>
              <w:ind w:right="720"/>
              <w:spacing w:after="0" w:line="196" w:lineRule="exact"/>
              <w:rPr>
                <w:sz w:val="20"/>
                <w:szCs w:val="20"/>
                <w:color w:val="auto"/>
              </w:rPr>
            </w:pPr>
            <w:r>
              <w:rPr>
                <w:rFonts w:ascii="Arial" w:cs="Arial" w:eastAsia="Arial" w:hAnsi="Arial"/>
                <w:sz w:val="18"/>
                <w:szCs w:val="18"/>
                <w:b w:val="1"/>
                <w:bCs w:val="1"/>
                <w:color w:val="auto"/>
                <w:w w:val="87"/>
              </w:rPr>
              <w:t>Office/Business or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right w:val="single" w:sz="8" w:color="auto"/>
            </w:tcBorders>
            <w:gridSpan w:val="3"/>
          </w:tcPr>
          <w:p>
            <w:pPr>
              <w:jc w:val="center"/>
              <w:ind w:right="340"/>
              <w:spacing w:after="0" w:line="196" w:lineRule="exact"/>
              <w:rPr>
                <w:sz w:val="20"/>
                <w:szCs w:val="20"/>
                <w:color w:val="auto"/>
              </w:rPr>
            </w:pPr>
            <w:r>
              <w:rPr>
                <w:rFonts w:ascii="Arial" w:cs="Arial" w:eastAsia="Arial" w:hAnsi="Arial"/>
                <w:sz w:val="18"/>
                <w:szCs w:val="18"/>
                <w:b w:val="1"/>
                <w:bCs w:val="1"/>
                <w:color w:val="auto"/>
                <w:w w:val="91"/>
              </w:rPr>
              <w:t>Citizenship</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right w:val="single" w:sz="8" w:color="auto"/>
            </w:tcBorders>
            <w:gridSpan w:val="5"/>
          </w:tcPr>
          <w:p>
            <w:pPr>
              <w:jc w:val="center"/>
              <w:ind w:right="540"/>
              <w:spacing w:after="0" w:line="196" w:lineRule="exact"/>
              <w:rPr>
                <w:sz w:val="20"/>
                <w:szCs w:val="20"/>
                <w:color w:val="auto"/>
              </w:rPr>
            </w:pPr>
            <w:r>
              <w:rPr>
                <w:rFonts w:ascii="Arial" w:cs="Arial" w:eastAsia="Arial" w:hAnsi="Arial"/>
                <w:sz w:val="18"/>
                <w:szCs w:val="18"/>
                <w:b w:val="1"/>
                <w:bCs w:val="1"/>
                <w:color w:val="auto"/>
                <w:w w:val="90"/>
              </w:rPr>
              <w:t>Occupation</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Borders>
              <w:right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60" w:type="dxa"/>
            <w:vAlign w:val="bottom"/>
            <w:tcBorders>
              <w:left w:val="single" w:sz="8" w:color="auto"/>
            </w:tcBorders>
          </w:tcPr>
          <w:p>
            <w:pPr>
              <w:spacing w:after="0"/>
              <w:rPr>
                <w:sz w:val="17"/>
                <w:szCs w:val="17"/>
                <w:color w:val="auto"/>
              </w:rPr>
            </w:pPr>
          </w:p>
        </w:tc>
        <w:tc>
          <w:tcPr>
            <w:tcW w:w="2560" w:type="dxa"/>
            <w:vAlign w:val="bottom"/>
            <w:tcBorders>
              <w:right w:val="single" w:sz="8" w:color="auto"/>
            </w:tcBorders>
            <w:gridSpan w:val="8"/>
          </w:tcPr>
          <w:p>
            <w:pPr>
              <w:jc w:val="center"/>
              <w:ind w:right="640"/>
              <w:spacing w:after="0" w:line="196" w:lineRule="exact"/>
              <w:rPr>
                <w:sz w:val="20"/>
                <w:szCs w:val="20"/>
                <w:color w:val="auto"/>
              </w:rPr>
            </w:pPr>
            <w:r>
              <w:rPr>
                <w:rFonts w:ascii="Arial" w:cs="Arial" w:eastAsia="Arial" w:hAnsi="Arial"/>
                <w:sz w:val="18"/>
                <w:szCs w:val="18"/>
                <w:b w:val="1"/>
                <w:bCs w:val="1"/>
                <w:color w:val="auto"/>
                <w:w w:val="89"/>
              </w:rPr>
              <w:t>of a Reporting Person</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Borders>
              <w:right w:val="single" w:sz="8" w:color="auto"/>
            </w:tcBorders>
            <w:gridSpan w:val="4"/>
          </w:tcPr>
          <w:p>
            <w:pPr>
              <w:jc w:val="center"/>
              <w:ind w:right="1080"/>
              <w:spacing w:after="0" w:line="196" w:lineRule="exact"/>
              <w:rPr>
                <w:sz w:val="20"/>
                <w:szCs w:val="20"/>
                <w:color w:val="auto"/>
              </w:rPr>
            </w:pPr>
            <w:r>
              <w:rPr>
                <w:rFonts w:ascii="Arial" w:cs="Arial" w:eastAsia="Arial" w:hAnsi="Arial"/>
                <w:sz w:val="18"/>
                <w:szCs w:val="18"/>
                <w:b w:val="1"/>
                <w:bCs w:val="1"/>
                <w:color w:val="auto"/>
                <w:w w:val="79"/>
              </w:rPr>
              <w:t>Residenc</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Borders>
              <w:top w:val="single" w:sz="8" w:color="auto"/>
            </w:tcBorders>
            <w:gridSpan w:val="2"/>
          </w:tcPr>
          <w:p>
            <w:pPr>
              <w:jc w:val="center"/>
              <w:ind w:right="40"/>
              <w:spacing w:after="0" w:line="196" w:lineRule="exact"/>
              <w:rPr>
                <w:sz w:val="20"/>
                <w:szCs w:val="20"/>
                <w:color w:val="auto"/>
              </w:rPr>
            </w:pPr>
            <w:r>
              <w:rPr>
                <w:rFonts w:ascii="Arial" w:cs="Arial" w:eastAsia="Arial" w:hAnsi="Arial"/>
                <w:sz w:val="18"/>
                <w:szCs w:val="18"/>
                <w:b w:val="1"/>
                <w:bCs w:val="1"/>
                <w:color w:val="auto"/>
                <w:w w:val="86"/>
              </w:rPr>
              <w:t>Address</w:t>
            </w:r>
          </w:p>
        </w:tc>
        <w:tc>
          <w:tcPr>
            <w:tcW w:w="1060" w:type="dxa"/>
            <w:vAlign w:val="bottom"/>
            <w:tcBorders>
              <w:right w:val="single" w:sz="8" w:color="auto"/>
            </w:tcBorders>
            <w:gridSpan w:val="2"/>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6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3220" w:type="dxa"/>
            <w:vAlign w:val="bottom"/>
            <w:tcBorders>
              <w:left w:val="single" w:sz="8" w:color="auto"/>
              <w:right w:val="single" w:sz="8" w:color="auto"/>
            </w:tcBorders>
            <w:gridSpan w:val="9"/>
          </w:tcPr>
          <w:p>
            <w:pPr>
              <w:ind w:left="120"/>
              <w:spacing w:after="0" w:line="195" w:lineRule="exact"/>
              <w:rPr>
                <w:sz w:val="20"/>
                <w:szCs w:val="20"/>
                <w:color w:val="auto"/>
              </w:rPr>
            </w:pPr>
            <w:r>
              <w:rPr>
                <w:rFonts w:ascii="Arial" w:cs="Arial" w:eastAsia="Arial" w:hAnsi="Arial"/>
                <w:sz w:val="18"/>
                <w:szCs w:val="18"/>
                <w:color w:val="auto"/>
              </w:rPr>
              <w:t>Olympic LNG Investments Ltd.</w:t>
            </w:r>
          </w:p>
        </w:tc>
        <w:tc>
          <w:tcPr>
            <w:tcW w:w="2820" w:type="dxa"/>
            <w:vAlign w:val="bottom"/>
            <w:tcBorders>
              <w:right w:val="single" w:sz="8" w:color="auto"/>
            </w:tcBorders>
            <w:gridSpan w:val="6"/>
          </w:tcPr>
          <w:p>
            <w:pPr>
              <w:ind w:left="100"/>
              <w:spacing w:after="0" w:line="195" w:lineRule="exact"/>
              <w:rPr>
                <w:sz w:val="20"/>
                <w:szCs w:val="20"/>
                <w:color w:val="auto"/>
              </w:rPr>
            </w:pPr>
            <w:r>
              <w:rPr>
                <w:rFonts w:ascii="Arial" w:cs="Arial" w:eastAsia="Arial" w:hAnsi="Arial"/>
                <w:sz w:val="18"/>
                <w:szCs w:val="18"/>
                <w:color w:val="auto"/>
              </w:rPr>
              <w:t>c/o Conyers Corporate Services</w:t>
            </w:r>
          </w:p>
        </w:tc>
        <w:tc>
          <w:tcPr>
            <w:tcW w:w="154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Bermuda</w:t>
            </w:r>
          </w:p>
        </w:tc>
        <w:tc>
          <w:tcPr>
            <w:tcW w:w="2140" w:type="dxa"/>
            <w:vAlign w:val="bottom"/>
            <w:tcBorders>
              <w:right w:val="single" w:sz="8" w:color="auto"/>
            </w:tcBorders>
            <w:gridSpan w:val="7"/>
          </w:tcPr>
          <w:p>
            <w:pPr>
              <w:ind w:left="80"/>
              <w:spacing w:after="0" w:line="195" w:lineRule="exact"/>
              <w:rPr>
                <w:sz w:val="20"/>
                <w:szCs w:val="20"/>
                <w:color w:val="auto"/>
              </w:rPr>
            </w:pPr>
            <w:r>
              <w:rPr>
                <w:rFonts w:ascii="Arial" w:cs="Arial" w:eastAsia="Arial" w:hAnsi="Arial"/>
                <w:sz w:val="18"/>
                <w:szCs w:val="18"/>
                <w:color w:val="auto"/>
              </w:rPr>
              <w:t>N/A</w:t>
            </w:r>
          </w:p>
        </w:tc>
        <w:tc>
          <w:tcPr>
            <w:tcW w:w="152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Investment</w:t>
            </w:r>
          </w:p>
        </w:tc>
        <w:tc>
          <w:tcPr>
            <w:tcW w:w="40" w:type="dxa"/>
            <w:vAlign w:val="bottom"/>
          </w:tcPr>
          <w:p>
            <w:pPr>
              <w:spacing w:after="0"/>
              <w:rPr>
                <w:sz w:val="16"/>
                <w:szCs w:val="16"/>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(Bermuda) Limited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company</w:t>
            </w:r>
          </w:p>
        </w:tc>
        <w:tc>
          <w:tcPr>
            <w:tcW w:w="40" w:type="dxa"/>
            <w:vAlign w:val="bottom"/>
          </w:tcPr>
          <w:p>
            <w:pPr>
              <w:spacing w:after="0"/>
              <w:rPr>
                <w:sz w:val="18"/>
                <w:szCs w:val="18"/>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Clarendon House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2 Church Street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Hamilton, HM 11, Bermuda</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3220" w:type="dxa"/>
            <w:vAlign w:val="bottom"/>
            <w:tcBorders>
              <w:left w:val="single" w:sz="8" w:color="auto"/>
              <w:bottom w:val="single" w:sz="8" w:color="auto"/>
              <w:right w:val="single" w:sz="8" w:color="auto"/>
            </w:tcBorders>
            <w:gridSpan w:val="9"/>
          </w:tcPr>
          <w:p>
            <w:pPr>
              <w:ind w:left="120"/>
              <w:spacing w:after="0"/>
              <w:rPr>
                <w:sz w:val="20"/>
                <w:szCs w:val="20"/>
                <w:color w:val="auto"/>
              </w:rPr>
            </w:pPr>
            <w:r>
              <w:rPr>
                <w:rFonts w:ascii="Arial" w:cs="Arial" w:eastAsia="Arial" w:hAnsi="Arial"/>
                <w:sz w:val="18"/>
                <w:szCs w:val="18"/>
                <w:b w:val="1"/>
                <w:bCs w:val="1"/>
                <w:i w:val="1"/>
                <w:iCs w:val="1"/>
                <w:color w:val="auto"/>
              </w:rPr>
              <w:t>Directors</w:t>
            </w: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55"/>
        </w:trPr>
        <w:tc>
          <w:tcPr>
            <w:tcW w:w="3220" w:type="dxa"/>
            <w:vAlign w:val="bottom"/>
            <w:tcBorders>
              <w:left w:val="single" w:sz="8" w:color="auto"/>
              <w:right w:val="single" w:sz="8" w:color="auto"/>
            </w:tcBorders>
            <w:gridSpan w:val="9"/>
          </w:tcPr>
          <w:p>
            <w:pPr>
              <w:ind w:left="120"/>
              <w:spacing w:after="0" w:line="156" w:lineRule="exact"/>
              <w:rPr>
                <w:sz w:val="20"/>
                <w:szCs w:val="20"/>
                <w:color w:val="auto"/>
              </w:rPr>
            </w:pPr>
            <w:r>
              <w:rPr>
                <w:rFonts w:ascii="Arial" w:cs="Arial" w:eastAsia="Arial" w:hAnsi="Arial"/>
                <w:sz w:val="18"/>
                <w:szCs w:val="18"/>
                <w:color w:val="auto"/>
              </w:rPr>
              <w:t>Prof. Constantinos Grammenos</w:t>
            </w:r>
          </w:p>
        </w:tc>
        <w:tc>
          <w:tcPr>
            <w:tcW w:w="2820" w:type="dxa"/>
            <w:vAlign w:val="bottom"/>
            <w:tcBorders>
              <w:right w:val="single" w:sz="8" w:color="auto"/>
            </w:tcBorders>
            <w:gridSpan w:val="6"/>
          </w:tcPr>
          <w:p>
            <w:pPr>
              <w:ind w:left="100"/>
              <w:spacing w:after="0" w:line="156" w:lineRule="exact"/>
              <w:rPr>
                <w:sz w:val="20"/>
                <w:szCs w:val="20"/>
                <w:color w:val="auto"/>
              </w:rPr>
            </w:pPr>
            <w:r>
              <w:rPr>
                <w:rFonts w:ascii="Arial" w:cs="Arial" w:eastAsia="Arial" w:hAnsi="Arial"/>
                <w:sz w:val="15"/>
                <w:szCs w:val="15"/>
                <w:color w:val="auto"/>
              </w:rPr>
              <w:t>c/o Center for Shipping, Trade and</w:t>
            </w:r>
          </w:p>
        </w:tc>
        <w:tc>
          <w:tcPr>
            <w:tcW w:w="1540" w:type="dxa"/>
            <w:vAlign w:val="bottom"/>
            <w:tcBorders>
              <w:right w:val="single" w:sz="8" w:color="auto"/>
            </w:tcBorders>
            <w:gridSpan w:val="5"/>
          </w:tcPr>
          <w:p>
            <w:pPr>
              <w:ind w:left="100"/>
              <w:spacing w:after="0" w:line="156" w:lineRule="exact"/>
              <w:rPr>
                <w:sz w:val="20"/>
                <w:szCs w:val="20"/>
                <w:color w:val="auto"/>
              </w:rPr>
            </w:pPr>
            <w:r>
              <w:rPr>
                <w:rFonts w:ascii="Arial" w:cs="Arial" w:eastAsia="Arial" w:hAnsi="Arial"/>
                <w:sz w:val="15"/>
                <w:szCs w:val="15"/>
                <w:color w:val="auto"/>
              </w:rPr>
              <w:t>Greece</w:t>
            </w:r>
          </w:p>
        </w:tc>
        <w:tc>
          <w:tcPr>
            <w:tcW w:w="2140" w:type="dxa"/>
            <w:vAlign w:val="bottom"/>
            <w:tcBorders>
              <w:right w:val="single" w:sz="8" w:color="auto"/>
            </w:tcBorders>
            <w:gridSpan w:val="7"/>
          </w:tcPr>
          <w:p>
            <w:pPr>
              <w:ind w:left="80"/>
              <w:spacing w:after="0" w:line="156" w:lineRule="exact"/>
              <w:rPr>
                <w:sz w:val="20"/>
                <w:szCs w:val="20"/>
                <w:color w:val="auto"/>
              </w:rPr>
            </w:pPr>
            <w:r>
              <w:rPr>
                <w:rFonts w:ascii="Arial" w:cs="Arial" w:eastAsia="Arial" w:hAnsi="Arial"/>
                <w:sz w:val="15"/>
                <w:szCs w:val="15"/>
                <w:color w:val="auto"/>
                <w:w w:val="98"/>
              </w:rPr>
              <w:t>Center for Shipping, Trade and</w:t>
            </w:r>
          </w:p>
        </w:tc>
        <w:tc>
          <w:tcPr>
            <w:tcW w:w="1520" w:type="dxa"/>
            <w:vAlign w:val="bottom"/>
            <w:tcBorders>
              <w:right w:val="single" w:sz="8" w:color="auto"/>
            </w:tcBorders>
            <w:gridSpan w:val="3"/>
          </w:tcPr>
          <w:p>
            <w:pPr>
              <w:ind w:left="100"/>
              <w:spacing w:after="0" w:line="156" w:lineRule="exact"/>
              <w:rPr>
                <w:sz w:val="20"/>
                <w:szCs w:val="20"/>
                <w:color w:val="auto"/>
              </w:rPr>
            </w:pPr>
            <w:r>
              <w:rPr>
                <w:rFonts w:ascii="Arial" w:cs="Arial" w:eastAsia="Arial" w:hAnsi="Arial"/>
                <w:sz w:val="15"/>
                <w:szCs w:val="15"/>
                <w:color w:val="auto"/>
              </w:rPr>
              <w:t>University</w:t>
            </w:r>
          </w:p>
        </w:tc>
        <w:tc>
          <w:tcPr>
            <w:tcW w:w="40" w:type="dxa"/>
            <w:vAlign w:val="bottom"/>
          </w:tcPr>
          <w:p>
            <w:pPr>
              <w:spacing w:after="0"/>
              <w:rPr>
                <w:sz w:val="13"/>
                <w:szCs w:val="13"/>
                <w:color w:val="auto"/>
              </w:rPr>
            </w:pPr>
          </w:p>
        </w:tc>
      </w:tr>
      <w:tr>
        <w:trPr>
          <w:trHeight w:val="149"/>
        </w:trPr>
        <w:tc>
          <w:tcPr>
            <w:tcW w:w="6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gridSpan w:val="6"/>
          </w:tcPr>
          <w:p>
            <w:pPr>
              <w:ind w:left="100"/>
              <w:spacing w:after="0" w:line="149" w:lineRule="exact"/>
              <w:rPr>
                <w:sz w:val="20"/>
                <w:szCs w:val="20"/>
                <w:color w:val="auto"/>
              </w:rPr>
            </w:pPr>
            <w:r>
              <w:rPr>
                <w:rFonts w:ascii="Arial" w:cs="Arial" w:eastAsia="Arial" w:hAnsi="Arial"/>
                <w:sz w:val="15"/>
                <w:szCs w:val="15"/>
                <w:color w:val="auto"/>
              </w:rPr>
              <w:t>Finance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gridSpan w:val="7"/>
          </w:tcPr>
          <w:p>
            <w:pPr>
              <w:ind w:left="80"/>
              <w:spacing w:after="0" w:line="149" w:lineRule="exact"/>
              <w:rPr>
                <w:sz w:val="20"/>
                <w:szCs w:val="20"/>
                <w:color w:val="auto"/>
              </w:rPr>
            </w:pPr>
            <w:r>
              <w:rPr>
                <w:rFonts w:ascii="Arial" w:cs="Arial" w:eastAsia="Arial" w:hAnsi="Arial"/>
                <w:sz w:val="15"/>
                <w:szCs w:val="15"/>
                <w:color w:val="auto"/>
              </w:rPr>
              <w:t>Finance</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6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gridSpan w:val="6"/>
          </w:tcPr>
          <w:p>
            <w:pPr>
              <w:ind w:left="100"/>
              <w:spacing w:after="0" w:line="162" w:lineRule="exact"/>
              <w:rPr>
                <w:sz w:val="20"/>
                <w:szCs w:val="20"/>
                <w:color w:val="auto"/>
              </w:rPr>
            </w:pPr>
            <w:r>
              <w:rPr>
                <w:rFonts w:ascii="Arial" w:cs="Arial" w:eastAsia="Arial" w:hAnsi="Arial"/>
                <w:sz w:val="15"/>
                <w:szCs w:val="15"/>
                <w:color w:val="auto"/>
              </w:rPr>
              <w:t>CASS BUSINESS SCHOOL CITY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gridSpan w:val="7"/>
          </w:tcPr>
          <w:p>
            <w:pPr>
              <w:ind w:left="80"/>
              <w:spacing w:after="0" w:line="162" w:lineRule="exact"/>
              <w:rPr>
                <w:sz w:val="20"/>
                <w:szCs w:val="20"/>
                <w:color w:val="auto"/>
              </w:rPr>
            </w:pPr>
            <w:r>
              <w:rPr>
                <w:rFonts w:ascii="Arial" w:cs="Arial" w:eastAsia="Arial" w:hAnsi="Arial"/>
                <w:sz w:val="15"/>
                <w:szCs w:val="15"/>
                <w:color w:val="auto"/>
              </w:rPr>
              <w:t>CASS BUSINESS SCHOOL</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gridSpan w:val="6"/>
          </w:tcPr>
          <w:p>
            <w:pPr>
              <w:ind w:left="100"/>
              <w:spacing w:after="0" w:line="162" w:lineRule="exact"/>
              <w:rPr>
                <w:sz w:val="20"/>
                <w:szCs w:val="20"/>
                <w:color w:val="auto"/>
              </w:rPr>
            </w:pPr>
            <w:r>
              <w:rPr>
                <w:rFonts w:ascii="Arial" w:cs="Arial" w:eastAsia="Arial" w:hAnsi="Arial"/>
                <w:sz w:val="15"/>
                <w:szCs w:val="15"/>
                <w:color w:val="auto"/>
              </w:rPr>
              <w:t>UNIVERSITY LONDON 106 Bunhill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gridSpan w:val="7"/>
          </w:tcPr>
          <w:p>
            <w:pPr>
              <w:ind w:left="80"/>
              <w:spacing w:after="0" w:line="162" w:lineRule="exact"/>
              <w:rPr>
                <w:sz w:val="20"/>
                <w:szCs w:val="20"/>
                <w:color w:val="auto"/>
              </w:rPr>
            </w:pPr>
            <w:r>
              <w:rPr>
                <w:rFonts w:ascii="Arial" w:cs="Arial" w:eastAsia="Arial" w:hAnsi="Arial"/>
                <w:sz w:val="15"/>
                <w:szCs w:val="15"/>
                <w:color w:val="auto"/>
              </w:rPr>
              <w:t>CITY UNIVERSITY</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gridSpan w:val="6"/>
          </w:tcPr>
          <w:p>
            <w:pPr>
              <w:ind w:left="100"/>
              <w:spacing w:after="0" w:line="162" w:lineRule="exact"/>
              <w:rPr>
                <w:sz w:val="20"/>
                <w:szCs w:val="20"/>
                <w:color w:val="auto"/>
              </w:rPr>
            </w:pPr>
            <w:r>
              <w:rPr>
                <w:rFonts w:ascii="Arial" w:cs="Arial" w:eastAsia="Arial" w:hAnsi="Arial"/>
                <w:sz w:val="15"/>
                <w:szCs w:val="15"/>
                <w:color w:val="auto"/>
              </w:rPr>
              <w:t>Row</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gridSpan w:val="7"/>
          </w:tcPr>
          <w:p>
            <w:pPr>
              <w:ind w:left="80"/>
              <w:spacing w:after="0" w:line="162" w:lineRule="exact"/>
              <w:rPr>
                <w:sz w:val="20"/>
                <w:szCs w:val="20"/>
                <w:color w:val="auto"/>
              </w:rPr>
            </w:pPr>
            <w:r>
              <w:rPr>
                <w:rFonts w:ascii="Arial" w:cs="Arial" w:eastAsia="Arial" w:hAnsi="Arial"/>
                <w:sz w:val="15"/>
                <w:szCs w:val="15"/>
                <w:color w:val="auto"/>
              </w:rPr>
              <w:t>LONDON</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gridSpan w:val="6"/>
          </w:tcPr>
          <w:p>
            <w:pPr>
              <w:ind w:left="100"/>
              <w:spacing w:after="0" w:line="162" w:lineRule="exact"/>
              <w:rPr>
                <w:sz w:val="20"/>
                <w:szCs w:val="20"/>
                <w:color w:val="auto"/>
              </w:rPr>
            </w:pPr>
            <w:r>
              <w:rPr>
                <w:rFonts w:ascii="Arial" w:cs="Arial" w:eastAsia="Arial" w:hAnsi="Arial"/>
                <w:sz w:val="15"/>
                <w:szCs w:val="15"/>
                <w:color w:val="auto"/>
              </w:rPr>
              <w:t>London EC1Y 8TZ, U.K.</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gridSpan w:val="7"/>
          </w:tcPr>
          <w:p>
            <w:pPr>
              <w:ind w:left="80"/>
              <w:spacing w:after="0" w:line="162" w:lineRule="exact"/>
              <w:rPr>
                <w:sz w:val="20"/>
                <w:szCs w:val="20"/>
                <w:color w:val="auto"/>
              </w:rPr>
            </w:pPr>
            <w:r>
              <w:rPr>
                <w:rFonts w:ascii="Arial" w:cs="Arial" w:eastAsia="Arial" w:hAnsi="Arial"/>
                <w:sz w:val="15"/>
                <w:szCs w:val="15"/>
                <w:color w:val="auto"/>
              </w:rPr>
              <w:t>106 Bunhill Row</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4"/>
        </w:trPr>
        <w:tc>
          <w:tcPr>
            <w:tcW w:w="66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gridSpan w:val="7"/>
          </w:tcPr>
          <w:p>
            <w:pPr>
              <w:ind w:left="80"/>
              <w:spacing w:after="0"/>
              <w:rPr>
                <w:sz w:val="20"/>
                <w:szCs w:val="20"/>
                <w:color w:val="auto"/>
              </w:rPr>
            </w:pPr>
            <w:r>
              <w:rPr>
                <w:rFonts w:ascii="Arial" w:cs="Arial" w:eastAsia="Arial" w:hAnsi="Arial"/>
                <w:sz w:val="15"/>
                <w:szCs w:val="15"/>
                <w:color w:val="auto"/>
              </w:rPr>
              <w:t>London EC1Y 8TZ, U.K.</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305"/>
        </w:trPr>
        <w:tc>
          <w:tcPr>
            <w:tcW w:w="66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5"/>
                <w:szCs w:val="15"/>
                <w:color w:val="auto"/>
              </w:rPr>
              <w:t>Professor</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55"/>
        </w:trPr>
        <w:tc>
          <w:tcPr>
            <w:tcW w:w="3220" w:type="dxa"/>
            <w:vAlign w:val="bottom"/>
            <w:tcBorders>
              <w:left w:val="single" w:sz="8" w:color="auto"/>
              <w:right w:val="single" w:sz="8" w:color="auto"/>
            </w:tcBorders>
            <w:gridSpan w:val="9"/>
          </w:tcPr>
          <w:p>
            <w:pPr>
              <w:ind w:left="120"/>
              <w:spacing w:after="0" w:line="156" w:lineRule="exact"/>
              <w:rPr>
                <w:sz w:val="20"/>
                <w:szCs w:val="20"/>
                <w:color w:val="auto"/>
              </w:rPr>
            </w:pPr>
            <w:r>
              <w:rPr>
                <w:rFonts w:ascii="Arial" w:cs="Arial" w:eastAsia="Arial" w:hAnsi="Arial"/>
                <w:sz w:val="18"/>
                <w:szCs w:val="18"/>
                <w:color w:val="auto"/>
              </w:rPr>
              <w:t>Stefanos Tamvakis</w:t>
            </w:r>
          </w:p>
        </w:tc>
        <w:tc>
          <w:tcPr>
            <w:tcW w:w="2820" w:type="dxa"/>
            <w:vAlign w:val="bottom"/>
            <w:tcBorders>
              <w:right w:val="single" w:sz="8" w:color="auto"/>
            </w:tcBorders>
            <w:gridSpan w:val="6"/>
          </w:tcPr>
          <w:p>
            <w:pPr>
              <w:ind w:left="100"/>
              <w:spacing w:after="0" w:line="156" w:lineRule="exact"/>
              <w:rPr>
                <w:sz w:val="20"/>
                <w:szCs w:val="20"/>
                <w:color w:val="auto"/>
              </w:rPr>
            </w:pPr>
            <w:r>
              <w:rPr>
                <w:rFonts w:ascii="Arial" w:cs="Arial" w:eastAsia="Arial" w:hAnsi="Arial"/>
                <w:sz w:val="15"/>
                <w:szCs w:val="15"/>
                <w:color w:val="auto"/>
              </w:rPr>
              <w:t>27, Artemisiou Str,</w:t>
            </w:r>
          </w:p>
        </w:tc>
        <w:tc>
          <w:tcPr>
            <w:tcW w:w="1540" w:type="dxa"/>
            <w:vAlign w:val="bottom"/>
            <w:tcBorders>
              <w:right w:val="single" w:sz="8" w:color="auto"/>
            </w:tcBorders>
            <w:gridSpan w:val="5"/>
          </w:tcPr>
          <w:p>
            <w:pPr>
              <w:ind w:left="100"/>
              <w:spacing w:after="0" w:line="156" w:lineRule="exact"/>
              <w:rPr>
                <w:sz w:val="20"/>
                <w:szCs w:val="20"/>
                <w:color w:val="auto"/>
              </w:rPr>
            </w:pPr>
            <w:r>
              <w:rPr>
                <w:rFonts w:ascii="Arial" w:cs="Arial" w:eastAsia="Arial" w:hAnsi="Arial"/>
                <w:sz w:val="15"/>
                <w:szCs w:val="15"/>
                <w:color w:val="auto"/>
              </w:rPr>
              <w:t>Greece</w:t>
            </w:r>
          </w:p>
        </w:tc>
        <w:tc>
          <w:tcPr>
            <w:tcW w:w="2140" w:type="dxa"/>
            <w:vAlign w:val="bottom"/>
            <w:tcBorders>
              <w:right w:val="single" w:sz="8" w:color="auto"/>
            </w:tcBorders>
            <w:gridSpan w:val="7"/>
          </w:tcPr>
          <w:p>
            <w:pPr>
              <w:ind w:left="80"/>
              <w:spacing w:after="0" w:line="156" w:lineRule="exact"/>
              <w:rPr>
                <w:sz w:val="20"/>
                <w:szCs w:val="20"/>
                <w:color w:val="auto"/>
              </w:rPr>
            </w:pPr>
            <w:r>
              <w:rPr>
                <w:rFonts w:ascii="Arial" w:cs="Arial" w:eastAsia="Arial" w:hAnsi="Arial"/>
                <w:sz w:val="15"/>
                <w:szCs w:val="15"/>
                <w:color w:val="auto"/>
              </w:rPr>
              <w:t>N/A</w:t>
            </w:r>
          </w:p>
        </w:tc>
        <w:tc>
          <w:tcPr>
            <w:tcW w:w="1520" w:type="dxa"/>
            <w:vAlign w:val="bottom"/>
            <w:tcBorders>
              <w:right w:val="single" w:sz="8" w:color="auto"/>
            </w:tcBorders>
            <w:gridSpan w:val="3"/>
          </w:tcPr>
          <w:p>
            <w:pPr>
              <w:ind w:left="100"/>
              <w:spacing w:after="0" w:line="156" w:lineRule="exact"/>
              <w:rPr>
                <w:sz w:val="20"/>
                <w:szCs w:val="20"/>
                <w:color w:val="auto"/>
              </w:rPr>
            </w:pPr>
            <w:r>
              <w:rPr>
                <w:rFonts w:ascii="Arial" w:cs="Arial" w:eastAsia="Arial" w:hAnsi="Arial"/>
                <w:sz w:val="15"/>
                <w:szCs w:val="15"/>
                <w:color w:val="auto"/>
              </w:rPr>
              <w:t>N/A</w:t>
            </w:r>
          </w:p>
        </w:tc>
        <w:tc>
          <w:tcPr>
            <w:tcW w:w="40" w:type="dxa"/>
            <w:vAlign w:val="bottom"/>
          </w:tcPr>
          <w:p>
            <w:pPr>
              <w:spacing w:after="0"/>
              <w:rPr>
                <w:sz w:val="13"/>
                <w:szCs w:val="13"/>
                <w:color w:val="auto"/>
              </w:rPr>
            </w:pPr>
          </w:p>
        </w:tc>
      </w:tr>
      <w:tr>
        <w:trPr>
          <w:trHeight w:val="149"/>
        </w:trPr>
        <w:tc>
          <w:tcPr>
            <w:tcW w:w="6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gridSpan w:val="6"/>
          </w:tcPr>
          <w:p>
            <w:pPr>
              <w:ind w:left="100"/>
              <w:spacing w:after="0" w:line="149" w:lineRule="exact"/>
              <w:rPr>
                <w:sz w:val="20"/>
                <w:szCs w:val="20"/>
                <w:color w:val="auto"/>
              </w:rPr>
            </w:pPr>
            <w:r>
              <w:rPr>
                <w:rFonts w:ascii="Arial" w:cs="Arial" w:eastAsia="Arial" w:hAnsi="Arial"/>
                <w:sz w:val="15"/>
                <w:szCs w:val="15"/>
                <w:color w:val="auto"/>
              </w:rPr>
              <w:t>GR15234 Chalandri,</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75"/>
        </w:trPr>
        <w:tc>
          <w:tcPr>
            <w:tcW w:w="660" w:type="dxa"/>
            <w:vAlign w:val="bottom"/>
            <w:tcBorders>
              <w:left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282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5"/>
                <w:szCs w:val="15"/>
                <w:color w:val="auto"/>
              </w:rPr>
              <w:t>Athens, Greece</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4"/>
        </w:trPr>
        <w:tc>
          <w:tcPr>
            <w:tcW w:w="3220" w:type="dxa"/>
            <w:vAlign w:val="bottom"/>
            <w:tcBorders>
              <w:left w:val="single" w:sz="8" w:color="auto"/>
              <w:right w:val="single" w:sz="8" w:color="auto"/>
            </w:tcBorders>
            <w:gridSpan w:val="9"/>
          </w:tcPr>
          <w:p>
            <w:pPr>
              <w:ind w:left="120"/>
              <w:spacing w:after="0" w:line="154" w:lineRule="exact"/>
              <w:rPr>
                <w:sz w:val="20"/>
                <w:szCs w:val="20"/>
                <w:color w:val="auto"/>
              </w:rPr>
            </w:pPr>
            <w:r>
              <w:rPr>
                <w:rFonts w:ascii="Arial" w:cs="Arial" w:eastAsia="Arial" w:hAnsi="Arial"/>
                <w:sz w:val="17"/>
                <w:szCs w:val="17"/>
                <w:color w:val="auto"/>
              </w:rPr>
              <w:t>Edward Rance</w:t>
            </w:r>
          </w:p>
        </w:tc>
        <w:tc>
          <w:tcPr>
            <w:tcW w:w="2820" w:type="dxa"/>
            <w:vAlign w:val="bottom"/>
            <w:tcBorders>
              <w:right w:val="single" w:sz="8" w:color="auto"/>
            </w:tcBorders>
            <w:gridSpan w:val="6"/>
          </w:tcPr>
          <w:p>
            <w:pPr>
              <w:ind w:left="100"/>
              <w:spacing w:after="0" w:line="154" w:lineRule="exact"/>
              <w:rPr>
                <w:sz w:val="20"/>
                <w:szCs w:val="20"/>
                <w:color w:val="auto"/>
              </w:rPr>
            </w:pPr>
            <w:r>
              <w:rPr>
                <w:rFonts w:ascii="Arial" w:cs="Arial" w:eastAsia="Arial" w:hAnsi="Arial"/>
                <w:sz w:val="15"/>
                <w:szCs w:val="15"/>
                <w:color w:val="auto"/>
              </w:rPr>
              <w:t>Clarendon House</w:t>
            </w:r>
          </w:p>
        </w:tc>
        <w:tc>
          <w:tcPr>
            <w:tcW w:w="1540" w:type="dxa"/>
            <w:vAlign w:val="bottom"/>
            <w:tcBorders>
              <w:right w:val="single" w:sz="8" w:color="auto"/>
            </w:tcBorders>
            <w:gridSpan w:val="5"/>
          </w:tcPr>
          <w:p>
            <w:pPr>
              <w:ind w:left="100"/>
              <w:spacing w:after="0" w:line="154" w:lineRule="exact"/>
              <w:rPr>
                <w:sz w:val="20"/>
                <w:szCs w:val="20"/>
                <w:color w:val="auto"/>
              </w:rPr>
            </w:pPr>
            <w:r>
              <w:rPr>
                <w:rFonts w:ascii="Arial" w:cs="Arial" w:eastAsia="Arial" w:hAnsi="Arial"/>
                <w:sz w:val="15"/>
                <w:szCs w:val="15"/>
                <w:color w:val="auto"/>
              </w:rPr>
              <w:t>UK</w:t>
            </w:r>
          </w:p>
        </w:tc>
        <w:tc>
          <w:tcPr>
            <w:tcW w:w="2140" w:type="dxa"/>
            <w:vAlign w:val="bottom"/>
            <w:tcBorders>
              <w:right w:val="single" w:sz="8" w:color="auto"/>
            </w:tcBorders>
            <w:gridSpan w:val="7"/>
          </w:tcPr>
          <w:p>
            <w:pPr>
              <w:ind w:left="80"/>
              <w:spacing w:after="0" w:line="154" w:lineRule="exact"/>
              <w:rPr>
                <w:sz w:val="20"/>
                <w:szCs w:val="20"/>
                <w:color w:val="auto"/>
              </w:rPr>
            </w:pPr>
            <w:r>
              <w:rPr>
                <w:rFonts w:ascii="Arial" w:cs="Arial" w:eastAsia="Arial" w:hAnsi="Arial"/>
                <w:sz w:val="15"/>
                <w:szCs w:val="15"/>
                <w:color w:val="auto"/>
              </w:rPr>
              <w:t>Conyers Corporate Services</w:t>
            </w:r>
          </w:p>
        </w:tc>
        <w:tc>
          <w:tcPr>
            <w:tcW w:w="1520" w:type="dxa"/>
            <w:vAlign w:val="bottom"/>
            <w:tcBorders>
              <w:right w:val="single" w:sz="8" w:color="auto"/>
            </w:tcBorders>
            <w:gridSpan w:val="3"/>
          </w:tcPr>
          <w:p>
            <w:pPr>
              <w:ind w:left="100"/>
              <w:spacing w:after="0" w:line="154" w:lineRule="exact"/>
              <w:rPr>
                <w:sz w:val="20"/>
                <w:szCs w:val="20"/>
                <w:color w:val="auto"/>
              </w:rPr>
            </w:pPr>
            <w:r>
              <w:rPr>
                <w:rFonts w:ascii="Arial" w:cs="Arial" w:eastAsia="Arial" w:hAnsi="Arial"/>
                <w:sz w:val="15"/>
                <w:szCs w:val="15"/>
                <w:color w:val="auto"/>
              </w:rPr>
              <w:t>Lawyer</w:t>
            </w:r>
          </w:p>
        </w:tc>
        <w:tc>
          <w:tcPr>
            <w:tcW w:w="40" w:type="dxa"/>
            <w:vAlign w:val="bottom"/>
          </w:tcPr>
          <w:p>
            <w:pPr>
              <w:spacing w:after="0"/>
              <w:rPr>
                <w:sz w:val="13"/>
                <w:szCs w:val="13"/>
                <w:color w:val="auto"/>
              </w:rPr>
            </w:pPr>
          </w:p>
        </w:tc>
      </w:tr>
      <w:tr>
        <w:trPr>
          <w:trHeight w:val="150"/>
        </w:trPr>
        <w:tc>
          <w:tcPr>
            <w:tcW w:w="66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gridSpan w:val="6"/>
          </w:tcPr>
          <w:p>
            <w:pPr>
              <w:ind w:left="100"/>
              <w:spacing w:after="0" w:line="150" w:lineRule="exact"/>
              <w:rPr>
                <w:sz w:val="20"/>
                <w:szCs w:val="20"/>
                <w:color w:val="auto"/>
              </w:rPr>
            </w:pPr>
            <w:r>
              <w:rPr>
                <w:rFonts w:ascii="Arial" w:cs="Arial" w:eastAsia="Arial" w:hAnsi="Arial"/>
                <w:sz w:val="15"/>
                <w:szCs w:val="15"/>
                <w:color w:val="auto"/>
              </w:rPr>
              <w:t>2 Church Street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140" w:type="dxa"/>
            <w:vAlign w:val="bottom"/>
            <w:tcBorders>
              <w:right w:val="single" w:sz="8" w:color="auto"/>
            </w:tcBorders>
            <w:gridSpan w:val="7"/>
          </w:tcPr>
          <w:p>
            <w:pPr>
              <w:ind w:left="80"/>
              <w:spacing w:after="0" w:line="150" w:lineRule="exact"/>
              <w:rPr>
                <w:sz w:val="20"/>
                <w:szCs w:val="20"/>
                <w:color w:val="auto"/>
              </w:rPr>
            </w:pPr>
            <w:r>
              <w:rPr>
                <w:rFonts w:ascii="Arial" w:cs="Arial" w:eastAsia="Arial" w:hAnsi="Arial"/>
                <w:sz w:val="15"/>
                <w:szCs w:val="15"/>
                <w:color w:val="auto"/>
              </w:rPr>
              <w:t>(Bermuda) Limited Clarendon</w:t>
            </w: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6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gridSpan w:val="6"/>
          </w:tcPr>
          <w:p>
            <w:pPr>
              <w:ind w:left="100"/>
              <w:spacing w:after="0" w:line="162" w:lineRule="exact"/>
              <w:rPr>
                <w:sz w:val="20"/>
                <w:szCs w:val="20"/>
                <w:color w:val="auto"/>
              </w:rPr>
            </w:pPr>
            <w:r>
              <w:rPr>
                <w:rFonts w:ascii="Arial" w:cs="Arial" w:eastAsia="Arial" w:hAnsi="Arial"/>
                <w:sz w:val="15"/>
                <w:szCs w:val="15"/>
                <w:color w:val="auto"/>
              </w:rPr>
              <w:t>Hamilton, HM 11, Bermuda</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gridSpan w:val="7"/>
          </w:tcPr>
          <w:p>
            <w:pPr>
              <w:ind w:left="80"/>
              <w:spacing w:after="0" w:line="162" w:lineRule="exact"/>
              <w:rPr>
                <w:sz w:val="20"/>
                <w:szCs w:val="20"/>
                <w:color w:val="auto"/>
              </w:rPr>
            </w:pPr>
            <w:r>
              <w:rPr>
                <w:rFonts w:ascii="Arial" w:cs="Arial" w:eastAsia="Arial" w:hAnsi="Arial"/>
                <w:sz w:val="15"/>
                <w:szCs w:val="15"/>
                <w:color w:val="auto"/>
              </w:rPr>
              <w:t>House</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gridSpan w:val="7"/>
          </w:tcPr>
          <w:p>
            <w:pPr>
              <w:ind w:left="80"/>
              <w:spacing w:after="0" w:line="162" w:lineRule="exact"/>
              <w:rPr>
                <w:sz w:val="20"/>
                <w:szCs w:val="20"/>
                <w:color w:val="auto"/>
              </w:rPr>
            </w:pPr>
            <w:r>
              <w:rPr>
                <w:rFonts w:ascii="Arial" w:cs="Arial" w:eastAsia="Arial" w:hAnsi="Arial"/>
                <w:sz w:val="15"/>
                <w:szCs w:val="15"/>
                <w:color w:val="auto"/>
              </w:rPr>
              <w:t>2 Church Street</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660" w:type="dxa"/>
            <w:vAlign w:val="bottom"/>
            <w:tcBorders>
              <w:left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5"/>
                <w:szCs w:val="15"/>
                <w:color w:val="auto"/>
              </w:rPr>
              <w:t>Hamilton, HM 11, Bermuda</w:t>
            </w: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0"/>
        </w:trPr>
        <w:tc>
          <w:tcPr>
            <w:tcW w:w="66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341"/>
        </w:trPr>
        <w:tc>
          <w:tcPr>
            <w:tcW w:w="6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189"/>
        </w:trPr>
        <w:tc>
          <w:tcPr>
            <w:tcW w:w="640" w:type="dxa"/>
            <w:vAlign w:val="bottom"/>
            <w:tcBorders>
              <w:top w:val="single" w:sz="8" w:color="auto"/>
              <w:lef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5"/>
          </w:tcPr>
          <w:p>
            <w:pPr>
              <w:jc w:val="center"/>
              <w:spacing w:after="0" w:line="189" w:lineRule="exact"/>
              <w:rPr>
                <w:sz w:val="20"/>
                <w:szCs w:val="20"/>
                <w:color w:val="auto"/>
              </w:rPr>
            </w:pPr>
            <w:r>
              <w:rPr>
                <w:rFonts w:ascii="Arial" w:cs="Arial" w:eastAsia="Arial" w:hAnsi="Arial"/>
                <w:sz w:val="18"/>
                <w:szCs w:val="18"/>
                <w:b w:val="1"/>
                <w:bCs w:val="1"/>
                <w:color w:val="auto"/>
                <w:w w:val="89"/>
              </w:rPr>
              <w:t>Reporting Person/</w:t>
            </w:r>
          </w:p>
        </w:tc>
        <w:tc>
          <w:tcPr>
            <w:tcW w:w="880" w:type="dxa"/>
            <w:vAlign w:val="bottom"/>
            <w:tcBorders>
              <w:top w:val="single" w:sz="8" w:color="auto"/>
              <w:right w:val="single" w:sz="8" w:color="auto"/>
            </w:tcBorders>
            <w:gridSpan w:val="3"/>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780" w:type="dxa"/>
            <w:vAlign w:val="bottom"/>
            <w:tcBorders>
              <w:top w:val="single" w:sz="8" w:color="auto"/>
              <w:right w:val="single" w:sz="8" w:color="auto"/>
            </w:tcBorders>
            <w:gridSpan w:val="4"/>
          </w:tcPr>
          <w:p>
            <w:pPr>
              <w:jc w:val="center"/>
              <w:ind w:right="360"/>
              <w:spacing w:after="0" w:line="189" w:lineRule="exact"/>
              <w:rPr>
                <w:sz w:val="20"/>
                <w:szCs w:val="20"/>
                <w:color w:val="auto"/>
              </w:rPr>
            </w:pPr>
            <w:r>
              <w:rPr>
                <w:rFonts w:ascii="Arial" w:cs="Arial" w:eastAsia="Arial" w:hAnsi="Arial"/>
                <w:sz w:val="18"/>
                <w:szCs w:val="18"/>
                <w:b w:val="1"/>
                <w:bCs w:val="1"/>
                <w:color w:val="auto"/>
                <w:w w:val="87"/>
              </w:rPr>
              <w:t>Address of</w:t>
            </w: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right w:val="single" w:sz="8" w:color="auto"/>
            </w:tcBorders>
            <w:gridSpan w:val="4"/>
          </w:tcPr>
          <w:p>
            <w:pPr>
              <w:jc w:val="center"/>
              <w:ind w:right="220"/>
              <w:spacing w:after="0" w:line="189" w:lineRule="exact"/>
              <w:rPr>
                <w:sz w:val="20"/>
                <w:szCs w:val="20"/>
                <w:color w:val="auto"/>
              </w:rPr>
            </w:pPr>
            <w:r>
              <w:rPr>
                <w:rFonts w:ascii="Arial" w:cs="Arial" w:eastAsia="Arial" w:hAnsi="Arial"/>
                <w:sz w:val="18"/>
                <w:szCs w:val="18"/>
                <w:b w:val="1"/>
                <w:bCs w:val="1"/>
                <w:color w:val="auto"/>
                <w:w w:val="90"/>
              </w:rPr>
              <w:t>Jurisdiction of</w:t>
            </w:r>
          </w:p>
        </w:tc>
        <w:tc>
          <w:tcPr>
            <w:tcW w:w="2160" w:type="dxa"/>
            <w:vAlign w:val="bottom"/>
            <w:tcBorders>
              <w:top w:val="single" w:sz="8" w:color="auto"/>
              <w:right w:val="single" w:sz="8" w:color="auto"/>
            </w:tcBorders>
            <w:gridSpan w:val="7"/>
          </w:tcPr>
          <w:p>
            <w:pPr>
              <w:jc w:val="center"/>
              <w:spacing w:after="0" w:line="189" w:lineRule="exact"/>
              <w:rPr>
                <w:sz w:val="20"/>
                <w:szCs w:val="20"/>
                <w:color w:val="auto"/>
              </w:rPr>
            </w:pPr>
            <w:r>
              <w:rPr>
                <w:rFonts w:ascii="Arial" w:cs="Arial" w:eastAsia="Arial" w:hAnsi="Arial"/>
                <w:sz w:val="18"/>
                <w:szCs w:val="18"/>
                <w:b w:val="1"/>
                <w:bCs w:val="1"/>
                <w:color w:val="auto"/>
                <w:w w:val="89"/>
              </w:rPr>
              <w:t>Name/Address of</w:t>
            </w:r>
          </w:p>
        </w:tc>
        <w:tc>
          <w:tcPr>
            <w:tcW w:w="78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Principal</w:t>
            </w:r>
          </w:p>
        </w:tc>
        <w:tc>
          <w:tcPr>
            <w:tcW w:w="40" w:type="dxa"/>
            <w:vAlign w:val="bottom"/>
          </w:tcPr>
          <w:p>
            <w:pPr>
              <w:spacing w:after="0"/>
              <w:rPr>
                <w:sz w:val="16"/>
                <w:szCs w:val="16"/>
                <w:color w:val="auto"/>
              </w:rPr>
            </w:pP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2540" w:type="dxa"/>
            <w:vAlign w:val="bottom"/>
            <w:tcBorders>
              <w:right w:val="single" w:sz="8" w:color="auto"/>
            </w:tcBorders>
            <w:gridSpan w:val="10"/>
          </w:tcPr>
          <w:p>
            <w:pPr>
              <w:jc w:val="center"/>
              <w:ind w:right="640"/>
              <w:spacing w:after="0" w:line="196" w:lineRule="exact"/>
              <w:rPr>
                <w:sz w:val="20"/>
                <w:szCs w:val="20"/>
                <w:color w:val="auto"/>
              </w:rPr>
            </w:pPr>
            <w:r>
              <w:rPr>
                <w:rFonts w:ascii="Arial" w:cs="Arial" w:eastAsia="Arial" w:hAnsi="Arial"/>
                <w:sz w:val="18"/>
                <w:szCs w:val="18"/>
                <w:b w:val="1"/>
                <w:bCs w:val="1"/>
                <w:color w:val="auto"/>
                <w:w w:val="94"/>
              </w:rPr>
              <w:t>Director/Officer/Control</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Borders>
              <w:right w:val="single" w:sz="8" w:color="auto"/>
            </w:tcBorders>
            <w:gridSpan w:val="3"/>
          </w:tcPr>
          <w:p>
            <w:pPr>
              <w:jc w:val="center"/>
              <w:ind w:right="720"/>
              <w:spacing w:after="0" w:line="196" w:lineRule="exact"/>
              <w:rPr>
                <w:sz w:val="20"/>
                <w:szCs w:val="20"/>
                <w:color w:val="auto"/>
              </w:rPr>
            </w:pPr>
            <w:r>
              <w:rPr>
                <w:rFonts w:ascii="Arial" w:cs="Arial" w:eastAsia="Arial" w:hAnsi="Arial"/>
                <w:sz w:val="18"/>
                <w:szCs w:val="18"/>
                <w:b w:val="1"/>
                <w:bCs w:val="1"/>
                <w:color w:val="auto"/>
                <w:w w:val="86"/>
              </w:rPr>
              <w:t>Principal</w:t>
            </w:r>
          </w:p>
        </w:tc>
        <w:tc>
          <w:tcPr>
            <w:tcW w:w="20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220"/>
              <w:spacing w:after="0" w:line="196" w:lineRule="exact"/>
              <w:rPr>
                <w:sz w:val="20"/>
                <w:szCs w:val="20"/>
                <w:color w:val="auto"/>
              </w:rPr>
            </w:pPr>
            <w:r>
              <w:rPr>
                <w:rFonts w:ascii="Arial" w:cs="Arial" w:eastAsia="Arial" w:hAnsi="Arial"/>
                <w:sz w:val="18"/>
                <w:szCs w:val="18"/>
                <w:b w:val="1"/>
                <w:bCs w:val="1"/>
                <w:color w:val="auto"/>
                <w:w w:val="92"/>
              </w:rPr>
              <w:t>Incorporation/</w:t>
            </w:r>
          </w:p>
        </w:tc>
        <w:tc>
          <w:tcPr>
            <w:tcW w:w="420" w:type="dxa"/>
            <w:vAlign w:val="bottom"/>
          </w:tcPr>
          <w:p>
            <w:pPr>
              <w:spacing w:after="0"/>
              <w:rPr>
                <w:sz w:val="17"/>
                <w:szCs w:val="17"/>
                <w:color w:val="auto"/>
              </w:rPr>
            </w:pPr>
          </w:p>
        </w:tc>
        <w:tc>
          <w:tcPr>
            <w:tcW w:w="1740" w:type="dxa"/>
            <w:vAlign w:val="bottom"/>
            <w:tcBorders>
              <w:right w:val="single" w:sz="8" w:color="auto"/>
            </w:tcBorders>
            <w:gridSpan w:val="6"/>
          </w:tcPr>
          <w:p>
            <w:pPr>
              <w:jc w:val="center"/>
              <w:ind w:right="440"/>
              <w:spacing w:after="0" w:line="196" w:lineRule="exact"/>
              <w:rPr>
                <w:sz w:val="20"/>
                <w:szCs w:val="20"/>
                <w:color w:val="auto"/>
              </w:rPr>
            </w:pPr>
            <w:r>
              <w:rPr>
                <w:rFonts w:ascii="Arial" w:cs="Arial" w:eastAsia="Arial" w:hAnsi="Arial"/>
                <w:sz w:val="18"/>
                <w:szCs w:val="18"/>
                <w:b w:val="1"/>
                <w:bCs w:val="1"/>
                <w:color w:val="auto"/>
                <w:w w:val="92"/>
              </w:rPr>
              <w:t>Employer and</w:t>
            </w:r>
          </w:p>
        </w:tc>
        <w:tc>
          <w:tcPr>
            <w:tcW w:w="780" w:type="dxa"/>
            <w:vAlign w:val="bottom"/>
          </w:tcPr>
          <w:p>
            <w:pPr>
              <w:spacing w:after="0"/>
              <w:rPr>
                <w:sz w:val="17"/>
                <w:szCs w:val="17"/>
                <w:color w:val="auto"/>
              </w:rPr>
            </w:pPr>
          </w:p>
        </w:tc>
        <w:tc>
          <w:tcPr>
            <w:tcW w:w="146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Business</w:t>
            </w:r>
          </w:p>
        </w:tc>
        <w:tc>
          <w:tcPr>
            <w:tcW w:w="40" w:type="dxa"/>
            <w:vAlign w:val="bottom"/>
          </w:tcPr>
          <w:p>
            <w:pPr>
              <w:spacing w:after="0"/>
              <w:rPr>
                <w:sz w:val="17"/>
                <w:szCs w:val="17"/>
                <w:color w:val="auto"/>
              </w:rPr>
            </w:pP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88"/>
              </w:rPr>
              <w:t>Person</w:t>
            </w:r>
          </w:p>
        </w:tc>
        <w:tc>
          <w:tcPr>
            <w:tcW w:w="680" w:type="dxa"/>
            <w:vAlign w:val="bottom"/>
            <w:gridSpan w:val="3"/>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Borders>
              <w:right w:val="single" w:sz="8" w:color="auto"/>
            </w:tcBorders>
            <w:gridSpan w:val="4"/>
          </w:tcPr>
          <w:p>
            <w:pPr>
              <w:jc w:val="center"/>
              <w:ind w:right="380"/>
              <w:spacing w:after="0" w:line="196" w:lineRule="exact"/>
              <w:rPr>
                <w:sz w:val="20"/>
                <w:szCs w:val="20"/>
                <w:color w:val="auto"/>
              </w:rPr>
            </w:pPr>
            <w:r>
              <w:rPr>
                <w:rFonts w:ascii="Arial" w:cs="Arial" w:eastAsia="Arial" w:hAnsi="Arial"/>
                <w:sz w:val="18"/>
                <w:szCs w:val="18"/>
                <w:b w:val="1"/>
                <w:bCs w:val="1"/>
                <w:color w:val="auto"/>
                <w:w w:val="87"/>
              </w:rPr>
              <w:t>Office/Business or</w:t>
            </w:r>
          </w:p>
        </w:tc>
        <w:tc>
          <w:tcPr>
            <w:tcW w:w="20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220"/>
              <w:spacing w:after="0" w:line="196" w:lineRule="exact"/>
              <w:rPr>
                <w:sz w:val="20"/>
                <w:szCs w:val="20"/>
                <w:color w:val="auto"/>
              </w:rPr>
            </w:pPr>
            <w:r>
              <w:rPr>
                <w:rFonts w:ascii="Arial" w:cs="Arial" w:eastAsia="Arial" w:hAnsi="Arial"/>
                <w:sz w:val="18"/>
                <w:szCs w:val="18"/>
                <w:b w:val="1"/>
                <w:bCs w:val="1"/>
                <w:color w:val="auto"/>
                <w:w w:val="91"/>
              </w:rPr>
              <w:t>Citizenship</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right w:val="single" w:sz="8" w:color="auto"/>
            </w:tcBorders>
            <w:gridSpan w:val="4"/>
          </w:tcPr>
          <w:p>
            <w:pPr>
              <w:jc w:val="center"/>
              <w:ind w:right="640"/>
              <w:spacing w:after="0" w:line="196" w:lineRule="exact"/>
              <w:rPr>
                <w:sz w:val="20"/>
                <w:szCs w:val="20"/>
                <w:color w:val="auto"/>
              </w:rPr>
            </w:pPr>
            <w:r>
              <w:rPr>
                <w:rFonts w:ascii="Arial" w:cs="Arial" w:eastAsia="Arial" w:hAnsi="Arial"/>
                <w:sz w:val="18"/>
                <w:szCs w:val="18"/>
                <w:b w:val="1"/>
                <w:bCs w:val="1"/>
                <w:color w:val="auto"/>
                <w:w w:val="90"/>
              </w:rPr>
              <w:t>Occupation</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tcBorders>
              <w:right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gridSpan w:val="7"/>
          </w:tcPr>
          <w:p>
            <w:pPr>
              <w:jc w:val="center"/>
              <w:spacing w:after="0" w:line="196" w:lineRule="exact"/>
              <w:rPr>
                <w:sz w:val="20"/>
                <w:szCs w:val="20"/>
                <w:color w:val="auto"/>
              </w:rPr>
            </w:pPr>
            <w:r>
              <w:rPr>
                <w:rFonts w:ascii="Arial" w:cs="Arial" w:eastAsia="Arial" w:hAnsi="Arial"/>
                <w:sz w:val="18"/>
                <w:szCs w:val="18"/>
                <w:b w:val="1"/>
                <w:bCs w:val="1"/>
                <w:color w:val="auto"/>
                <w:w w:val="89"/>
              </w:rPr>
              <w:t>of a Reporting Person</w:t>
            </w:r>
          </w:p>
        </w:tc>
        <w:tc>
          <w:tcPr>
            <w:tcW w:w="740" w:type="dxa"/>
            <w:vAlign w:val="bottom"/>
            <w:tcBorders>
              <w:right w:val="single" w:sz="8" w:color="auto"/>
            </w:tcBorders>
            <w:gridSpan w:val="2"/>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2"/>
              </w:rPr>
              <w:t>Residenc</w:t>
            </w:r>
          </w:p>
        </w:tc>
        <w:tc>
          <w:tcPr>
            <w:tcW w:w="720" w:type="dxa"/>
            <w:vAlign w:val="bottom"/>
            <w:tcBorders>
              <w:right w:val="single" w:sz="8" w:color="auto"/>
            </w:tcBorders>
            <w:gridSpan w:val="2"/>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Borders>
              <w:right w:val="single" w:sz="8" w:color="auto"/>
            </w:tcBorders>
            <w:gridSpan w:val="3"/>
          </w:tcPr>
          <w:p>
            <w:pPr>
              <w:jc w:val="center"/>
              <w:ind w:right="760"/>
              <w:spacing w:after="0" w:line="196" w:lineRule="exact"/>
              <w:rPr>
                <w:sz w:val="20"/>
                <w:szCs w:val="20"/>
                <w:color w:val="auto"/>
              </w:rPr>
            </w:pPr>
            <w:r>
              <w:rPr>
                <w:rFonts w:ascii="Arial" w:cs="Arial" w:eastAsia="Arial" w:hAnsi="Arial"/>
                <w:sz w:val="18"/>
                <w:szCs w:val="18"/>
                <w:b w:val="1"/>
                <w:bCs w:val="1"/>
                <w:color w:val="auto"/>
                <w:w w:val="86"/>
              </w:rPr>
              <w:t>Address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
        </w:trPr>
        <w:tc>
          <w:tcPr>
            <w:tcW w:w="64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1520" w:type="dxa"/>
            <w:vAlign w:val="bottom"/>
            <w:tcBorders>
              <w:left w:val="single" w:sz="8" w:color="auto"/>
            </w:tcBorders>
            <w:gridSpan w:val="6"/>
          </w:tcPr>
          <w:p>
            <w:pPr>
              <w:ind w:left="120"/>
              <w:spacing w:after="0" w:line="195" w:lineRule="exact"/>
              <w:rPr>
                <w:sz w:val="20"/>
                <w:szCs w:val="20"/>
                <w:color w:val="auto"/>
              </w:rPr>
            </w:pPr>
            <w:r>
              <w:rPr>
                <w:rFonts w:ascii="Arial" w:cs="Arial" w:eastAsia="Arial" w:hAnsi="Arial"/>
                <w:sz w:val="18"/>
                <w:szCs w:val="18"/>
                <w:color w:val="auto"/>
              </w:rPr>
              <w:t>Michail Gialouris</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8 Zephyrou Str. Paleo</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Greece</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ASOFIN Management</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Consulting company</w:t>
            </w:r>
          </w:p>
        </w:tc>
        <w:tc>
          <w:tcPr>
            <w:tcW w:w="40" w:type="dxa"/>
            <w:vAlign w:val="bottom"/>
          </w:tcPr>
          <w:p>
            <w:pPr>
              <w:spacing w:after="0"/>
              <w:rPr>
                <w:sz w:val="16"/>
                <w:szCs w:val="16"/>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Faliro</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S.A.</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17564 Athens Greece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8 Zephyrou Str. Paleo</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Faliro</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17564 Athens Greece</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Managing Director</w:t>
            </w: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64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1520" w:type="dxa"/>
            <w:vAlign w:val="bottom"/>
            <w:tcBorders>
              <w:left w:val="single" w:sz="8" w:color="auto"/>
              <w:bottom w:val="single" w:sz="8" w:color="auto"/>
            </w:tcBorders>
            <w:gridSpan w:val="6"/>
          </w:tcPr>
          <w:p>
            <w:pPr>
              <w:ind w:left="120"/>
              <w:spacing w:after="0"/>
              <w:rPr>
                <w:sz w:val="20"/>
                <w:szCs w:val="20"/>
                <w:color w:val="auto"/>
              </w:rPr>
            </w:pPr>
            <w:r>
              <w:rPr>
                <w:rFonts w:ascii="Arial" w:cs="Arial" w:eastAsia="Arial" w:hAnsi="Arial"/>
                <w:sz w:val="18"/>
                <w:szCs w:val="18"/>
                <w:b w:val="1"/>
                <w:bCs w:val="1"/>
                <w:i w:val="1"/>
                <w:iCs w:val="1"/>
                <w:color w:val="auto"/>
              </w:rPr>
              <w:t>Officers</w:t>
            </w: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1440" w:type="dxa"/>
            <w:vAlign w:val="bottom"/>
            <w:tcBorders>
              <w:left w:val="single" w:sz="8" w:color="auto"/>
              <w:right w:val="single" w:sz="8" w:color="auto"/>
            </w:tcBorders>
            <w:gridSpan w:val="5"/>
          </w:tcPr>
          <w:p>
            <w:pPr>
              <w:ind w:left="120"/>
              <w:spacing w:after="0" w:line="195" w:lineRule="exact"/>
              <w:rPr>
                <w:sz w:val="20"/>
                <w:szCs w:val="20"/>
                <w:color w:val="auto"/>
              </w:rPr>
            </w:pPr>
            <w:r>
              <w:rPr>
                <w:rFonts w:ascii="Arial" w:cs="Arial" w:eastAsia="Arial" w:hAnsi="Arial"/>
                <w:sz w:val="18"/>
                <w:szCs w:val="18"/>
                <w:color w:val="auto"/>
              </w:rPr>
              <w:t>President</w:t>
            </w:r>
          </w:p>
        </w:tc>
        <w:tc>
          <w:tcPr>
            <w:tcW w:w="80" w:type="dxa"/>
            <w:vAlign w:val="bottom"/>
          </w:tcPr>
          <w:p>
            <w:pPr>
              <w:spacing w:after="0"/>
              <w:rPr>
                <w:sz w:val="16"/>
                <w:szCs w:val="16"/>
                <w:color w:val="auto"/>
              </w:rPr>
            </w:pPr>
          </w:p>
        </w:tc>
        <w:tc>
          <w:tcPr>
            <w:tcW w:w="1660" w:type="dxa"/>
            <w:vAlign w:val="bottom"/>
            <w:tcBorders>
              <w:right w:val="single" w:sz="8" w:color="auto"/>
            </w:tcBorders>
            <w:gridSpan w:val="5"/>
          </w:tcPr>
          <w:p>
            <w:pPr>
              <w:ind w:left="20"/>
              <w:spacing w:after="0" w:line="195" w:lineRule="exact"/>
              <w:rPr>
                <w:sz w:val="20"/>
                <w:szCs w:val="20"/>
                <w:color w:val="auto"/>
              </w:rPr>
            </w:pPr>
            <w:r>
              <w:rPr>
                <w:rFonts w:ascii="Arial" w:cs="Arial" w:eastAsia="Arial" w:hAnsi="Arial"/>
                <w:sz w:val="18"/>
                <w:szCs w:val="18"/>
                <w:color w:val="auto"/>
              </w:rPr>
              <w:t>Antonios S.</w:t>
            </w: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367 Syngrou Av. Paleo</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Greece</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ASOFIN Management</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Consulting company</w:t>
            </w:r>
          </w:p>
        </w:tc>
        <w:tc>
          <w:tcPr>
            <w:tcW w:w="40" w:type="dxa"/>
            <w:vAlign w:val="bottom"/>
          </w:tcPr>
          <w:p>
            <w:pPr>
              <w:spacing w:after="0"/>
              <w:rPr>
                <w:sz w:val="16"/>
                <w:szCs w:val="16"/>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Papadimitriou</w:t>
            </w: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Faliro 17564 Athens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S.A.</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Greece</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1440" w:type="dxa"/>
            <w:vAlign w:val="bottom"/>
            <w:tcBorders>
              <w:left w:val="single" w:sz="8" w:color="auto"/>
              <w:right w:val="single" w:sz="8" w:color="auto"/>
            </w:tcBorders>
            <w:gridSpan w:val="5"/>
          </w:tcPr>
          <w:p>
            <w:pPr>
              <w:ind w:left="120"/>
              <w:spacing w:after="0" w:line="195" w:lineRule="exact"/>
              <w:rPr>
                <w:sz w:val="20"/>
                <w:szCs w:val="20"/>
                <w:color w:val="auto"/>
              </w:rPr>
            </w:pPr>
            <w:r>
              <w:rPr>
                <w:rFonts w:ascii="Arial" w:cs="Arial" w:eastAsia="Arial" w:hAnsi="Arial"/>
                <w:sz w:val="18"/>
                <w:szCs w:val="18"/>
                <w:color w:val="auto"/>
              </w:rPr>
              <w:t>Vice President</w:t>
            </w:r>
          </w:p>
        </w:tc>
        <w:tc>
          <w:tcPr>
            <w:tcW w:w="80" w:type="dxa"/>
            <w:vAlign w:val="bottom"/>
          </w:tcPr>
          <w:p>
            <w:pPr>
              <w:spacing w:after="0"/>
              <w:rPr>
                <w:sz w:val="16"/>
                <w:szCs w:val="16"/>
                <w:color w:val="auto"/>
              </w:rPr>
            </w:pPr>
          </w:p>
        </w:tc>
        <w:tc>
          <w:tcPr>
            <w:tcW w:w="1660" w:type="dxa"/>
            <w:vAlign w:val="bottom"/>
            <w:tcBorders>
              <w:right w:val="single" w:sz="8" w:color="auto"/>
            </w:tcBorders>
            <w:gridSpan w:val="5"/>
          </w:tcPr>
          <w:p>
            <w:pPr>
              <w:ind w:left="20"/>
              <w:spacing w:after="0" w:line="195" w:lineRule="exact"/>
              <w:rPr>
                <w:sz w:val="20"/>
                <w:szCs w:val="20"/>
                <w:color w:val="auto"/>
              </w:rPr>
            </w:pPr>
            <w:r>
              <w:rPr>
                <w:rFonts w:ascii="Arial" w:cs="Arial" w:eastAsia="Arial" w:hAnsi="Arial"/>
                <w:sz w:val="18"/>
                <w:szCs w:val="18"/>
                <w:color w:val="auto"/>
              </w:rPr>
              <w:t>Marianna Moschou</w:t>
            </w: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8 Zephyrou Str. Paleo</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Greece</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A.S.O. HOLDINGS S.A.</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Holding company</w:t>
            </w:r>
          </w:p>
        </w:tc>
        <w:tc>
          <w:tcPr>
            <w:tcW w:w="40" w:type="dxa"/>
            <w:vAlign w:val="bottom"/>
          </w:tcPr>
          <w:p>
            <w:pPr>
              <w:spacing w:after="0"/>
              <w:rPr>
                <w:sz w:val="16"/>
                <w:szCs w:val="16"/>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Faliro</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Calle Aquillino de la</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17564 Athens Greece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Guardia 8</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Panama 1, Republic of</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Panama</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Secretary and Director</w:t>
            </w:r>
          </w:p>
        </w:tc>
        <w:tc>
          <w:tcPr>
            <w:tcW w:w="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144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Treasurer</w:t>
            </w:r>
          </w:p>
        </w:tc>
        <w:tc>
          <w:tcPr>
            <w:tcW w:w="8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Michail Gialouris</w:t>
            </w: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195"/>
        </w:trPr>
        <w:tc>
          <w:tcPr>
            <w:tcW w:w="1440" w:type="dxa"/>
            <w:vAlign w:val="bottom"/>
            <w:tcBorders>
              <w:left w:val="single" w:sz="8" w:color="auto"/>
              <w:right w:val="single" w:sz="8" w:color="auto"/>
            </w:tcBorders>
            <w:gridSpan w:val="5"/>
          </w:tcPr>
          <w:p>
            <w:pPr>
              <w:ind w:left="120"/>
              <w:spacing w:after="0" w:line="195" w:lineRule="exact"/>
              <w:rPr>
                <w:sz w:val="20"/>
                <w:szCs w:val="20"/>
                <w:color w:val="auto"/>
              </w:rPr>
            </w:pPr>
            <w:r>
              <w:rPr>
                <w:rFonts w:ascii="Arial" w:cs="Arial" w:eastAsia="Arial" w:hAnsi="Arial"/>
                <w:sz w:val="18"/>
                <w:szCs w:val="18"/>
                <w:color w:val="auto"/>
              </w:rPr>
              <w:t>Secretary</w:t>
            </w:r>
          </w:p>
        </w:tc>
        <w:tc>
          <w:tcPr>
            <w:tcW w:w="80" w:type="dxa"/>
            <w:vAlign w:val="bottom"/>
          </w:tcPr>
          <w:p>
            <w:pPr>
              <w:spacing w:after="0"/>
              <w:rPr>
                <w:sz w:val="16"/>
                <w:szCs w:val="16"/>
                <w:color w:val="auto"/>
              </w:rPr>
            </w:pPr>
          </w:p>
        </w:tc>
        <w:tc>
          <w:tcPr>
            <w:tcW w:w="1660" w:type="dxa"/>
            <w:vAlign w:val="bottom"/>
            <w:tcBorders>
              <w:right w:val="single" w:sz="8" w:color="auto"/>
            </w:tcBorders>
            <w:gridSpan w:val="5"/>
          </w:tcPr>
          <w:p>
            <w:pPr>
              <w:ind w:left="20"/>
              <w:spacing w:after="0" w:line="195" w:lineRule="exact"/>
              <w:rPr>
                <w:sz w:val="20"/>
                <w:szCs w:val="20"/>
                <w:color w:val="auto"/>
              </w:rPr>
            </w:pPr>
            <w:r>
              <w:rPr>
                <w:rFonts w:ascii="Arial" w:cs="Arial" w:eastAsia="Arial" w:hAnsi="Arial"/>
                <w:sz w:val="18"/>
                <w:szCs w:val="18"/>
                <w:color w:val="auto"/>
              </w:rPr>
              <w:t>Conyers Corporate</w:t>
            </w: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Clarendon House</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Bermuda</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N/A</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Local agent</w:t>
            </w:r>
          </w:p>
        </w:tc>
        <w:tc>
          <w:tcPr>
            <w:tcW w:w="40" w:type="dxa"/>
            <w:vAlign w:val="bottom"/>
          </w:tcPr>
          <w:p>
            <w:pPr>
              <w:spacing w:after="0"/>
              <w:rPr>
                <w:sz w:val="16"/>
                <w:szCs w:val="16"/>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Services (Bermuda)</w:t>
            </w: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2 Church Street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Limited</w:t>
            </w: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Hamilton, HM 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Bermuda</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180" w:type="dxa"/>
            <w:vAlign w:val="bottom"/>
            <w:tcBorders>
              <w:left w:val="single" w:sz="8" w:color="auto"/>
              <w:right w:val="single" w:sz="8" w:color="auto"/>
            </w:tcBorders>
            <w:gridSpan w:val="11"/>
          </w:tcPr>
          <w:p>
            <w:pPr>
              <w:ind w:left="120"/>
              <w:spacing w:after="0" w:line="195" w:lineRule="exact"/>
              <w:rPr>
                <w:sz w:val="20"/>
                <w:szCs w:val="20"/>
                <w:color w:val="auto"/>
              </w:rPr>
            </w:pPr>
            <w:r>
              <w:rPr>
                <w:rFonts w:ascii="Arial" w:cs="Arial" w:eastAsia="Arial" w:hAnsi="Arial"/>
                <w:sz w:val="18"/>
                <w:szCs w:val="18"/>
                <w:color w:val="auto"/>
              </w:rPr>
              <w:t>A.S.O. HOLDINGS S.A.</w:t>
            </w: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Calle Aquillino de la</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Panama</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N/A</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Holding company</w:t>
            </w:r>
          </w:p>
        </w:tc>
        <w:tc>
          <w:tcPr>
            <w:tcW w:w="40" w:type="dxa"/>
            <w:vAlign w:val="bottom"/>
          </w:tcPr>
          <w:p>
            <w:pPr>
              <w:spacing w:after="0"/>
              <w:rPr>
                <w:sz w:val="16"/>
                <w:szCs w:val="16"/>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Guardia 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Panama 1, Republic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Panama</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1520" w:type="dxa"/>
            <w:vAlign w:val="bottom"/>
            <w:tcBorders>
              <w:left w:val="single" w:sz="8" w:color="auto"/>
              <w:bottom w:val="single" w:sz="8" w:color="auto"/>
            </w:tcBorders>
            <w:gridSpan w:val="6"/>
          </w:tcPr>
          <w:p>
            <w:pPr>
              <w:ind w:left="120"/>
              <w:spacing w:after="0"/>
              <w:rPr>
                <w:sz w:val="20"/>
                <w:szCs w:val="20"/>
                <w:color w:val="auto"/>
              </w:rPr>
            </w:pPr>
            <w:r>
              <w:rPr>
                <w:rFonts w:ascii="Arial" w:cs="Arial" w:eastAsia="Arial" w:hAnsi="Arial"/>
                <w:sz w:val="18"/>
                <w:szCs w:val="18"/>
                <w:b w:val="1"/>
                <w:bCs w:val="1"/>
                <w:i w:val="1"/>
                <w:iCs w:val="1"/>
                <w:color w:val="auto"/>
              </w:rPr>
              <w:t>Directors</w:t>
            </w: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180" w:type="dxa"/>
            <w:vAlign w:val="bottom"/>
            <w:tcBorders>
              <w:left w:val="single" w:sz="8" w:color="auto"/>
              <w:bottom w:val="single" w:sz="8" w:color="auto"/>
              <w:right w:val="single" w:sz="8" w:color="auto"/>
            </w:tcBorders>
            <w:gridSpan w:val="11"/>
          </w:tcPr>
          <w:p>
            <w:pPr>
              <w:ind w:left="120"/>
              <w:spacing w:after="0"/>
              <w:rPr>
                <w:sz w:val="20"/>
                <w:szCs w:val="20"/>
                <w:color w:val="auto"/>
              </w:rPr>
            </w:pPr>
            <w:r>
              <w:rPr>
                <w:rFonts w:ascii="Arial" w:cs="Arial" w:eastAsia="Arial" w:hAnsi="Arial"/>
                <w:sz w:val="18"/>
                <w:szCs w:val="18"/>
                <w:color w:val="auto"/>
              </w:rPr>
              <w:t>Antonios S. Papadimitriou</w:t>
            </w: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195"/>
        </w:trPr>
        <w:tc>
          <w:tcPr>
            <w:tcW w:w="1520" w:type="dxa"/>
            <w:vAlign w:val="bottom"/>
            <w:tcBorders>
              <w:left w:val="single" w:sz="8" w:color="auto"/>
            </w:tcBorders>
            <w:gridSpan w:val="6"/>
          </w:tcPr>
          <w:p>
            <w:pPr>
              <w:ind w:left="120"/>
              <w:spacing w:after="0" w:line="195" w:lineRule="exact"/>
              <w:rPr>
                <w:sz w:val="20"/>
                <w:szCs w:val="20"/>
                <w:color w:val="auto"/>
              </w:rPr>
            </w:pPr>
            <w:r>
              <w:rPr>
                <w:rFonts w:ascii="Arial" w:cs="Arial" w:eastAsia="Arial" w:hAnsi="Arial"/>
                <w:sz w:val="18"/>
                <w:szCs w:val="18"/>
                <w:color w:val="auto"/>
              </w:rPr>
              <w:t>Florian Marxer</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Heiligkreuz 6</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Liechtenstein</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Marxer &amp; Partner</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Law firm</w:t>
            </w:r>
          </w:p>
        </w:tc>
        <w:tc>
          <w:tcPr>
            <w:tcW w:w="40" w:type="dxa"/>
            <w:vAlign w:val="bottom"/>
          </w:tcPr>
          <w:p>
            <w:pPr>
              <w:spacing w:after="0"/>
              <w:rPr>
                <w:sz w:val="16"/>
                <w:szCs w:val="16"/>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P.O. Box 484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Attorneys-at-Law</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FL 9490 Vaduz,</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Heiligkreuz 6</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Liechtenstein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P.O. Box 484</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FL 9490 Vaduz,</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Liechtenstein</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Partner</w:t>
            </w:r>
          </w:p>
        </w:tc>
        <w:tc>
          <w:tcPr>
            <w:tcW w:w="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1520" w:type="dxa"/>
            <w:vAlign w:val="bottom"/>
            <w:tcBorders>
              <w:left w:val="single" w:sz="8" w:color="auto"/>
              <w:bottom w:val="single" w:sz="8" w:color="auto"/>
            </w:tcBorders>
            <w:gridSpan w:val="6"/>
          </w:tcPr>
          <w:p>
            <w:pPr>
              <w:ind w:left="120"/>
              <w:spacing w:after="0"/>
              <w:rPr>
                <w:sz w:val="20"/>
                <w:szCs w:val="20"/>
                <w:color w:val="auto"/>
              </w:rPr>
            </w:pPr>
            <w:r>
              <w:rPr>
                <w:rFonts w:ascii="Arial" w:cs="Arial" w:eastAsia="Arial" w:hAnsi="Arial"/>
                <w:sz w:val="18"/>
                <w:szCs w:val="18"/>
                <w:color w:val="auto"/>
                <w:w w:val="90"/>
              </w:rPr>
              <w:t>Marianna Moschou</w:t>
            </w: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210"/>
        </w:trPr>
        <w:tc>
          <w:tcPr>
            <w:tcW w:w="3180" w:type="dxa"/>
            <w:vAlign w:val="bottom"/>
            <w:tcBorders>
              <w:left w:val="single" w:sz="8" w:color="auto"/>
              <w:bottom w:val="single" w:sz="8" w:color="auto"/>
              <w:right w:val="single" w:sz="8" w:color="auto"/>
            </w:tcBorders>
            <w:gridSpan w:val="11"/>
          </w:tcPr>
          <w:p>
            <w:pPr>
              <w:ind w:left="120"/>
              <w:spacing w:after="0"/>
              <w:rPr>
                <w:sz w:val="20"/>
                <w:szCs w:val="20"/>
                <w:color w:val="auto"/>
              </w:rPr>
            </w:pPr>
            <w:r>
              <w:rPr>
                <w:rFonts w:ascii="Arial" w:cs="Arial" w:eastAsia="Arial" w:hAnsi="Arial"/>
                <w:sz w:val="18"/>
                <w:szCs w:val="18"/>
                <w:color w:val="auto"/>
              </w:rPr>
              <w:t>Prof. Constantinos Grammenos</w:t>
            </w: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209"/>
        </w:trPr>
        <w:tc>
          <w:tcPr>
            <w:tcW w:w="1520" w:type="dxa"/>
            <w:vAlign w:val="bottom"/>
            <w:tcBorders>
              <w:left w:val="single" w:sz="8" w:color="auto"/>
              <w:bottom w:val="single" w:sz="8" w:color="auto"/>
            </w:tcBorders>
            <w:gridSpan w:val="6"/>
          </w:tcPr>
          <w:p>
            <w:pPr>
              <w:ind w:left="120"/>
              <w:spacing w:after="0"/>
              <w:rPr>
                <w:sz w:val="20"/>
                <w:szCs w:val="20"/>
                <w:color w:val="auto"/>
              </w:rPr>
            </w:pPr>
            <w:r>
              <w:rPr>
                <w:rFonts w:ascii="Arial" w:cs="Arial" w:eastAsia="Arial" w:hAnsi="Arial"/>
                <w:sz w:val="18"/>
                <w:szCs w:val="18"/>
                <w:color w:val="auto"/>
              </w:rPr>
              <w:t>Dennis Houston</w:t>
            </w: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USA</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N/A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r>
      <w:tr>
        <w:trPr>
          <w:trHeight w:val="341"/>
        </w:trPr>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6" w:right="2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189"/>
        </w:trPr>
        <w:tc>
          <w:tcPr>
            <w:tcW w:w="640" w:type="dxa"/>
            <w:vAlign w:val="bottom"/>
            <w:tcBorders>
              <w:top w:val="single" w:sz="8" w:color="auto"/>
              <w:lef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5"/>
          </w:tcPr>
          <w:p>
            <w:pPr>
              <w:jc w:val="center"/>
              <w:spacing w:after="0" w:line="189" w:lineRule="exact"/>
              <w:rPr>
                <w:sz w:val="20"/>
                <w:szCs w:val="20"/>
                <w:color w:val="auto"/>
              </w:rPr>
            </w:pPr>
            <w:r>
              <w:rPr>
                <w:rFonts w:ascii="Arial" w:cs="Arial" w:eastAsia="Arial" w:hAnsi="Arial"/>
                <w:sz w:val="18"/>
                <w:szCs w:val="18"/>
                <w:b w:val="1"/>
                <w:bCs w:val="1"/>
                <w:color w:val="auto"/>
                <w:w w:val="89"/>
              </w:rPr>
              <w:t>Reporting Person/</w:t>
            </w:r>
          </w:p>
        </w:tc>
        <w:tc>
          <w:tcPr>
            <w:tcW w:w="880" w:type="dxa"/>
            <w:vAlign w:val="bottom"/>
            <w:tcBorders>
              <w:top w:val="single" w:sz="8" w:color="auto"/>
              <w:right w:val="single" w:sz="8" w:color="auto"/>
            </w:tcBorders>
            <w:gridSpan w:val="3"/>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780" w:type="dxa"/>
            <w:vAlign w:val="bottom"/>
            <w:tcBorders>
              <w:top w:val="single" w:sz="8" w:color="auto"/>
              <w:right w:val="single" w:sz="8" w:color="auto"/>
            </w:tcBorders>
            <w:gridSpan w:val="4"/>
          </w:tcPr>
          <w:p>
            <w:pPr>
              <w:jc w:val="center"/>
              <w:ind w:right="360"/>
              <w:spacing w:after="0" w:line="189" w:lineRule="exact"/>
              <w:rPr>
                <w:sz w:val="20"/>
                <w:szCs w:val="20"/>
                <w:color w:val="auto"/>
              </w:rPr>
            </w:pPr>
            <w:r>
              <w:rPr>
                <w:rFonts w:ascii="Arial" w:cs="Arial" w:eastAsia="Arial" w:hAnsi="Arial"/>
                <w:sz w:val="18"/>
                <w:szCs w:val="18"/>
                <w:b w:val="1"/>
                <w:bCs w:val="1"/>
                <w:color w:val="auto"/>
                <w:w w:val="87"/>
              </w:rPr>
              <w:t>Address of</w:t>
            </w: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right w:val="single" w:sz="8" w:color="auto"/>
            </w:tcBorders>
            <w:gridSpan w:val="4"/>
          </w:tcPr>
          <w:p>
            <w:pPr>
              <w:jc w:val="center"/>
              <w:ind w:right="220"/>
              <w:spacing w:after="0" w:line="189" w:lineRule="exact"/>
              <w:rPr>
                <w:sz w:val="20"/>
                <w:szCs w:val="20"/>
                <w:color w:val="auto"/>
              </w:rPr>
            </w:pPr>
            <w:r>
              <w:rPr>
                <w:rFonts w:ascii="Arial" w:cs="Arial" w:eastAsia="Arial" w:hAnsi="Arial"/>
                <w:sz w:val="18"/>
                <w:szCs w:val="18"/>
                <w:b w:val="1"/>
                <w:bCs w:val="1"/>
                <w:color w:val="auto"/>
                <w:w w:val="90"/>
              </w:rPr>
              <w:t>Jurisdiction of</w:t>
            </w:r>
          </w:p>
        </w:tc>
        <w:tc>
          <w:tcPr>
            <w:tcW w:w="2160" w:type="dxa"/>
            <w:vAlign w:val="bottom"/>
            <w:tcBorders>
              <w:top w:val="single" w:sz="8" w:color="auto"/>
              <w:right w:val="single" w:sz="8" w:color="auto"/>
            </w:tcBorders>
            <w:gridSpan w:val="7"/>
          </w:tcPr>
          <w:p>
            <w:pPr>
              <w:jc w:val="center"/>
              <w:spacing w:after="0" w:line="189" w:lineRule="exact"/>
              <w:rPr>
                <w:sz w:val="20"/>
                <w:szCs w:val="20"/>
                <w:color w:val="auto"/>
              </w:rPr>
            </w:pPr>
            <w:r>
              <w:rPr>
                <w:rFonts w:ascii="Arial" w:cs="Arial" w:eastAsia="Arial" w:hAnsi="Arial"/>
                <w:sz w:val="18"/>
                <w:szCs w:val="18"/>
                <w:b w:val="1"/>
                <w:bCs w:val="1"/>
                <w:color w:val="auto"/>
                <w:w w:val="89"/>
              </w:rPr>
              <w:t>Name/Address of</w:t>
            </w:r>
          </w:p>
        </w:tc>
        <w:tc>
          <w:tcPr>
            <w:tcW w:w="78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Principal</w:t>
            </w:r>
          </w:p>
        </w:tc>
        <w:tc>
          <w:tcPr>
            <w:tcW w:w="40" w:type="dxa"/>
            <w:vAlign w:val="bottom"/>
          </w:tcPr>
          <w:p>
            <w:pPr>
              <w:spacing w:after="0"/>
              <w:rPr>
                <w:sz w:val="16"/>
                <w:szCs w:val="16"/>
                <w:color w:val="auto"/>
              </w:rPr>
            </w:pP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2540" w:type="dxa"/>
            <w:vAlign w:val="bottom"/>
            <w:tcBorders>
              <w:right w:val="single" w:sz="8" w:color="auto"/>
            </w:tcBorders>
            <w:gridSpan w:val="10"/>
          </w:tcPr>
          <w:p>
            <w:pPr>
              <w:jc w:val="center"/>
              <w:ind w:right="640"/>
              <w:spacing w:after="0" w:line="196" w:lineRule="exact"/>
              <w:rPr>
                <w:sz w:val="20"/>
                <w:szCs w:val="20"/>
                <w:color w:val="auto"/>
              </w:rPr>
            </w:pPr>
            <w:r>
              <w:rPr>
                <w:rFonts w:ascii="Arial" w:cs="Arial" w:eastAsia="Arial" w:hAnsi="Arial"/>
                <w:sz w:val="18"/>
                <w:szCs w:val="18"/>
                <w:b w:val="1"/>
                <w:bCs w:val="1"/>
                <w:color w:val="auto"/>
                <w:w w:val="94"/>
              </w:rPr>
              <w:t>Director/Officer/Control</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Borders>
              <w:right w:val="single" w:sz="8" w:color="auto"/>
            </w:tcBorders>
            <w:gridSpan w:val="3"/>
          </w:tcPr>
          <w:p>
            <w:pPr>
              <w:jc w:val="center"/>
              <w:ind w:right="720"/>
              <w:spacing w:after="0" w:line="196" w:lineRule="exact"/>
              <w:rPr>
                <w:sz w:val="20"/>
                <w:szCs w:val="20"/>
                <w:color w:val="auto"/>
              </w:rPr>
            </w:pPr>
            <w:r>
              <w:rPr>
                <w:rFonts w:ascii="Arial" w:cs="Arial" w:eastAsia="Arial" w:hAnsi="Arial"/>
                <w:sz w:val="18"/>
                <w:szCs w:val="18"/>
                <w:b w:val="1"/>
                <w:bCs w:val="1"/>
                <w:color w:val="auto"/>
                <w:w w:val="86"/>
              </w:rPr>
              <w:t>Principal</w:t>
            </w:r>
          </w:p>
        </w:tc>
        <w:tc>
          <w:tcPr>
            <w:tcW w:w="20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220"/>
              <w:spacing w:after="0" w:line="196" w:lineRule="exact"/>
              <w:rPr>
                <w:sz w:val="20"/>
                <w:szCs w:val="20"/>
                <w:color w:val="auto"/>
              </w:rPr>
            </w:pPr>
            <w:r>
              <w:rPr>
                <w:rFonts w:ascii="Arial" w:cs="Arial" w:eastAsia="Arial" w:hAnsi="Arial"/>
                <w:sz w:val="18"/>
                <w:szCs w:val="18"/>
                <w:b w:val="1"/>
                <w:bCs w:val="1"/>
                <w:color w:val="auto"/>
                <w:w w:val="92"/>
              </w:rPr>
              <w:t>Incorporation/</w:t>
            </w:r>
          </w:p>
        </w:tc>
        <w:tc>
          <w:tcPr>
            <w:tcW w:w="420" w:type="dxa"/>
            <w:vAlign w:val="bottom"/>
          </w:tcPr>
          <w:p>
            <w:pPr>
              <w:spacing w:after="0"/>
              <w:rPr>
                <w:sz w:val="17"/>
                <w:szCs w:val="17"/>
                <w:color w:val="auto"/>
              </w:rPr>
            </w:pPr>
          </w:p>
        </w:tc>
        <w:tc>
          <w:tcPr>
            <w:tcW w:w="1740" w:type="dxa"/>
            <w:vAlign w:val="bottom"/>
            <w:tcBorders>
              <w:right w:val="single" w:sz="8" w:color="auto"/>
            </w:tcBorders>
            <w:gridSpan w:val="6"/>
          </w:tcPr>
          <w:p>
            <w:pPr>
              <w:jc w:val="center"/>
              <w:ind w:right="440"/>
              <w:spacing w:after="0" w:line="196" w:lineRule="exact"/>
              <w:rPr>
                <w:sz w:val="20"/>
                <w:szCs w:val="20"/>
                <w:color w:val="auto"/>
              </w:rPr>
            </w:pPr>
            <w:r>
              <w:rPr>
                <w:rFonts w:ascii="Arial" w:cs="Arial" w:eastAsia="Arial" w:hAnsi="Arial"/>
                <w:sz w:val="18"/>
                <w:szCs w:val="18"/>
                <w:b w:val="1"/>
                <w:bCs w:val="1"/>
                <w:color w:val="auto"/>
                <w:w w:val="92"/>
              </w:rPr>
              <w:t>Employer and</w:t>
            </w:r>
          </w:p>
        </w:tc>
        <w:tc>
          <w:tcPr>
            <w:tcW w:w="780" w:type="dxa"/>
            <w:vAlign w:val="bottom"/>
          </w:tcPr>
          <w:p>
            <w:pPr>
              <w:spacing w:after="0"/>
              <w:rPr>
                <w:sz w:val="17"/>
                <w:szCs w:val="17"/>
                <w:color w:val="auto"/>
              </w:rPr>
            </w:pPr>
          </w:p>
        </w:tc>
        <w:tc>
          <w:tcPr>
            <w:tcW w:w="146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Business</w:t>
            </w:r>
          </w:p>
        </w:tc>
        <w:tc>
          <w:tcPr>
            <w:tcW w:w="40" w:type="dxa"/>
            <w:vAlign w:val="bottom"/>
          </w:tcPr>
          <w:p>
            <w:pPr>
              <w:spacing w:after="0"/>
              <w:rPr>
                <w:sz w:val="17"/>
                <w:szCs w:val="17"/>
                <w:color w:val="auto"/>
              </w:rPr>
            </w:pP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88"/>
              </w:rPr>
              <w:t>Person</w:t>
            </w:r>
          </w:p>
        </w:tc>
        <w:tc>
          <w:tcPr>
            <w:tcW w:w="680" w:type="dxa"/>
            <w:vAlign w:val="bottom"/>
            <w:gridSpan w:val="3"/>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Borders>
              <w:right w:val="single" w:sz="8" w:color="auto"/>
            </w:tcBorders>
            <w:gridSpan w:val="4"/>
          </w:tcPr>
          <w:p>
            <w:pPr>
              <w:jc w:val="center"/>
              <w:ind w:right="380"/>
              <w:spacing w:after="0" w:line="196" w:lineRule="exact"/>
              <w:rPr>
                <w:sz w:val="20"/>
                <w:szCs w:val="20"/>
                <w:color w:val="auto"/>
              </w:rPr>
            </w:pPr>
            <w:r>
              <w:rPr>
                <w:rFonts w:ascii="Arial" w:cs="Arial" w:eastAsia="Arial" w:hAnsi="Arial"/>
                <w:sz w:val="18"/>
                <w:szCs w:val="18"/>
                <w:b w:val="1"/>
                <w:bCs w:val="1"/>
                <w:color w:val="auto"/>
                <w:w w:val="87"/>
              </w:rPr>
              <w:t>Office/Business or</w:t>
            </w:r>
          </w:p>
        </w:tc>
        <w:tc>
          <w:tcPr>
            <w:tcW w:w="20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220"/>
              <w:spacing w:after="0" w:line="196" w:lineRule="exact"/>
              <w:rPr>
                <w:sz w:val="20"/>
                <w:szCs w:val="20"/>
                <w:color w:val="auto"/>
              </w:rPr>
            </w:pPr>
            <w:r>
              <w:rPr>
                <w:rFonts w:ascii="Arial" w:cs="Arial" w:eastAsia="Arial" w:hAnsi="Arial"/>
                <w:sz w:val="18"/>
                <w:szCs w:val="18"/>
                <w:b w:val="1"/>
                <w:bCs w:val="1"/>
                <w:color w:val="auto"/>
                <w:w w:val="91"/>
              </w:rPr>
              <w:t>Citizenship</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right w:val="single" w:sz="8" w:color="auto"/>
            </w:tcBorders>
            <w:gridSpan w:val="4"/>
          </w:tcPr>
          <w:p>
            <w:pPr>
              <w:jc w:val="center"/>
              <w:ind w:right="640"/>
              <w:spacing w:after="0" w:line="196" w:lineRule="exact"/>
              <w:rPr>
                <w:sz w:val="20"/>
                <w:szCs w:val="20"/>
                <w:color w:val="auto"/>
              </w:rPr>
            </w:pPr>
            <w:r>
              <w:rPr>
                <w:rFonts w:ascii="Arial" w:cs="Arial" w:eastAsia="Arial" w:hAnsi="Arial"/>
                <w:sz w:val="18"/>
                <w:szCs w:val="18"/>
                <w:b w:val="1"/>
                <w:bCs w:val="1"/>
                <w:color w:val="auto"/>
                <w:w w:val="90"/>
              </w:rPr>
              <w:t>Occupation</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tcBorders>
              <w:right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gridSpan w:val="7"/>
          </w:tcPr>
          <w:p>
            <w:pPr>
              <w:jc w:val="center"/>
              <w:spacing w:after="0" w:line="196" w:lineRule="exact"/>
              <w:rPr>
                <w:sz w:val="20"/>
                <w:szCs w:val="20"/>
                <w:color w:val="auto"/>
              </w:rPr>
            </w:pPr>
            <w:r>
              <w:rPr>
                <w:rFonts w:ascii="Arial" w:cs="Arial" w:eastAsia="Arial" w:hAnsi="Arial"/>
                <w:sz w:val="18"/>
                <w:szCs w:val="18"/>
                <w:b w:val="1"/>
                <w:bCs w:val="1"/>
                <w:color w:val="auto"/>
                <w:w w:val="89"/>
              </w:rPr>
              <w:t>of a Reporting Person</w:t>
            </w:r>
          </w:p>
        </w:tc>
        <w:tc>
          <w:tcPr>
            <w:tcW w:w="740" w:type="dxa"/>
            <w:vAlign w:val="bottom"/>
            <w:tcBorders>
              <w:right w:val="single" w:sz="8" w:color="auto"/>
            </w:tcBorders>
            <w:gridSpan w:val="2"/>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2"/>
              </w:rPr>
              <w:t>Residenc</w:t>
            </w:r>
          </w:p>
        </w:tc>
        <w:tc>
          <w:tcPr>
            <w:tcW w:w="720" w:type="dxa"/>
            <w:vAlign w:val="bottom"/>
            <w:tcBorders>
              <w:right w:val="single" w:sz="8" w:color="auto"/>
            </w:tcBorders>
            <w:gridSpan w:val="2"/>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Borders>
              <w:right w:val="single" w:sz="8" w:color="auto"/>
            </w:tcBorders>
            <w:gridSpan w:val="3"/>
          </w:tcPr>
          <w:p>
            <w:pPr>
              <w:jc w:val="center"/>
              <w:ind w:right="760"/>
              <w:spacing w:after="0" w:line="196" w:lineRule="exact"/>
              <w:rPr>
                <w:sz w:val="20"/>
                <w:szCs w:val="20"/>
                <w:color w:val="auto"/>
              </w:rPr>
            </w:pPr>
            <w:r>
              <w:rPr>
                <w:rFonts w:ascii="Arial" w:cs="Arial" w:eastAsia="Arial" w:hAnsi="Arial"/>
                <w:sz w:val="18"/>
                <w:szCs w:val="18"/>
                <w:b w:val="1"/>
                <w:bCs w:val="1"/>
                <w:color w:val="auto"/>
                <w:w w:val="86"/>
              </w:rPr>
              <w:t>Address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
        </w:trPr>
        <w:tc>
          <w:tcPr>
            <w:tcW w:w="64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64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15 North Fazio Way</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The Woodlands, TX</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77389 USA</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1520" w:type="dxa"/>
            <w:vAlign w:val="bottom"/>
            <w:tcBorders>
              <w:left w:val="single" w:sz="8" w:color="auto"/>
            </w:tcBorders>
            <w:gridSpan w:val="6"/>
          </w:tcPr>
          <w:p>
            <w:pPr>
              <w:ind w:left="120"/>
              <w:spacing w:after="0" w:line="195" w:lineRule="exact"/>
              <w:rPr>
                <w:sz w:val="20"/>
                <w:szCs w:val="20"/>
                <w:color w:val="auto"/>
              </w:rPr>
            </w:pPr>
            <w:r>
              <w:rPr>
                <w:rFonts w:ascii="Arial" w:cs="Arial" w:eastAsia="Arial" w:hAnsi="Arial"/>
                <w:sz w:val="18"/>
                <w:szCs w:val="18"/>
                <w:color w:val="auto"/>
              </w:rPr>
              <w:t>Michael Sotirhos</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545 Smith Ridge Road</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U.S.A.</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The Blackstone Group</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Investment and advisory</w:t>
            </w:r>
          </w:p>
        </w:tc>
        <w:tc>
          <w:tcPr>
            <w:tcW w:w="40" w:type="dxa"/>
            <w:vAlign w:val="bottom"/>
          </w:tcPr>
          <w:p>
            <w:pPr>
              <w:spacing w:after="0"/>
              <w:rPr>
                <w:sz w:val="16"/>
                <w:szCs w:val="16"/>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4"/>
              </w:rPr>
              <w:t>New Canaan, Connecticut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345 Park Avenue</w:t>
            </w:r>
          </w:p>
        </w:tc>
        <w:tc>
          <w:tcPr>
            <w:tcW w:w="22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firm</w:t>
            </w:r>
          </w:p>
        </w:tc>
        <w:tc>
          <w:tcPr>
            <w:tcW w:w="40" w:type="dxa"/>
            <w:vAlign w:val="bottom"/>
          </w:tcPr>
          <w:p>
            <w:pPr>
              <w:spacing w:after="0"/>
              <w:rPr>
                <w:sz w:val="18"/>
                <w:szCs w:val="18"/>
                <w:color w:val="auto"/>
              </w:rPr>
            </w:pPr>
          </w:p>
        </w:tc>
      </w:tr>
      <w:tr>
        <w:trPr>
          <w:trHeight w:val="230"/>
        </w:trPr>
        <w:tc>
          <w:tcPr>
            <w:tcW w:w="6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06840 USA</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NY, NY 10154 USA</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w w:val="98"/>
              </w:rPr>
              <w:t>Senior Managing Director</w:t>
            </w:r>
          </w:p>
        </w:tc>
        <w:tc>
          <w:tcPr>
            <w:tcW w:w="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3180" w:type="dxa"/>
            <w:vAlign w:val="bottom"/>
            <w:tcBorders>
              <w:left w:val="single" w:sz="8" w:color="auto"/>
              <w:right w:val="single" w:sz="8" w:color="auto"/>
            </w:tcBorders>
            <w:gridSpan w:val="11"/>
          </w:tcPr>
          <w:p>
            <w:pPr>
              <w:ind w:left="120"/>
              <w:spacing w:after="0" w:line="195" w:lineRule="exact"/>
              <w:rPr>
                <w:sz w:val="20"/>
                <w:szCs w:val="20"/>
                <w:color w:val="auto"/>
              </w:rPr>
            </w:pPr>
            <w:r>
              <w:rPr>
                <w:rFonts w:ascii="Arial" w:cs="Arial" w:eastAsia="Arial" w:hAnsi="Arial"/>
                <w:sz w:val="18"/>
                <w:szCs w:val="18"/>
                <w:color w:val="auto"/>
              </w:rPr>
              <w:t>Nikolaos Karamouzis</w:t>
            </w: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SME RemediumCap, 10</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Greece</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N/A</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N/A</w:t>
            </w:r>
          </w:p>
        </w:tc>
        <w:tc>
          <w:tcPr>
            <w:tcW w:w="40" w:type="dxa"/>
            <w:vAlign w:val="bottom"/>
          </w:tcPr>
          <w:p>
            <w:pPr>
              <w:spacing w:after="0"/>
              <w:rPr>
                <w:sz w:val="16"/>
                <w:szCs w:val="16"/>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rue Antoine Jans,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L-1820 Luxembourg,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Grand Duchy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Luxembourg</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1520" w:type="dxa"/>
            <w:vAlign w:val="bottom"/>
            <w:tcBorders>
              <w:left w:val="single" w:sz="8" w:color="auto"/>
              <w:bottom w:val="single" w:sz="8" w:color="auto"/>
            </w:tcBorders>
            <w:gridSpan w:val="6"/>
          </w:tcPr>
          <w:p>
            <w:pPr>
              <w:ind w:left="120"/>
              <w:spacing w:after="0"/>
              <w:rPr>
                <w:sz w:val="20"/>
                <w:szCs w:val="20"/>
                <w:color w:val="auto"/>
              </w:rPr>
            </w:pPr>
            <w:r>
              <w:rPr>
                <w:rFonts w:ascii="Arial" w:cs="Arial" w:eastAsia="Arial" w:hAnsi="Arial"/>
                <w:sz w:val="18"/>
                <w:szCs w:val="18"/>
                <w:b w:val="1"/>
                <w:bCs w:val="1"/>
                <w:i w:val="1"/>
                <w:iCs w:val="1"/>
                <w:color w:val="auto"/>
              </w:rPr>
              <w:t>Officers</w:t>
            </w: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1460" w:type="dxa"/>
            <w:vAlign w:val="bottom"/>
            <w:tcBorders>
              <w:left w:val="single" w:sz="8" w:color="auto"/>
              <w:right w:val="single" w:sz="8" w:color="auto"/>
            </w:tcBorders>
            <w:gridSpan w:val="5"/>
          </w:tcPr>
          <w:p>
            <w:pPr>
              <w:ind w:left="120"/>
              <w:spacing w:after="0" w:line="195" w:lineRule="exact"/>
              <w:rPr>
                <w:sz w:val="20"/>
                <w:szCs w:val="20"/>
                <w:color w:val="auto"/>
              </w:rPr>
            </w:pPr>
            <w:r>
              <w:rPr>
                <w:rFonts w:ascii="Arial" w:cs="Arial" w:eastAsia="Arial" w:hAnsi="Arial"/>
                <w:sz w:val="18"/>
                <w:szCs w:val="18"/>
                <w:color w:val="auto"/>
              </w:rPr>
              <w:t>President</w:t>
            </w:r>
          </w:p>
        </w:tc>
        <w:tc>
          <w:tcPr>
            <w:tcW w:w="60" w:type="dxa"/>
            <w:vAlign w:val="bottom"/>
          </w:tcPr>
          <w:p>
            <w:pPr>
              <w:spacing w:after="0"/>
              <w:rPr>
                <w:sz w:val="16"/>
                <w:szCs w:val="16"/>
                <w:color w:val="auto"/>
              </w:rPr>
            </w:pPr>
          </w:p>
        </w:tc>
        <w:tc>
          <w:tcPr>
            <w:tcW w:w="1660" w:type="dxa"/>
            <w:vAlign w:val="bottom"/>
            <w:tcBorders>
              <w:right w:val="single" w:sz="8" w:color="auto"/>
            </w:tcBorders>
            <w:gridSpan w:val="5"/>
          </w:tcPr>
          <w:p>
            <w:pPr>
              <w:ind w:left="20"/>
              <w:spacing w:after="0" w:line="195" w:lineRule="exact"/>
              <w:rPr>
                <w:sz w:val="20"/>
                <w:szCs w:val="20"/>
                <w:color w:val="auto"/>
              </w:rPr>
            </w:pPr>
            <w:r>
              <w:rPr>
                <w:rFonts w:ascii="Arial" w:cs="Arial" w:eastAsia="Arial" w:hAnsi="Arial"/>
                <w:sz w:val="18"/>
                <w:szCs w:val="18"/>
                <w:color w:val="auto"/>
              </w:rPr>
              <w:t>Antonios S.</w:t>
            </w: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See above</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See above</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See above</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6"/>
                <w:szCs w:val="16"/>
                <w:color w:val="auto"/>
              </w:rPr>
            </w:pPr>
          </w:p>
        </w:tc>
      </w:tr>
      <w:tr>
        <w:trPr>
          <w:trHeight w:val="230"/>
        </w:trPr>
        <w:tc>
          <w:tcPr>
            <w:tcW w:w="6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Papadimitriou</w:t>
            </w: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146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Vice President</w:t>
            </w:r>
          </w:p>
        </w:tc>
        <w:tc>
          <w:tcPr>
            <w:tcW w:w="6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Florian Marxer</w:t>
            </w: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Secretary</w:t>
            </w:r>
          </w:p>
        </w:tc>
        <w:tc>
          <w:tcPr>
            <w:tcW w:w="6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Marianna Moschou</w:t>
            </w: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195"/>
        </w:trPr>
        <w:tc>
          <w:tcPr>
            <w:tcW w:w="1460" w:type="dxa"/>
            <w:vAlign w:val="bottom"/>
            <w:tcBorders>
              <w:left w:val="single" w:sz="8" w:color="auto"/>
              <w:right w:val="single" w:sz="8" w:color="auto"/>
            </w:tcBorders>
            <w:gridSpan w:val="5"/>
          </w:tcPr>
          <w:p>
            <w:pPr>
              <w:ind w:left="120"/>
              <w:spacing w:after="0" w:line="195" w:lineRule="exact"/>
              <w:rPr>
                <w:sz w:val="20"/>
                <w:szCs w:val="20"/>
                <w:color w:val="auto"/>
              </w:rPr>
            </w:pPr>
            <w:r>
              <w:rPr>
                <w:rFonts w:ascii="Arial" w:cs="Arial" w:eastAsia="Arial" w:hAnsi="Arial"/>
                <w:sz w:val="18"/>
                <w:szCs w:val="18"/>
                <w:color w:val="auto"/>
              </w:rPr>
              <w:t>2nd Vice</w:t>
            </w:r>
          </w:p>
        </w:tc>
        <w:tc>
          <w:tcPr>
            <w:tcW w:w="60" w:type="dxa"/>
            <w:vAlign w:val="bottom"/>
          </w:tcPr>
          <w:p>
            <w:pPr>
              <w:spacing w:after="0"/>
              <w:rPr>
                <w:sz w:val="16"/>
                <w:szCs w:val="16"/>
                <w:color w:val="auto"/>
              </w:rPr>
            </w:pPr>
          </w:p>
        </w:tc>
        <w:tc>
          <w:tcPr>
            <w:tcW w:w="1660" w:type="dxa"/>
            <w:vAlign w:val="bottom"/>
            <w:tcBorders>
              <w:right w:val="single" w:sz="8" w:color="auto"/>
            </w:tcBorders>
            <w:gridSpan w:val="5"/>
          </w:tcPr>
          <w:p>
            <w:pPr>
              <w:ind w:left="20"/>
              <w:spacing w:after="0" w:line="195" w:lineRule="exact"/>
              <w:rPr>
                <w:sz w:val="20"/>
                <w:szCs w:val="20"/>
                <w:color w:val="auto"/>
              </w:rPr>
            </w:pPr>
            <w:r>
              <w:rPr>
                <w:rFonts w:ascii="Arial" w:cs="Arial" w:eastAsia="Arial" w:hAnsi="Arial"/>
                <w:sz w:val="18"/>
                <w:szCs w:val="18"/>
                <w:color w:val="auto"/>
              </w:rPr>
              <w:t>Dennis Houston</w:t>
            </w: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See above</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See above</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See above</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6"/>
                <w:szCs w:val="16"/>
                <w:color w:val="auto"/>
              </w:rPr>
            </w:pPr>
          </w:p>
        </w:tc>
      </w:tr>
      <w:tr>
        <w:trPr>
          <w:trHeight w:val="230"/>
        </w:trPr>
        <w:tc>
          <w:tcPr>
            <w:tcW w:w="146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President</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180" w:type="dxa"/>
            <w:vAlign w:val="bottom"/>
            <w:tcBorders>
              <w:left w:val="single" w:sz="8" w:color="auto"/>
              <w:right w:val="single" w:sz="8" w:color="auto"/>
            </w:tcBorders>
            <w:gridSpan w:val="11"/>
          </w:tcPr>
          <w:p>
            <w:pPr>
              <w:ind w:left="120"/>
              <w:spacing w:after="0" w:line="195" w:lineRule="exact"/>
              <w:rPr>
                <w:sz w:val="20"/>
                <w:szCs w:val="20"/>
                <w:color w:val="auto"/>
              </w:rPr>
            </w:pPr>
            <w:r>
              <w:rPr>
                <w:rFonts w:ascii="Arial" w:cs="Arial" w:eastAsia="Arial" w:hAnsi="Arial"/>
                <w:sz w:val="18"/>
                <w:szCs w:val="18"/>
                <w:color w:val="auto"/>
              </w:rPr>
              <w:t>ALEXANDER S. ONASSIS</w:t>
            </w: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Heiligkreuz 6</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Lichtenstein</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N/A</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Foundation</w:t>
            </w:r>
          </w:p>
        </w:tc>
        <w:tc>
          <w:tcPr>
            <w:tcW w:w="40" w:type="dxa"/>
            <w:vAlign w:val="bottom"/>
          </w:tcPr>
          <w:p>
            <w:pPr>
              <w:spacing w:after="0"/>
              <w:rPr>
                <w:sz w:val="16"/>
                <w:szCs w:val="16"/>
                <w:color w:val="auto"/>
              </w:rPr>
            </w:pPr>
          </w:p>
        </w:tc>
      </w:tr>
      <w:tr>
        <w:trPr>
          <w:trHeight w:val="230"/>
        </w:trPr>
        <w:tc>
          <w:tcPr>
            <w:tcW w:w="1520" w:type="dxa"/>
            <w:vAlign w:val="bottom"/>
            <w:tcBorders>
              <w:left w:val="single" w:sz="8" w:color="auto"/>
              <w:bottom w:val="single" w:sz="8" w:color="auto"/>
            </w:tcBorders>
            <w:gridSpan w:val="6"/>
          </w:tcPr>
          <w:p>
            <w:pPr>
              <w:ind w:left="120"/>
              <w:spacing w:after="0"/>
              <w:rPr>
                <w:sz w:val="20"/>
                <w:szCs w:val="20"/>
                <w:color w:val="auto"/>
              </w:rPr>
            </w:pPr>
            <w:r>
              <w:rPr>
                <w:rFonts w:ascii="Arial" w:cs="Arial" w:eastAsia="Arial" w:hAnsi="Arial"/>
                <w:sz w:val="18"/>
                <w:szCs w:val="18"/>
                <w:color w:val="auto"/>
              </w:rPr>
              <w:t>FOUNDATION</w:t>
            </w: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Vaduz, Lichtenstein</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146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b w:val="1"/>
                <w:bCs w:val="1"/>
                <w:i w:val="1"/>
                <w:iCs w:val="1"/>
                <w:color w:val="auto"/>
              </w:rPr>
              <w:t>Directors</w:t>
            </w: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180" w:type="dxa"/>
            <w:vAlign w:val="bottom"/>
            <w:tcBorders>
              <w:left w:val="single" w:sz="8" w:color="auto"/>
              <w:bottom w:val="single" w:sz="8" w:color="auto"/>
              <w:right w:val="single" w:sz="8" w:color="auto"/>
            </w:tcBorders>
            <w:gridSpan w:val="11"/>
          </w:tcPr>
          <w:p>
            <w:pPr>
              <w:ind w:left="120"/>
              <w:spacing w:after="0"/>
              <w:rPr>
                <w:sz w:val="20"/>
                <w:szCs w:val="20"/>
                <w:color w:val="auto"/>
              </w:rPr>
            </w:pPr>
            <w:r>
              <w:rPr>
                <w:rFonts w:ascii="Arial" w:cs="Arial" w:eastAsia="Arial" w:hAnsi="Arial"/>
                <w:sz w:val="18"/>
                <w:szCs w:val="18"/>
                <w:color w:val="auto"/>
              </w:rPr>
              <w:t>Antonios S. Papadimitriou</w:t>
            </w: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209"/>
        </w:trPr>
        <w:tc>
          <w:tcPr>
            <w:tcW w:w="1520" w:type="dxa"/>
            <w:vAlign w:val="bottom"/>
            <w:tcBorders>
              <w:left w:val="single" w:sz="8" w:color="auto"/>
              <w:bottom w:val="single" w:sz="8" w:color="auto"/>
            </w:tcBorders>
            <w:gridSpan w:val="6"/>
          </w:tcPr>
          <w:p>
            <w:pPr>
              <w:ind w:left="120"/>
              <w:spacing w:after="0"/>
              <w:rPr>
                <w:sz w:val="20"/>
                <w:szCs w:val="20"/>
                <w:color w:val="auto"/>
              </w:rPr>
            </w:pPr>
            <w:r>
              <w:rPr>
                <w:rFonts w:ascii="Arial" w:cs="Arial" w:eastAsia="Arial" w:hAnsi="Arial"/>
                <w:sz w:val="18"/>
                <w:szCs w:val="18"/>
                <w:color w:val="auto"/>
                <w:w w:val="96"/>
              </w:rPr>
              <w:t>Florian W. Marxer</w:t>
            </w: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210"/>
        </w:trPr>
        <w:tc>
          <w:tcPr>
            <w:tcW w:w="1520" w:type="dxa"/>
            <w:vAlign w:val="bottom"/>
            <w:tcBorders>
              <w:left w:val="single" w:sz="8" w:color="auto"/>
              <w:bottom w:val="single" w:sz="8" w:color="auto"/>
            </w:tcBorders>
            <w:gridSpan w:val="6"/>
          </w:tcPr>
          <w:p>
            <w:pPr>
              <w:ind w:left="120"/>
              <w:spacing w:after="0"/>
              <w:rPr>
                <w:sz w:val="20"/>
                <w:szCs w:val="20"/>
                <w:color w:val="auto"/>
              </w:rPr>
            </w:pPr>
            <w:r>
              <w:rPr>
                <w:rFonts w:ascii="Arial" w:cs="Arial" w:eastAsia="Arial" w:hAnsi="Arial"/>
                <w:sz w:val="18"/>
                <w:szCs w:val="18"/>
                <w:color w:val="auto"/>
                <w:w w:val="90"/>
              </w:rPr>
              <w:t>Marianna Moschou</w:t>
            </w: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195"/>
        </w:trPr>
        <w:tc>
          <w:tcPr>
            <w:tcW w:w="1520" w:type="dxa"/>
            <w:vAlign w:val="bottom"/>
            <w:tcBorders>
              <w:left w:val="single" w:sz="8" w:color="auto"/>
            </w:tcBorders>
            <w:gridSpan w:val="6"/>
          </w:tcPr>
          <w:p>
            <w:pPr>
              <w:ind w:left="120"/>
              <w:spacing w:after="0" w:line="195" w:lineRule="exact"/>
              <w:rPr>
                <w:sz w:val="20"/>
                <w:szCs w:val="20"/>
                <w:color w:val="auto"/>
              </w:rPr>
            </w:pPr>
            <w:r>
              <w:rPr>
                <w:rFonts w:ascii="Arial" w:cs="Arial" w:eastAsia="Arial" w:hAnsi="Arial"/>
                <w:sz w:val="18"/>
                <w:szCs w:val="18"/>
                <w:color w:val="auto"/>
              </w:rPr>
              <w:t>Paul Ioannidis</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Alexander S. Onassis</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Greece</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N/A</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N/A</w:t>
            </w:r>
          </w:p>
        </w:tc>
        <w:tc>
          <w:tcPr>
            <w:tcW w:w="40" w:type="dxa"/>
            <w:vAlign w:val="bottom"/>
          </w:tcPr>
          <w:p>
            <w:pPr>
              <w:spacing w:after="0"/>
              <w:rPr>
                <w:sz w:val="16"/>
                <w:szCs w:val="16"/>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Foundation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Staedtle 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FL-9490 Vaduz</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Liechtenstein</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180" w:type="dxa"/>
            <w:vAlign w:val="bottom"/>
            <w:tcBorders>
              <w:left w:val="single" w:sz="8" w:color="auto"/>
              <w:bottom w:val="single" w:sz="8" w:color="auto"/>
              <w:right w:val="single" w:sz="8" w:color="auto"/>
            </w:tcBorders>
            <w:gridSpan w:val="11"/>
          </w:tcPr>
          <w:p>
            <w:pPr>
              <w:ind w:left="120"/>
              <w:spacing w:after="0"/>
              <w:rPr>
                <w:sz w:val="20"/>
                <w:szCs w:val="20"/>
                <w:color w:val="auto"/>
              </w:rPr>
            </w:pPr>
            <w:r>
              <w:rPr>
                <w:rFonts w:ascii="Arial" w:cs="Arial" w:eastAsia="Arial" w:hAnsi="Arial"/>
                <w:sz w:val="18"/>
                <w:szCs w:val="18"/>
                <w:color w:val="auto"/>
              </w:rPr>
              <w:t>Prof. Constantinos Grammenos</w:t>
            </w: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210"/>
        </w:trPr>
        <w:tc>
          <w:tcPr>
            <w:tcW w:w="1520" w:type="dxa"/>
            <w:vAlign w:val="bottom"/>
            <w:tcBorders>
              <w:left w:val="single" w:sz="8" w:color="auto"/>
              <w:bottom w:val="single" w:sz="8" w:color="auto"/>
            </w:tcBorders>
            <w:gridSpan w:val="6"/>
          </w:tcPr>
          <w:p>
            <w:pPr>
              <w:ind w:left="120"/>
              <w:spacing w:after="0"/>
              <w:rPr>
                <w:sz w:val="20"/>
                <w:szCs w:val="20"/>
                <w:color w:val="auto"/>
              </w:rPr>
            </w:pPr>
            <w:r>
              <w:rPr>
                <w:rFonts w:ascii="Arial" w:cs="Arial" w:eastAsia="Arial" w:hAnsi="Arial"/>
                <w:sz w:val="18"/>
                <w:szCs w:val="18"/>
                <w:color w:val="auto"/>
                <w:w w:val="90"/>
              </w:rPr>
              <w:t>Stefanos Tamvakis</w:t>
            </w: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210"/>
        </w:trPr>
        <w:tc>
          <w:tcPr>
            <w:tcW w:w="3180" w:type="dxa"/>
            <w:vAlign w:val="bottom"/>
            <w:tcBorders>
              <w:left w:val="single" w:sz="8" w:color="auto"/>
              <w:bottom w:val="single" w:sz="8" w:color="auto"/>
              <w:right w:val="single" w:sz="8" w:color="auto"/>
            </w:tcBorders>
            <w:gridSpan w:val="11"/>
          </w:tcPr>
          <w:p>
            <w:pPr>
              <w:ind w:left="120"/>
              <w:spacing w:after="0"/>
              <w:rPr>
                <w:sz w:val="20"/>
                <w:szCs w:val="20"/>
                <w:color w:val="auto"/>
              </w:rPr>
            </w:pPr>
            <w:r>
              <w:rPr>
                <w:rFonts w:ascii="Arial" w:cs="Arial" w:eastAsia="Arial" w:hAnsi="Arial"/>
                <w:sz w:val="18"/>
                <w:szCs w:val="18"/>
                <w:color w:val="auto"/>
              </w:rPr>
              <w:t>Prof. Dimitrios Nanopoulos</w:t>
            </w: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Greece</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341"/>
        </w:trPr>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5" w:right="29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189"/>
        </w:trPr>
        <w:tc>
          <w:tcPr>
            <w:tcW w:w="640" w:type="dxa"/>
            <w:vAlign w:val="bottom"/>
            <w:tcBorders>
              <w:top w:val="single" w:sz="8" w:color="auto"/>
              <w:lef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4"/>
          </w:tcPr>
          <w:p>
            <w:pPr>
              <w:jc w:val="center"/>
              <w:spacing w:after="0" w:line="189" w:lineRule="exact"/>
              <w:rPr>
                <w:sz w:val="20"/>
                <w:szCs w:val="20"/>
                <w:color w:val="auto"/>
              </w:rPr>
            </w:pPr>
            <w:r>
              <w:rPr>
                <w:rFonts w:ascii="Arial" w:cs="Arial" w:eastAsia="Arial" w:hAnsi="Arial"/>
                <w:sz w:val="18"/>
                <w:szCs w:val="18"/>
                <w:b w:val="1"/>
                <w:bCs w:val="1"/>
                <w:color w:val="auto"/>
                <w:w w:val="89"/>
              </w:rPr>
              <w:t>Reporting Person/</w:t>
            </w:r>
          </w:p>
        </w:tc>
        <w:tc>
          <w:tcPr>
            <w:tcW w:w="880" w:type="dxa"/>
            <w:vAlign w:val="bottom"/>
            <w:tcBorders>
              <w:top w:val="single" w:sz="8" w:color="auto"/>
              <w:right w:val="single" w:sz="8" w:color="auto"/>
            </w:tcBorders>
            <w:gridSpan w:val="3"/>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780" w:type="dxa"/>
            <w:vAlign w:val="bottom"/>
            <w:tcBorders>
              <w:top w:val="single" w:sz="8" w:color="auto"/>
              <w:right w:val="single" w:sz="8" w:color="auto"/>
            </w:tcBorders>
            <w:gridSpan w:val="4"/>
          </w:tcPr>
          <w:p>
            <w:pPr>
              <w:jc w:val="center"/>
              <w:ind w:right="360"/>
              <w:spacing w:after="0" w:line="189" w:lineRule="exact"/>
              <w:rPr>
                <w:sz w:val="20"/>
                <w:szCs w:val="20"/>
                <w:color w:val="auto"/>
              </w:rPr>
            </w:pPr>
            <w:r>
              <w:rPr>
                <w:rFonts w:ascii="Arial" w:cs="Arial" w:eastAsia="Arial" w:hAnsi="Arial"/>
                <w:sz w:val="18"/>
                <w:szCs w:val="18"/>
                <w:b w:val="1"/>
                <w:bCs w:val="1"/>
                <w:color w:val="auto"/>
                <w:w w:val="87"/>
              </w:rPr>
              <w:t>Address of</w:t>
            </w: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right w:val="single" w:sz="8" w:color="auto"/>
            </w:tcBorders>
            <w:gridSpan w:val="4"/>
          </w:tcPr>
          <w:p>
            <w:pPr>
              <w:jc w:val="center"/>
              <w:ind w:right="220"/>
              <w:spacing w:after="0" w:line="189" w:lineRule="exact"/>
              <w:rPr>
                <w:sz w:val="20"/>
                <w:szCs w:val="20"/>
                <w:color w:val="auto"/>
              </w:rPr>
            </w:pPr>
            <w:r>
              <w:rPr>
                <w:rFonts w:ascii="Arial" w:cs="Arial" w:eastAsia="Arial" w:hAnsi="Arial"/>
                <w:sz w:val="18"/>
                <w:szCs w:val="18"/>
                <w:b w:val="1"/>
                <w:bCs w:val="1"/>
                <w:color w:val="auto"/>
                <w:w w:val="90"/>
              </w:rPr>
              <w:t>Jurisdiction of</w:t>
            </w:r>
          </w:p>
        </w:tc>
        <w:tc>
          <w:tcPr>
            <w:tcW w:w="2160" w:type="dxa"/>
            <w:vAlign w:val="bottom"/>
            <w:tcBorders>
              <w:top w:val="single" w:sz="8" w:color="auto"/>
              <w:right w:val="single" w:sz="8" w:color="auto"/>
            </w:tcBorders>
            <w:gridSpan w:val="7"/>
          </w:tcPr>
          <w:p>
            <w:pPr>
              <w:jc w:val="center"/>
              <w:spacing w:after="0" w:line="189" w:lineRule="exact"/>
              <w:rPr>
                <w:sz w:val="20"/>
                <w:szCs w:val="20"/>
                <w:color w:val="auto"/>
              </w:rPr>
            </w:pPr>
            <w:r>
              <w:rPr>
                <w:rFonts w:ascii="Arial" w:cs="Arial" w:eastAsia="Arial" w:hAnsi="Arial"/>
                <w:sz w:val="18"/>
                <w:szCs w:val="18"/>
                <w:b w:val="1"/>
                <w:bCs w:val="1"/>
                <w:color w:val="auto"/>
                <w:w w:val="89"/>
              </w:rPr>
              <w:t>Name/Address of</w:t>
            </w:r>
          </w:p>
        </w:tc>
        <w:tc>
          <w:tcPr>
            <w:tcW w:w="78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gridSpan w:val="2"/>
          </w:tcPr>
          <w:p>
            <w:pPr>
              <w:jc w:val="center"/>
              <w:ind w:right="780"/>
              <w:spacing w:after="0" w:line="189" w:lineRule="exact"/>
              <w:rPr>
                <w:sz w:val="20"/>
                <w:szCs w:val="20"/>
                <w:color w:val="auto"/>
              </w:rPr>
            </w:pPr>
            <w:r>
              <w:rPr>
                <w:rFonts w:ascii="Arial" w:cs="Arial" w:eastAsia="Arial" w:hAnsi="Arial"/>
                <w:sz w:val="18"/>
                <w:szCs w:val="18"/>
                <w:b w:val="1"/>
                <w:bCs w:val="1"/>
                <w:color w:val="auto"/>
                <w:w w:val="89"/>
              </w:rPr>
              <w:t>Principal</w:t>
            </w:r>
          </w:p>
        </w:tc>
        <w:tc>
          <w:tcPr>
            <w:tcW w:w="40" w:type="dxa"/>
            <w:vAlign w:val="bottom"/>
          </w:tcPr>
          <w:p>
            <w:pPr>
              <w:spacing w:after="0"/>
              <w:rPr>
                <w:sz w:val="16"/>
                <w:szCs w:val="16"/>
                <w:color w:val="auto"/>
              </w:rPr>
            </w:pP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2540" w:type="dxa"/>
            <w:vAlign w:val="bottom"/>
            <w:tcBorders>
              <w:right w:val="single" w:sz="8" w:color="auto"/>
            </w:tcBorders>
            <w:gridSpan w:val="9"/>
          </w:tcPr>
          <w:p>
            <w:pPr>
              <w:jc w:val="center"/>
              <w:ind w:right="640"/>
              <w:spacing w:after="0" w:line="196" w:lineRule="exact"/>
              <w:rPr>
                <w:sz w:val="20"/>
                <w:szCs w:val="20"/>
                <w:color w:val="auto"/>
              </w:rPr>
            </w:pPr>
            <w:r>
              <w:rPr>
                <w:rFonts w:ascii="Arial" w:cs="Arial" w:eastAsia="Arial" w:hAnsi="Arial"/>
                <w:sz w:val="18"/>
                <w:szCs w:val="18"/>
                <w:b w:val="1"/>
                <w:bCs w:val="1"/>
                <w:color w:val="auto"/>
                <w:w w:val="94"/>
              </w:rPr>
              <w:t>Director/Officer/Control</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Borders>
              <w:right w:val="single" w:sz="8" w:color="auto"/>
            </w:tcBorders>
            <w:gridSpan w:val="3"/>
          </w:tcPr>
          <w:p>
            <w:pPr>
              <w:jc w:val="center"/>
              <w:ind w:right="720"/>
              <w:spacing w:after="0" w:line="196" w:lineRule="exact"/>
              <w:rPr>
                <w:sz w:val="20"/>
                <w:szCs w:val="20"/>
                <w:color w:val="auto"/>
              </w:rPr>
            </w:pPr>
            <w:r>
              <w:rPr>
                <w:rFonts w:ascii="Arial" w:cs="Arial" w:eastAsia="Arial" w:hAnsi="Arial"/>
                <w:sz w:val="18"/>
                <w:szCs w:val="18"/>
                <w:b w:val="1"/>
                <w:bCs w:val="1"/>
                <w:color w:val="auto"/>
                <w:w w:val="86"/>
              </w:rPr>
              <w:t>Principal</w:t>
            </w:r>
          </w:p>
        </w:tc>
        <w:tc>
          <w:tcPr>
            <w:tcW w:w="20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220"/>
              <w:spacing w:after="0" w:line="196" w:lineRule="exact"/>
              <w:rPr>
                <w:sz w:val="20"/>
                <w:szCs w:val="20"/>
                <w:color w:val="auto"/>
              </w:rPr>
            </w:pPr>
            <w:r>
              <w:rPr>
                <w:rFonts w:ascii="Arial" w:cs="Arial" w:eastAsia="Arial" w:hAnsi="Arial"/>
                <w:sz w:val="18"/>
                <w:szCs w:val="18"/>
                <w:b w:val="1"/>
                <w:bCs w:val="1"/>
                <w:color w:val="auto"/>
                <w:w w:val="92"/>
              </w:rPr>
              <w:t>Incorporation/</w:t>
            </w:r>
          </w:p>
        </w:tc>
        <w:tc>
          <w:tcPr>
            <w:tcW w:w="420" w:type="dxa"/>
            <w:vAlign w:val="bottom"/>
          </w:tcPr>
          <w:p>
            <w:pPr>
              <w:spacing w:after="0"/>
              <w:rPr>
                <w:sz w:val="17"/>
                <w:szCs w:val="17"/>
                <w:color w:val="auto"/>
              </w:rPr>
            </w:pPr>
          </w:p>
        </w:tc>
        <w:tc>
          <w:tcPr>
            <w:tcW w:w="1740" w:type="dxa"/>
            <w:vAlign w:val="bottom"/>
            <w:tcBorders>
              <w:right w:val="single" w:sz="8" w:color="auto"/>
            </w:tcBorders>
            <w:gridSpan w:val="6"/>
          </w:tcPr>
          <w:p>
            <w:pPr>
              <w:jc w:val="center"/>
              <w:ind w:right="440"/>
              <w:spacing w:after="0" w:line="196" w:lineRule="exact"/>
              <w:rPr>
                <w:sz w:val="20"/>
                <w:szCs w:val="20"/>
                <w:color w:val="auto"/>
              </w:rPr>
            </w:pPr>
            <w:r>
              <w:rPr>
                <w:rFonts w:ascii="Arial" w:cs="Arial" w:eastAsia="Arial" w:hAnsi="Arial"/>
                <w:sz w:val="18"/>
                <w:szCs w:val="18"/>
                <w:b w:val="1"/>
                <w:bCs w:val="1"/>
                <w:color w:val="auto"/>
                <w:w w:val="92"/>
              </w:rPr>
              <w:t>Employer and</w:t>
            </w:r>
          </w:p>
        </w:tc>
        <w:tc>
          <w:tcPr>
            <w:tcW w:w="780" w:type="dxa"/>
            <w:vAlign w:val="bottom"/>
          </w:tcPr>
          <w:p>
            <w:pPr>
              <w:spacing w:after="0"/>
              <w:rPr>
                <w:sz w:val="17"/>
                <w:szCs w:val="17"/>
                <w:color w:val="auto"/>
              </w:rPr>
            </w:pPr>
          </w:p>
        </w:tc>
        <w:tc>
          <w:tcPr>
            <w:tcW w:w="1460" w:type="dxa"/>
            <w:vAlign w:val="bottom"/>
            <w:tcBorders>
              <w:right w:val="single" w:sz="8" w:color="auto"/>
            </w:tcBorders>
            <w:gridSpan w:val="2"/>
          </w:tcPr>
          <w:p>
            <w:pPr>
              <w:jc w:val="center"/>
              <w:ind w:right="800"/>
              <w:spacing w:after="0" w:line="196" w:lineRule="exact"/>
              <w:rPr>
                <w:sz w:val="20"/>
                <w:szCs w:val="20"/>
                <w:color w:val="auto"/>
              </w:rPr>
            </w:pPr>
            <w:r>
              <w:rPr>
                <w:rFonts w:ascii="Arial" w:cs="Arial" w:eastAsia="Arial" w:hAnsi="Arial"/>
                <w:sz w:val="18"/>
                <w:szCs w:val="18"/>
                <w:b w:val="1"/>
                <w:bCs w:val="1"/>
                <w:color w:val="auto"/>
                <w:w w:val="82"/>
              </w:rPr>
              <w:t>Business</w:t>
            </w:r>
          </w:p>
        </w:tc>
        <w:tc>
          <w:tcPr>
            <w:tcW w:w="40" w:type="dxa"/>
            <w:vAlign w:val="bottom"/>
          </w:tcPr>
          <w:p>
            <w:pPr>
              <w:spacing w:after="0"/>
              <w:rPr>
                <w:sz w:val="17"/>
                <w:szCs w:val="17"/>
                <w:color w:val="auto"/>
              </w:rPr>
            </w:pP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88"/>
              </w:rPr>
              <w:t>Person</w:t>
            </w:r>
          </w:p>
        </w:tc>
        <w:tc>
          <w:tcPr>
            <w:tcW w:w="680" w:type="dxa"/>
            <w:vAlign w:val="bottom"/>
            <w:gridSpan w:val="3"/>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Borders>
              <w:right w:val="single" w:sz="8" w:color="auto"/>
            </w:tcBorders>
            <w:gridSpan w:val="4"/>
          </w:tcPr>
          <w:p>
            <w:pPr>
              <w:jc w:val="center"/>
              <w:ind w:right="380"/>
              <w:spacing w:after="0" w:line="196" w:lineRule="exact"/>
              <w:rPr>
                <w:sz w:val="20"/>
                <w:szCs w:val="20"/>
                <w:color w:val="auto"/>
              </w:rPr>
            </w:pPr>
            <w:r>
              <w:rPr>
                <w:rFonts w:ascii="Arial" w:cs="Arial" w:eastAsia="Arial" w:hAnsi="Arial"/>
                <w:sz w:val="18"/>
                <w:szCs w:val="18"/>
                <w:b w:val="1"/>
                <w:bCs w:val="1"/>
                <w:color w:val="auto"/>
                <w:w w:val="87"/>
              </w:rPr>
              <w:t>Office/Business or</w:t>
            </w:r>
          </w:p>
        </w:tc>
        <w:tc>
          <w:tcPr>
            <w:tcW w:w="200" w:type="dxa"/>
            <w:vAlign w:val="bottom"/>
          </w:tcPr>
          <w:p>
            <w:pPr>
              <w:spacing w:after="0"/>
              <w:rPr>
                <w:sz w:val="17"/>
                <w:szCs w:val="17"/>
                <w:color w:val="auto"/>
              </w:rPr>
            </w:pPr>
          </w:p>
        </w:tc>
        <w:tc>
          <w:tcPr>
            <w:tcW w:w="1340" w:type="dxa"/>
            <w:vAlign w:val="bottom"/>
            <w:tcBorders>
              <w:right w:val="single" w:sz="8" w:color="auto"/>
            </w:tcBorders>
            <w:gridSpan w:val="4"/>
          </w:tcPr>
          <w:p>
            <w:pPr>
              <w:jc w:val="center"/>
              <w:ind w:right="220"/>
              <w:spacing w:after="0" w:line="196" w:lineRule="exact"/>
              <w:rPr>
                <w:sz w:val="20"/>
                <w:szCs w:val="20"/>
                <w:color w:val="auto"/>
              </w:rPr>
            </w:pPr>
            <w:r>
              <w:rPr>
                <w:rFonts w:ascii="Arial" w:cs="Arial" w:eastAsia="Arial" w:hAnsi="Arial"/>
                <w:sz w:val="18"/>
                <w:szCs w:val="18"/>
                <w:b w:val="1"/>
                <w:bCs w:val="1"/>
                <w:color w:val="auto"/>
                <w:w w:val="91"/>
              </w:rPr>
              <w:t>Citizenship</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right w:val="single" w:sz="8" w:color="auto"/>
            </w:tcBorders>
            <w:gridSpan w:val="4"/>
          </w:tcPr>
          <w:p>
            <w:pPr>
              <w:jc w:val="center"/>
              <w:ind w:right="640"/>
              <w:spacing w:after="0" w:line="196" w:lineRule="exact"/>
              <w:rPr>
                <w:sz w:val="20"/>
                <w:szCs w:val="20"/>
                <w:color w:val="auto"/>
              </w:rPr>
            </w:pPr>
            <w:r>
              <w:rPr>
                <w:rFonts w:ascii="Arial" w:cs="Arial" w:eastAsia="Arial" w:hAnsi="Arial"/>
                <w:sz w:val="18"/>
                <w:szCs w:val="18"/>
                <w:b w:val="1"/>
                <w:bCs w:val="1"/>
                <w:color w:val="auto"/>
                <w:w w:val="90"/>
              </w:rPr>
              <w:t>Occupation</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tcBorders>
              <w:right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gridSpan w:val="6"/>
          </w:tcPr>
          <w:p>
            <w:pPr>
              <w:jc w:val="center"/>
              <w:spacing w:after="0" w:line="196" w:lineRule="exact"/>
              <w:rPr>
                <w:sz w:val="20"/>
                <w:szCs w:val="20"/>
                <w:color w:val="auto"/>
              </w:rPr>
            </w:pPr>
            <w:r>
              <w:rPr>
                <w:rFonts w:ascii="Arial" w:cs="Arial" w:eastAsia="Arial" w:hAnsi="Arial"/>
                <w:sz w:val="18"/>
                <w:szCs w:val="18"/>
                <w:b w:val="1"/>
                <w:bCs w:val="1"/>
                <w:color w:val="auto"/>
                <w:w w:val="89"/>
              </w:rPr>
              <w:t>of a Reporting Person</w:t>
            </w:r>
          </w:p>
        </w:tc>
        <w:tc>
          <w:tcPr>
            <w:tcW w:w="740" w:type="dxa"/>
            <w:vAlign w:val="bottom"/>
            <w:tcBorders>
              <w:right w:val="single" w:sz="8" w:color="auto"/>
            </w:tcBorders>
            <w:gridSpan w:val="2"/>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2"/>
              </w:rPr>
              <w:t>Residenc</w:t>
            </w:r>
          </w:p>
        </w:tc>
        <w:tc>
          <w:tcPr>
            <w:tcW w:w="720" w:type="dxa"/>
            <w:vAlign w:val="bottom"/>
            <w:tcBorders>
              <w:right w:val="single" w:sz="8" w:color="auto"/>
            </w:tcBorders>
            <w:gridSpan w:val="2"/>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Borders>
              <w:right w:val="single" w:sz="8" w:color="auto"/>
            </w:tcBorders>
            <w:gridSpan w:val="3"/>
          </w:tcPr>
          <w:p>
            <w:pPr>
              <w:jc w:val="center"/>
              <w:ind w:right="760"/>
              <w:spacing w:after="0" w:line="196" w:lineRule="exact"/>
              <w:rPr>
                <w:sz w:val="20"/>
                <w:szCs w:val="20"/>
                <w:color w:val="auto"/>
              </w:rPr>
            </w:pPr>
            <w:r>
              <w:rPr>
                <w:rFonts w:ascii="Arial" w:cs="Arial" w:eastAsia="Arial" w:hAnsi="Arial"/>
                <w:sz w:val="18"/>
                <w:szCs w:val="18"/>
                <w:b w:val="1"/>
                <w:bCs w:val="1"/>
                <w:color w:val="auto"/>
                <w:w w:val="86"/>
              </w:rPr>
              <w:t>Address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
        </w:trPr>
        <w:tc>
          <w:tcPr>
            <w:tcW w:w="64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64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12-14 Pindou Str,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N/A</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N/A</w:t>
            </w:r>
          </w:p>
        </w:tc>
        <w:tc>
          <w:tcPr>
            <w:tcW w:w="40" w:type="dxa"/>
            <w:vAlign w:val="bottom"/>
          </w:tcPr>
          <w:p>
            <w:pPr>
              <w:spacing w:after="0"/>
              <w:rPr>
                <w:sz w:val="16"/>
                <w:szCs w:val="16"/>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GR11255, Athens,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Greece</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3180" w:type="dxa"/>
            <w:vAlign w:val="bottom"/>
            <w:tcBorders>
              <w:left w:val="single" w:sz="8" w:color="auto"/>
              <w:bottom w:val="single" w:sz="8" w:color="auto"/>
              <w:right w:val="single" w:sz="8" w:color="auto"/>
            </w:tcBorders>
            <w:gridSpan w:val="10"/>
          </w:tcPr>
          <w:p>
            <w:pPr>
              <w:ind w:left="120"/>
              <w:spacing w:after="0"/>
              <w:rPr>
                <w:sz w:val="20"/>
                <w:szCs w:val="20"/>
                <w:color w:val="auto"/>
              </w:rPr>
            </w:pPr>
            <w:r>
              <w:rPr>
                <w:rFonts w:ascii="Arial" w:cs="Arial" w:eastAsia="Arial" w:hAnsi="Arial"/>
                <w:sz w:val="18"/>
                <w:szCs w:val="18"/>
                <w:color w:val="auto"/>
              </w:rPr>
              <w:t>Michael Sotirhos</w:t>
            </w: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209"/>
        </w:trPr>
        <w:tc>
          <w:tcPr>
            <w:tcW w:w="1320" w:type="dxa"/>
            <w:vAlign w:val="bottom"/>
            <w:tcBorders>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color w:val="auto"/>
              </w:rPr>
              <w:t>Florian Marxer</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210"/>
        </w:trPr>
        <w:tc>
          <w:tcPr>
            <w:tcW w:w="1320" w:type="dxa"/>
            <w:vAlign w:val="bottom"/>
            <w:tcBorders>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color w:val="auto"/>
                <w:w w:val="92"/>
              </w:rPr>
              <w:t>Dennis Houston</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209"/>
        </w:trPr>
        <w:tc>
          <w:tcPr>
            <w:tcW w:w="3180" w:type="dxa"/>
            <w:vAlign w:val="bottom"/>
            <w:tcBorders>
              <w:left w:val="single" w:sz="8" w:color="auto"/>
              <w:bottom w:val="single" w:sz="8" w:color="auto"/>
              <w:right w:val="single" w:sz="8" w:color="auto"/>
            </w:tcBorders>
            <w:gridSpan w:val="10"/>
          </w:tcPr>
          <w:p>
            <w:pPr>
              <w:ind w:left="120"/>
              <w:spacing w:after="0"/>
              <w:rPr>
                <w:sz w:val="20"/>
                <w:szCs w:val="20"/>
                <w:color w:val="auto"/>
              </w:rPr>
            </w:pPr>
            <w:r>
              <w:rPr>
                <w:rFonts w:ascii="Arial" w:cs="Arial" w:eastAsia="Arial" w:hAnsi="Arial"/>
                <w:sz w:val="18"/>
                <w:szCs w:val="18"/>
                <w:color w:val="auto"/>
              </w:rPr>
              <w:t>Nikolaos Karamouzis</w:t>
            </w: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195"/>
        </w:trPr>
        <w:tc>
          <w:tcPr>
            <w:tcW w:w="1320" w:type="dxa"/>
            <w:vAlign w:val="bottom"/>
            <w:tcBorders>
              <w:lef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w w:val="93"/>
              </w:rPr>
              <w:t>Simon Critchley</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Alexander S. Onassis</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UK</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Alexander S. Onassis</w:t>
            </w: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Foundation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Foundation</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Staedtle 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Staedtle 27</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FL-9490 Vaduz</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FL-9490 Vaduz</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Liechtenstein</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Liechtenstein</w:t>
            </w: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180" w:type="dxa"/>
            <w:vAlign w:val="bottom"/>
            <w:tcBorders>
              <w:left w:val="single" w:sz="8" w:color="auto"/>
              <w:right w:val="single" w:sz="8" w:color="auto"/>
            </w:tcBorders>
            <w:gridSpan w:val="10"/>
          </w:tcPr>
          <w:p>
            <w:pPr>
              <w:ind w:left="120"/>
              <w:spacing w:after="0" w:line="195" w:lineRule="exact"/>
              <w:rPr>
                <w:sz w:val="20"/>
                <w:szCs w:val="20"/>
                <w:color w:val="auto"/>
              </w:rPr>
            </w:pPr>
            <w:r>
              <w:rPr>
                <w:rFonts w:ascii="Arial" w:cs="Arial" w:eastAsia="Arial" w:hAnsi="Arial"/>
                <w:sz w:val="18"/>
                <w:szCs w:val="18"/>
                <w:color w:val="auto"/>
              </w:rPr>
              <w:t>James George Stavridis</w:t>
            </w: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Carlyle Group,</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USA</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N/A</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N/A</w:t>
            </w:r>
          </w:p>
        </w:tc>
        <w:tc>
          <w:tcPr>
            <w:tcW w:w="40" w:type="dxa"/>
            <w:vAlign w:val="bottom"/>
          </w:tcPr>
          <w:p>
            <w:pPr>
              <w:spacing w:after="0"/>
              <w:rPr>
                <w:sz w:val="16"/>
                <w:szCs w:val="16"/>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1001 Pennsylvania</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Avenue NW,</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Washington, DC 20004-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2505, USA.</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180" w:type="dxa"/>
            <w:vAlign w:val="bottom"/>
            <w:tcBorders>
              <w:left w:val="single" w:sz="8" w:color="auto"/>
              <w:right w:val="single" w:sz="8" w:color="auto"/>
            </w:tcBorders>
            <w:gridSpan w:val="10"/>
          </w:tcPr>
          <w:p>
            <w:pPr>
              <w:ind w:left="120"/>
              <w:spacing w:after="0" w:line="195" w:lineRule="exact"/>
              <w:rPr>
                <w:sz w:val="20"/>
                <w:szCs w:val="20"/>
                <w:color w:val="auto"/>
              </w:rPr>
            </w:pPr>
            <w:r>
              <w:rPr>
                <w:rFonts w:ascii="Arial" w:cs="Arial" w:eastAsia="Arial" w:hAnsi="Arial"/>
                <w:sz w:val="18"/>
                <w:szCs w:val="18"/>
                <w:color w:val="auto"/>
              </w:rPr>
              <w:t>Karen Fran Brooks Hopkins</w:t>
            </w: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216 Garfield Pl.,</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USA</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N/A</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N/A</w:t>
            </w:r>
          </w:p>
        </w:tc>
        <w:tc>
          <w:tcPr>
            <w:tcW w:w="40" w:type="dxa"/>
            <w:vAlign w:val="bottom"/>
          </w:tcPr>
          <w:p>
            <w:pPr>
              <w:spacing w:after="0"/>
              <w:rPr>
                <w:sz w:val="16"/>
                <w:szCs w:val="16"/>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Brooklyn, NY 11215.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USA</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180" w:type="dxa"/>
            <w:vAlign w:val="bottom"/>
            <w:tcBorders>
              <w:left w:val="single" w:sz="8" w:color="auto"/>
              <w:right w:val="single" w:sz="8" w:color="auto"/>
            </w:tcBorders>
            <w:gridSpan w:val="10"/>
          </w:tcPr>
          <w:p>
            <w:pPr>
              <w:ind w:left="120"/>
              <w:spacing w:after="0" w:line="195" w:lineRule="exact"/>
              <w:rPr>
                <w:sz w:val="20"/>
                <w:szCs w:val="20"/>
                <w:color w:val="auto"/>
              </w:rPr>
            </w:pPr>
            <w:r>
              <w:rPr>
                <w:rFonts w:ascii="Arial" w:cs="Arial" w:eastAsia="Arial" w:hAnsi="Arial"/>
                <w:sz w:val="18"/>
                <w:szCs w:val="18"/>
                <w:color w:val="auto"/>
              </w:rPr>
              <w:t>Paul Bernhard Holdengraber</w:t>
            </w: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w w:val="96"/>
              </w:rPr>
              <w:t>C/o Alexander S. Onassis</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USA</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Alexander S. Onassis</w:t>
            </w: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Public Benefit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w w:val="98"/>
              </w:rPr>
              <w:t>Public Benefit Foundation</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Foundation USA</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USA</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1617 Angelus Ave,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Los Angeles, USA.</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Los Angeles, CA 90026,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USA</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1320" w:type="dxa"/>
            <w:vAlign w:val="bottom"/>
            <w:tcBorders>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i w:val="1"/>
                <w:iCs w:val="1"/>
                <w:color w:val="auto"/>
              </w:rPr>
              <w:t>Officers</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1320" w:type="dxa"/>
            <w:vAlign w:val="bottom"/>
            <w:tcBorders>
              <w:lef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rPr>
              <w:t>President /</w:t>
            </w:r>
          </w:p>
        </w:tc>
        <w:tc>
          <w:tcPr>
            <w:tcW w:w="12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Antonios S.</w:t>
            </w: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See above</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See above</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See above</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6"/>
                <w:szCs w:val="16"/>
                <w:color w:val="auto"/>
              </w:rPr>
            </w:pPr>
          </w:p>
        </w:tc>
      </w:tr>
      <w:tr>
        <w:trPr>
          <w:trHeight w:val="230"/>
        </w:trPr>
        <w:tc>
          <w:tcPr>
            <w:tcW w:w="1320" w:type="dxa"/>
            <w:vAlign w:val="bottom"/>
            <w:tcBorders>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color w:val="auto"/>
              </w:rPr>
              <w:t>Treasurer</w:t>
            </w:r>
          </w:p>
        </w:tc>
        <w:tc>
          <w:tcPr>
            <w:tcW w:w="1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Papadimitriou</w:t>
            </w: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1320" w:type="dxa"/>
            <w:vAlign w:val="bottom"/>
            <w:tcBorders>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color w:val="auto"/>
              </w:rPr>
              <w:t>Vice President</w:t>
            </w:r>
          </w:p>
        </w:tc>
        <w:tc>
          <w:tcPr>
            <w:tcW w:w="12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Florian Marxer</w:t>
            </w: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210"/>
        </w:trPr>
        <w:tc>
          <w:tcPr>
            <w:tcW w:w="1320" w:type="dxa"/>
            <w:vAlign w:val="bottom"/>
            <w:tcBorders>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color w:val="auto"/>
              </w:rPr>
              <w:t>Secretary</w:t>
            </w:r>
          </w:p>
        </w:tc>
        <w:tc>
          <w:tcPr>
            <w:tcW w:w="12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Marianna Moschou</w:t>
            </w:r>
          </w:p>
        </w:tc>
        <w:tc>
          <w:tcPr>
            <w:tcW w:w="21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See above</w:t>
            </w:r>
          </w:p>
        </w:tc>
        <w:tc>
          <w:tcPr>
            <w:tcW w:w="15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See above</w:t>
            </w:r>
          </w:p>
        </w:tc>
        <w:tc>
          <w:tcPr>
            <w:tcW w:w="21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See above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r>
      <w:tr>
        <w:trPr>
          <w:trHeight w:val="195"/>
        </w:trPr>
        <w:tc>
          <w:tcPr>
            <w:tcW w:w="1320" w:type="dxa"/>
            <w:vAlign w:val="bottom"/>
            <w:tcBorders>
              <w:left w:val="single" w:sz="8" w:color="auto"/>
            </w:tcBorders>
            <w:gridSpan w:val="4"/>
          </w:tcPr>
          <w:p>
            <w:pPr>
              <w:ind w:left="120"/>
              <w:spacing w:after="0" w:line="195" w:lineRule="exact"/>
              <w:rPr>
                <w:sz w:val="20"/>
                <w:szCs w:val="20"/>
                <w:color w:val="auto"/>
              </w:rPr>
            </w:pPr>
            <w:r>
              <w:rPr>
                <w:rFonts w:ascii="Arial" w:cs="Arial" w:eastAsia="Arial" w:hAnsi="Arial"/>
                <w:sz w:val="17"/>
                <w:szCs w:val="17"/>
                <w:color w:val="auto"/>
              </w:rPr>
              <w:t>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Vice</w:t>
            </w:r>
          </w:p>
        </w:tc>
        <w:tc>
          <w:tcPr>
            <w:tcW w:w="12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Dennis Houston</w:t>
            </w:r>
          </w:p>
        </w:tc>
        <w:tc>
          <w:tcPr>
            <w:tcW w:w="212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See above</w:t>
            </w:r>
          </w:p>
        </w:tc>
        <w:tc>
          <w:tcPr>
            <w:tcW w:w="1540" w:type="dxa"/>
            <w:vAlign w:val="bottom"/>
            <w:tcBorders>
              <w:right w:val="single" w:sz="8" w:color="auto"/>
            </w:tcBorders>
            <w:gridSpan w:val="5"/>
          </w:tcPr>
          <w:p>
            <w:pPr>
              <w:ind w:left="80"/>
              <w:spacing w:after="0" w:line="195" w:lineRule="exact"/>
              <w:rPr>
                <w:sz w:val="20"/>
                <w:szCs w:val="20"/>
                <w:color w:val="auto"/>
              </w:rPr>
            </w:pPr>
            <w:r>
              <w:rPr>
                <w:rFonts w:ascii="Arial" w:cs="Arial" w:eastAsia="Arial" w:hAnsi="Arial"/>
                <w:sz w:val="18"/>
                <w:szCs w:val="18"/>
                <w:color w:val="auto"/>
              </w:rPr>
              <w:t>See above</w:t>
            </w:r>
          </w:p>
        </w:tc>
        <w:tc>
          <w:tcPr>
            <w:tcW w:w="2160" w:type="dxa"/>
            <w:vAlign w:val="bottom"/>
            <w:tcBorders>
              <w:right w:val="single" w:sz="8" w:color="auto"/>
            </w:tcBorders>
            <w:gridSpan w:val="7"/>
          </w:tcPr>
          <w:p>
            <w:pPr>
              <w:ind w:left="100"/>
              <w:spacing w:after="0" w:line="195" w:lineRule="exact"/>
              <w:rPr>
                <w:sz w:val="20"/>
                <w:szCs w:val="20"/>
                <w:color w:val="auto"/>
              </w:rPr>
            </w:pPr>
            <w:r>
              <w:rPr>
                <w:rFonts w:ascii="Arial" w:cs="Arial" w:eastAsia="Arial" w:hAnsi="Arial"/>
                <w:sz w:val="18"/>
                <w:szCs w:val="18"/>
                <w:color w:val="auto"/>
              </w:rPr>
              <w:t>See above</w:t>
            </w:r>
          </w:p>
        </w:tc>
        <w:tc>
          <w:tcPr>
            <w:tcW w:w="224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6"/>
                <w:szCs w:val="16"/>
                <w:color w:val="auto"/>
              </w:rPr>
            </w:pPr>
          </w:p>
        </w:tc>
      </w:tr>
      <w:tr>
        <w:trPr>
          <w:trHeight w:val="230"/>
        </w:trPr>
        <w:tc>
          <w:tcPr>
            <w:tcW w:w="1320" w:type="dxa"/>
            <w:vAlign w:val="bottom"/>
            <w:tcBorders>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color w:val="auto"/>
              </w:rPr>
              <w:t>President</w:t>
            </w:r>
          </w:p>
        </w:tc>
        <w:tc>
          <w:tcPr>
            <w:tcW w:w="1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341"/>
        </w:trPr>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5"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Item 3. Source and Amount of Funds or Other Consideration</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Olympic LNG Investments Ltd. has agreed to purchase 4,000,000 shares of the Issuer’s common stock from the Issuer. On June 22, 2020, Olympic LNG Investments Ltd. entered into a stock purchase agreement, dated June 22, 2020 (the “Stock Purchase Agreement”), with the Issuer, which included customary representations and warranties. The transaction closed on June 29, 2020. The purpose of the transaction was to increase the Issuer’s liquidity and strengthen the capital structure of the Issuer. The source of funds for such purchase was available corporate funds of Olympic and capital contributions by the shareholders of Olympic.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Purpose of the Transaction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4 of the Original Schedule 13D is hereby amended by adding the following paragraphs: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Item 3 of this Amendment No. 1 summarizes certain provisions of the Stock Purchase Agreement and is incorporated herein by reference.</w:t>
      </w:r>
    </w:p>
    <w:p>
      <w:pPr>
        <w:spacing w:after="0" w:line="237"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On June 22, 2020, Olympic LNG Investments Ltd. entered into a registration rights agreement, dated June 22, 2020 (the “ Registration Rights Agreement”), with the Issuer, which provides resale registration rights for the Holders’ Registrable Securities (as defined in the Registration Rights Agreement).</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foregoing description of the Stock Purchase Agreement and Registration Rights Agreement does not purport to be complete and is qualified in its entirety by reference to the full text of the Stock Purchase Agreement and Registration Rights Agreement, which are filed as Exhibit 1 and Exhibit 2, respectively, to this Amendment No. 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Interest in Securities of the Issuer</w:t>
      </w:r>
    </w:p>
    <w:p>
      <w:pPr>
        <w:spacing w:after="0" w:line="225" w:lineRule="exact"/>
        <w:rPr>
          <w:sz w:val="20"/>
          <w:szCs w:val="20"/>
          <w:color w:val="auto"/>
        </w:rPr>
      </w:pPr>
    </w:p>
    <w:p>
      <w:pPr>
        <w:ind w:left="1300" w:right="160" w:hanging="644"/>
        <w:spacing w:after="0" w:line="277" w:lineRule="auto"/>
        <w:tabs>
          <w:tab w:leader="none" w:pos="1297"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item 9 on Cover Pages to this Amendment No. 1. Percentages are based on 95,114,166 Shares issued and outstanding as of June 29, 2020.</w:t>
      </w:r>
    </w:p>
    <w:p>
      <w:pPr>
        <w:spacing w:after="0" w:line="166" w:lineRule="exact"/>
        <w:rPr>
          <w:rFonts w:ascii="Arial" w:cs="Arial" w:eastAsia="Arial" w:hAnsi="Arial"/>
          <w:sz w:val="18"/>
          <w:szCs w:val="18"/>
          <w:color w:val="auto"/>
        </w:rPr>
      </w:pPr>
    </w:p>
    <w:p>
      <w:pPr>
        <w:ind w:left="1960" w:hanging="656"/>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Olympic LNG Investments Ltd. (“</w:t>
      </w:r>
      <w:r>
        <w:rPr>
          <w:rFonts w:ascii="Arial" w:cs="Arial" w:eastAsia="Arial" w:hAnsi="Arial"/>
          <w:sz w:val="18"/>
          <w:szCs w:val="18"/>
          <w:b w:val="1"/>
          <w:bCs w:val="1"/>
          <w:color w:val="auto"/>
        </w:rPr>
        <w:t>Olympic</w:t>
      </w:r>
      <w:r>
        <w:rPr>
          <w:rFonts w:ascii="Arial" w:cs="Arial" w:eastAsia="Arial" w:hAnsi="Arial"/>
          <w:sz w:val="18"/>
          <w:szCs w:val="18"/>
          <w:color w:val="auto"/>
        </w:rPr>
        <w:t>”) is the direct beneficial owner of 11,164,904 common shares.</w:t>
      </w:r>
    </w:p>
    <w:p>
      <w:pPr>
        <w:spacing w:after="0" w:line="225" w:lineRule="exact"/>
        <w:rPr>
          <w:rFonts w:ascii="Arial" w:cs="Arial" w:eastAsia="Arial" w:hAnsi="Arial"/>
          <w:sz w:val="18"/>
          <w:szCs w:val="18"/>
          <w:color w:val="auto"/>
        </w:rPr>
      </w:pPr>
    </w:p>
    <w:p>
      <w:pPr>
        <w:ind w:left="1960" w:right="100" w:hanging="656"/>
        <w:spacing w:after="0" w:line="266" w:lineRule="auto"/>
        <w:tabs>
          <w:tab w:leader="none" w:pos="1967" w:val="left"/>
        </w:tabs>
        <w:numPr>
          <w:ilvl w:val="1"/>
          <w:numId w:val="4"/>
        </w:numPr>
        <w:rPr>
          <w:rFonts w:ascii="Arial" w:cs="Arial" w:eastAsia="Arial" w:hAnsi="Arial"/>
          <w:sz w:val="18"/>
          <w:szCs w:val="18"/>
          <w:color w:val="auto"/>
        </w:rPr>
      </w:pPr>
      <w:r>
        <w:rPr>
          <w:rFonts w:ascii="Arial" w:cs="Arial" w:eastAsia="Arial" w:hAnsi="Arial"/>
          <w:sz w:val="18"/>
          <w:szCs w:val="18"/>
          <w:color w:val="auto"/>
        </w:rPr>
        <w:t>A.S.O. Holdings S.A. (“</w:t>
      </w:r>
      <w:r>
        <w:rPr>
          <w:rFonts w:ascii="Arial" w:cs="Arial" w:eastAsia="Arial" w:hAnsi="Arial"/>
          <w:sz w:val="18"/>
          <w:szCs w:val="18"/>
          <w:b w:val="1"/>
          <w:bCs w:val="1"/>
          <w:color w:val="auto"/>
        </w:rPr>
        <w:t>Holdings</w:t>
      </w:r>
      <w:r>
        <w:rPr>
          <w:rFonts w:ascii="Arial" w:cs="Arial" w:eastAsia="Arial" w:hAnsi="Arial"/>
          <w:sz w:val="18"/>
          <w:szCs w:val="18"/>
          <w:color w:val="auto"/>
        </w:rPr>
        <w:t>”) owns 100% of Olympic LNG Investments Ltd. Holdings does not own any Shares. By reason of Holding’s control of Olympic, Holdings may deemed to be the beneficial owner of, and to have the power to vote and dispose of, the common shares beneficially owned by Olympic.</w:t>
      </w:r>
    </w:p>
    <w:p>
      <w:pPr>
        <w:spacing w:after="0" w:line="175" w:lineRule="exact"/>
        <w:rPr>
          <w:rFonts w:ascii="Arial" w:cs="Arial" w:eastAsia="Arial" w:hAnsi="Arial"/>
          <w:sz w:val="18"/>
          <w:szCs w:val="18"/>
          <w:color w:val="auto"/>
        </w:rPr>
      </w:pPr>
    </w:p>
    <w:p>
      <w:pPr>
        <w:ind w:left="1960" w:right="120" w:hanging="656"/>
        <w:spacing w:after="0" w:line="266" w:lineRule="auto"/>
        <w:tabs>
          <w:tab w:leader="none" w:pos="1967"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Alexander S. Onassis Foundation (the “</w:t>
      </w:r>
      <w:r>
        <w:rPr>
          <w:rFonts w:ascii="Arial" w:cs="Arial" w:eastAsia="Arial" w:hAnsi="Arial"/>
          <w:sz w:val="18"/>
          <w:szCs w:val="18"/>
          <w:b w:val="1"/>
          <w:bCs w:val="1"/>
          <w:color w:val="auto"/>
        </w:rPr>
        <w:t>Foundation</w:t>
      </w:r>
      <w:r>
        <w:rPr>
          <w:rFonts w:ascii="Arial" w:cs="Arial" w:eastAsia="Arial" w:hAnsi="Arial"/>
          <w:sz w:val="18"/>
          <w:szCs w:val="18"/>
          <w:color w:val="auto"/>
        </w:rPr>
        <w:t>”) owns 100% of Holdings. The Foundation does not own any Shares. By reason of the Foundation’s control of Holdings, the Foundation may deemed to be the beneficial owner of, and to have the power to vote and dispose of, the common shares beneficially owned by Olympic.</w:t>
      </w:r>
    </w:p>
    <w:p>
      <w:pPr>
        <w:spacing w:after="0" w:line="179" w:lineRule="exact"/>
        <w:rPr>
          <w:rFonts w:ascii="Arial" w:cs="Arial" w:eastAsia="Arial" w:hAnsi="Arial"/>
          <w:sz w:val="18"/>
          <w:szCs w:val="18"/>
          <w:color w:val="auto"/>
        </w:rPr>
      </w:pPr>
    </w:p>
    <w:p>
      <w:pPr>
        <w:ind w:left="1320" w:hanging="664"/>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each Reporting Person has:</w:t>
      </w:r>
    </w:p>
    <w:p>
      <w:pPr>
        <w:spacing w:after="0" w:line="225" w:lineRule="exact"/>
        <w:rPr>
          <w:sz w:val="20"/>
          <w:szCs w:val="20"/>
          <w:color w:val="auto"/>
        </w:rPr>
      </w:pPr>
    </w:p>
    <w:p>
      <w:pPr>
        <w:ind w:left="1980" w:hanging="676"/>
        <w:spacing w:after="0"/>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7 on Cover Pages to this Amendment No. 1.</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8 on Cover Pages to this Amendment No. 1.</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item 9 on Cover Pages to this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left="1300" w:right="140" w:hanging="644"/>
        <w:spacing w:after="0" w:line="277" w:lineRule="auto"/>
        <w:tabs>
          <w:tab w:leader="none" w:pos="1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June 22, 2020, Olympic LNG Investments Ltd. purchased 4,000,000 common shares in a private placement at a price of $2.50 per share, for an aggregate purchase price of $10,000,000. The transaction closed on June 29, 2020.</w:t>
      </w:r>
    </w:p>
    <w:p>
      <w:pPr>
        <w:spacing w:after="0" w:line="170" w:lineRule="exact"/>
        <w:rPr>
          <w:sz w:val="20"/>
          <w:szCs w:val="20"/>
          <w:color w:val="auto"/>
        </w:rPr>
      </w:pPr>
    </w:p>
    <w:p>
      <w:pPr>
        <w:ind w:left="1300" w:right="500"/>
        <w:spacing w:after="0" w:line="277" w:lineRule="auto"/>
        <w:rPr>
          <w:sz w:val="20"/>
          <w:szCs w:val="20"/>
          <w:color w:val="auto"/>
        </w:rPr>
      </w:pPr>
      <w:r>
        <w:rPr>
          <w:rFonts w:ascii="Arial" w:cs="Arial" w:eastAsia="Arial" w:hAnsi="Arial"/>
          <w:sz w:val="18"/>
          <w:szCs w:val="18"/>
          <w:color w:val="auto"/>
        </w:rPr>
        <w:t>Except as described in this Item 5(c), there have been no transactions in the Shares effected during the past 60 days by any of the Reporting Persons.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Contracts, Arrangements, Understandings or Relationships with Respect to Securities of the Issuer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6 of the Original Schedule 13D is hereby amended by adding the following: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Item 3 of this Amendment No. 8 summarizes certain provisions of the Stock Purchase Agreement and is incorporated herein by reference.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Item 4 of this Amendment No. 8 summarizes certain provisions of the Registration Rights Agreement and is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7. Material to be Filed as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 Stock Purchase Agreement, dated June 22, 2020, between Olympic LNG Investments Ltd. and GasLog Ltd.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Exhibit 2 Registration Rights Agreement, dated June 22, 2020, between GasLog Ltd. and each of the several holders listed on the signature pages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1532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0"/>
          </w:cols>
          <w:pgMar w:left="320" w:top="341" w:right="49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 2020</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OLYMPIC LNG INVESTMENTS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20035" cy="600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20035" cy="600075"/>
                    </a:xfrm>
                    <a:prstGeom prst="rect">
                      <a:avLst/>
                    </a:prstGeom>
                    <a:noFill/>
                  </pic:spPr>
                </pic:pic>
              </a:graphicData>
            </a:graphic>
          </wp:anchor>
        </w:drawing>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9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By:</w:t>
            </w:r>
          </w:p>
        </w:tc>
        <w:tc>
          <w:tcPr>
            <w:tcW w:w="35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/s/  Marianna Moschou</w:t>
            </w:r>
          </w:p>
        </w:tc>
      </w:tr>
      <w:tr>
        <w:trPr>
          <w:trHeight w:val="209"/>
        </w:trPr>
        <w:tc>
          <w:tcPr>
            <w:tcW w:w="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3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Marianna Moschou</w:t>
            </w:r>
          </w:p>
        </w:tc>
      </w:tr>
      <w:tr>
        <w:trPr>
          <w:trHeight w:val="210"/>
        </w:trPr>
        <w:tc>
          <w:tcPr>
            <w:tcW w:w="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w:t>
            </w:r>
          </w:p>
        </w:tc>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Vice President</w:t>
            </w:r>
          </w:p>
        </w:tc>
      </w:tr>
      <w:tr>
        <w:trPr>
          <w:trHeight w:val="209"/>
        </w:trPr>
        <w:tc>
          <w:tcPr>
            <w:tcW w:w="90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r>
      <w:tr>
        <w:trPr>
          <w:trHeight w:val="209"/>
        </w:trPr>
        <w:tc>
          <w:tcPr>
            <w:tcW w:w="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 Michail Gialouris</w:t>
            </w:r>
          </w:p>
        </w:tc>
      </w:tr>
      <w:tr>
        <w:trPr>
          <w:trHeight w:val="210"/>
        </w:trPr>
        <w:tc>
          <w:tcPr>
            <w:tcW w:w="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3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Michail Gialouris</w:t>
            </w:r>
          </w:p>
        </w:tc>
      </w:tr>
      <w:tr>
        <w:trPr>
          <w:trHeight w:val="209"/>
        </w:trPr>
        <w:tc>
          <w:tcPr>
            <w:tcW w:w="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w:t>
            </w:r>
          </w:p>
        </w:tc>
        <w:tc>
          <w:tcPr>
            <w:tcW w:w="3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r>
      <w:tr>
        <w:trPr>
          <w:trHeight w:val="209"/>
        </w:trPr>
        <w:tc>
          <w:tcPr>
            <w:tcW w:w="4460" w:type="dxa"/>
            <w:vAlign w:val="bottom"/>
            <w:tcBorders>
              <w:bottom w:val="single" w:sz="8" w:color="auto"/>
            </w:tcBorders>
            <w:gridSpan w:val="2"/>
          </w:tcPr>
          <w:p>
            <w:pPr>
              <w:spacing w:after="0"/>
              <w:rPr>
                <w:sz w:val="18"/>
                <w:szCs w:val="18"/>
                <w:color w:val="auto"/>
              </w:rPr>
            </w:pPr>
          </w:p>
        </w:tc>
      </w:tr>
      <w:tr>
        <w:trPr>
          <w:trHeight w:val="217"/>
        </w:trPr>
        <w:tc>
          <w:tcPr>
            <w:tcW w:w="44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A.S.O. HOLDINGS S.A.</w:t>
            </w:r>
          </w:p>
        </w:tc>
      </w:tr>
      <w:tr>
        <w:trPr>
          <w:trHeight w:val="216"/>
        </w:trPr>
        <w:tc>
          <w:tcPr>
            <w:tcW w:w="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 Anthony S. Papadimitriou</w:t>
            </w:r>
          </w:p>
        </w:tc>
      </w:tr>
      <w:tr>
        <w:trPr>
          <w:trHeight w:val="210"/>
        </w:trPr>
        <w:tc>
          <w:tcPr>
            <w:tcW w:w="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3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Anthony S. Papadimitriou</w:t>
            </w:r>
          </w:p>
        </w:tc>
      </w:tr>
      <w:tr>
        <w:trPr>
          <w:trHeight w:val="209"/>
        </w:trPr>
        <w:tc>
          <w:tcPr>
            <w:tcW w:w="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w:t>
            </w:r>
          </w:p>
        </w:tc>
        <w:tc>
          <w:tcPr>
            <w:tcW w:w="3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r>
      <w:tr>
        <w:trPr>
          <w:trHeight w:val="209"/>
        </w:trPr>
        <w:tc>
          <w:tcPr>
            <w:tcW w:w="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 Marianna Moschou</w:t>
            </w:r>
          </w:p>
        </w:tc>
      </w:tr>
      <w:tr>
        <w:trPr>
          <w:trHeight w:val="210"/>
        </w:trPr>
        <w:tc>
          <w:tcPr>
            <w:tcW w:w="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3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Marianna Moschou</w:t>
            </w:r>
          </w:p>
        </w:tc>
      </w:tr>
      <w:tr>
        <w:trPr>
          <w:trHeight w:val="209"/>
        </w:trPr>
        <w:tc>
          <w:tcPr>
            <w:tcW w:w="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w:t>
            </w:r>
          </w:p>
        </w:tc>
        <w:tc>
          <w:tcPr>
            <w:tcW w:w="3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-890905</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ALEXANDER S. ONASSIS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20035" cy="600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20035" cy="600075"/>
                    </a:xfrm>
                    <a:prstGeom prst="rect">
                      <a:avLst/>
                    </a:prstGeom>
                    <a:noFill/>
                  </pic:spPr>
                </pic:pic>
              </a:graphicData>
            </a:graphic>
          </wp:anchor>
        </w:drawing>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9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By:</w:t>
            </w:r>
          </w:p>
        </w:tc>
        <w:tc>
          <w:tcPr>
            <w:tcW w:w="35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/s/ Anthony S. Papadimitriou</w:t>
            </w:r>
          </w:p>
        </w:tc>
        <w:tc>
          <w:tcPr>
            <w:tcW w:w="6820" w:type="dxa"/>
            <w:vAlign w:val="bottom"/>
          </w:tcPr>
          <w:p>
            <w:pPr>
              <w:spacing w:after="0"/>
              <w:rPr>
                <w:sz w:val="19"/>
                <w:szCs w:val="19"/>
                <w:color w:val="auto"/>
              </w:rPr>
            </w:pPr>
          </w:p>
        </w:tc>
      </w:tr>
      <w:tr>
        <w:trPr>
          <w:trHeight w:val="209"/>
        </w:trPr>
        <w:tc>
          <w:tcPr>
            <w:tcW w:w="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Anthony S. Papadimitriou</w:t>
            </w:r>
          </w:p>
        </w:tc>
        <w:tc>
          <w:tcPr>
            <w:tcW w:w="6820" w:type="dxa"/>
            <w:vAlign w:val="bottom"/>
          </w:tcPr>
          <w:p>
            <w:pPr>
              <w:spacing w:after="0"/>
              <w:rPr>
                <w:sz w:val="18"/>
                <w:szCs w:val="18"/>
                <w:color w:val="auto"/>
              </w:rPr>
            </w:pPr>
          </w:p>
        </w:tc>
      </w:tr>
      <w:tr>
        <w:trPr>
          <w:trHeight w:val="210"/>
        </w:trPr>
        <w:tc>
          <w:tcPr>
            <w:tcW w:w="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w:t>
            </w:r>
          </w:p>
        </w:tc>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6820" w:type="dxa"/>
            <w:vAlign w:val="bottom"/>
          </w:tcPr>
          <w:p>
            <w:pPr>
              <w:spacing w:after="0"/>
              <w:rPr>
                <w:sz w:val="18"/>
                <w:szCs w:val="18"/>
                <w:color w:val="auto"/>
              </w:rPr>
            </w:pPr>
          </w:p>
        </w:tc>
      </w:tr>
      <w:tr>
        <w:trPr>
          <w:trHeight w:val="209"/>
        </w:trPr>
        <w:tc>
          <w:tcPr>
            <w:tcW w:w="90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c>
          <w:tcPr>
            <w:tcW w:w="6820" w:type="dxa"/>
            <w:vAlign w:val="bottom"/>
          </w:tcPr>
          <w:p>
            <w:pPr>
              <w:spacing w:after="0"/>
              <w:rPr>
                <w:sz w:val="18"/>
                <w:szCs w:val="18"/>
                <w:color w:val="auto"/>
              </w:rPr>
            </w:pPr>
          </w:p>
        </w:tc>
      </w:tr>
      <w:tr>
        <w:trPr>
          <w:trHeight w:val="210"/>
        </w:trPr>
        <w:tc>
          <w:tcPr>
            <w:tcW w:w="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 Marianna Moschou</w:t>
            </w:r>
          </w:p>
        </w:tc>
        <w:tc>
          <w:tcPr>
            <w:tcW w:w="6820" w:type="dxa"/>
            <w:vAlign w:val="bottom"/>
          </w:tcPr>
          <w:p>
            <w:pPr>
              <w:spacing w:after="0"/>
              <w:rPr>
                <w:sz w:val="18"/>
                <w:szCs w:val="18"/>
                <w:color w:val="auto"/>
              </w:rPr>
            </w:pPr>
          </w:p>
        </w:tc>
      </w:tr>
      <w:tr>
        <w:trPr>
          <w:trHeight w:val="210"/>
        </w:trPr>
        <w:tc>
          <w:tcPr>
            <w:tcW w:w="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3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Marianna Moschou</w:t>
            </w:r>
          </w:p>
        </w:tc>
        <w:tc>
          <w:tcPr>
            <w:tcW w:w="6820" w:type="dxa"/>
            <w:vAlign w:val="bottom"/>
          </w:tcPr>
          <w:p>
            <w:pPr>
              <w:spacing w:after="0"/>
              <w:rPr>
                <w:sz w:val="18"/>
                <w:szCs w:val="18"/>
                <w:color w:val="auto"/>
              </w:rPr>
            </w:pPr>
          </w:p>
        </w:tc>
      </w:tr>
      <w:tr>
        <w:trPr>
          <w:trHeight w:val="210"/>
        </w:trPr>
        <w:tc>
          <w:tcPr>
            <w:tcW w:w="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w:t>
            </w:r>
          </w:p>
        </w:tc>
        <w:tc>
          <w:tcPr>
            <w:tcW w:w="3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6820" w:type="dxa"/>
            <w:vAlign w:val="bottom"/>
          </w:tcPr>
          <w:p>
            <w:pPr>
              <w:spacing w:after="0"/>
              <w:rPr>
                <w:sz w:val="18"/>
                <w:szCs w:val="18"/>
                <w:color w:val="auto"/>
              </w:rPr>
            </w:pPr>
          </w:p>
        </w:tc>
      </w:tr>
      <w:tr>
        <w:trPr>
          <w:trHeight w:val="341"/>
        </w:trPr>
        <w:tc>
          <w:tcPr>
            <w:tcW w:w="90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6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11" w:name="page12"/>
    <w:bookmarkEnd w:id="11"/>
    <w:p>
      <w:pPr>
        <w:ind w:left="10540"/>
        <w:spacing w:after="0"/>
        <w:rPr>
          <w:sz w:val="20"/>
          <w:szCs w:val="20"/>
          <w:color w:val="auto"/>
        </w:rPr>
      </w:pPr>
      <w:r>
        <w:rPr>
          <w:rFonts w:ascii="Arial" w:cs="Arial" w:eastAsia="Arial" w:hAnsi="Arial"/>
          <w:sz w:val="16"/>
          <w:szCs w:val="16"/>
          <w:b w:val="1"/>
          <w:bCs w:val="1"/>
          <w:color w:val="auto"/>
        </w:rPr>
        <w:t>Exhibit 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PURCHASE AGREEMENT</w:t>
      </w:r>
    </w:p>
    <w:p>
      <w:pPr>
        <w:spacing w:after="0" w:line="229"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This 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June 22, 2020, by and between GasLog Ltd., a Bermuda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purchaser named on the signature page to this Agreement (the “</w:t>
      </w:r>
      <w:r>
        <w:rPr>
          <w:rFonts w:ascii="Arial" w:cs="Arial" w:eastAsia="Arial" w:hAnsi="Arial"/>
          <w:sz w:val="18"/>
          <w:szCs w:val="18"/>
          <w:u w:val="single" w:color="auto"/>
          <w:color w:val="auto"/>
        </w:rPr>
        <w:t>Purchaser</w:t>
      </w:r>
      <w:r>
        <w:rPr>
          <w:rFonts w:ascii="Arial" w:cs="Arial" w:eastAsia="Arial" w:hAnsi="Arial"/>
          <w:sz w:val="18"/>
          <w:szCs w:val="18"/>
          <w:color w:val="auto"/>
        </w:rPr>
        <w:t>”). The Purchaser and the Company may collectively be referred to as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enter into this Agreement pursuant to which the Company will issue and sell to the Purchaser and the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will purchase from the Company certain common shares, par value $0.01 per share, of the Company (the “</w:t>
      </w:r>
      <w:r>
        <w:rPr>
          <w:rFonts w:ascii="Arial" w:cs="Arial" w:eastAsia="Arial" w:hAnsi="Arial"/>
          <w:sz w:val="18"/>
          <w:szCs w:val="18"/>
          <w:u w:val="single" w:color="auto"/>
          <w:color w:val="auto"/>
        </w:rPr>
        <w:t>Common Shares</w:t>
      </w:r>
      <w:r>
        <w:rPr>
          <w:rFonts w:ascii="Arial" w:cs="Arial" w:eastAsia="Arial" w:hAnsi="Arial"/>
          <w:sz w:val="18"/>
          <w:szCs w:val="18"/>
          <w:color w:val="auto"/>
        </w:rPr>
        <w:t>”), subject to the conditions set forth herein.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and agreements set forth in this Agreement, the Parties hereby agree as follows: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Transaction</w:t>
      </w:r>
    </w:p>
    <w:p>
      <w:pPr>
        <w:spacing w:after="0" w:line="211"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Purchase and Sale of the Common Shares</w:t>
      </w:r>
      <w:r>
        <w:rPr>
          <w:rFonts w:ascii="Arial" w:cs="Arial" w:eastAsia="Arial" w:hAnsi="Arial"/>
          <w:sz w:val="17"/>
          <w:szCs w:val="17"/>
          <w:color w:val="auto"/>
        </w:rPr>
        <w:t>. (a) On the terms of this Agreement and subject to the satisfaction of the conditions set forth in Article V, the Purchaser hereby agrees to purchase from the Company, and the Company hereby agrees to issue, sell, transfer and convey to the Purchaser 4,000,000 Common Shares (the “</w:t>
      </w:r>
      <w:r>
        <w:rPr>
          <w:rFonts w:ascii="Arial" w:cs="Arial" w:eastAsia="Arial" w:hAnsi="Arial"/>
          <w:sz w:val="17"/>
          <w:szCs w:val="17"/>
          <w:u w:val="single" w:color="auto"/>
          <w:color w:val="auto"/>
        </w:rPr>
        <w:t>Shares</w:t>
      </w:r>
      <w:r>
        <w:rPr>
          <w:rFonts w:ascii="Arial" w:cs="Arial" w:eastAsia="Arial" w:hAnsi="Arial"/>
          <w:sz w:val="17"/>
          <w:szCs w:val="17"/>
          <w:color w:val="auto"/>
        </w:rPr>
        <w:t>”). The purchase price for each Share shall be U.S.$2.50, for an aggregate purchase price of U.S.$10,000,000 (the “</w:t>
      </w:r>
      <w:r>
        <w:rPr>
          <w:rFonts w:ascii="Arial" w:cs="Arial" w:eastAsia="Arial" w:hAnsi="Arial"/>
          <w:sz w:val="17"/>
          <w:szCs w:val="17"/>
          <w:u w:val="single" w:color="auto"/>
          <w:color w:val="auto"/>
        </w:rPr>
        <w:t>Purchase Price</w:t>
      </w:r>
      <w:r>
        <w:rPr>
          <w:rFonts w:ascii="Arial" w:cs="Arial" w:eastAsia="Arial" w:hAnsi="Arial"/>
          <w:sz w:val="17"/>
          <w:szCs w:val="17"/>
          <w:color w:val="auto"/>
        </w:rPr>
        <w:t>”), to be paid to the Company in cash upon settlement on the Closing Date (as defined below). The purchase of the Shares pursuant to this Section 1.01(a) is referred to as the “</w:t>
      </w:r>
      <w:r>
        <w:rPr>
          <w:rFonts w:ascii="Arial" w:cs="Arial" w:eastAsia="Arial" w:hAnsi="Arial"/>
          <w:sz w:val="17"/>
          <w:szCs w:val="17"/>
          <w:u w:val="single" w:color="auto"/>
          <w:color w:val="auto"/>
        </w:rPr>
        <w:t>Purchase</w:t>
      </w:r>
      <w:r>
        <w:rPr>
          <w:rFonts w:ascii="Arial" w:cs="Arial" w:eastAsia="Arial" w:hAnsi="Arial"/>
          <w:sz w:val="17"/>
          <w:szCs w:val="17"/>
          <w:color w:val="auto"/>
        </w:rPr>
        <w:t>”.</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Closing</w:t>
      </w:r>
      <w:r>
        <w:rPr>
          <w:rFonts w:ascii="Arial" w:cs="Arial" w:eastAsia="Arial" w:hAnsi="Arial"/>
          <w:sz w:val="18"/>
          <w:szCs w:val="18"/>
          <w:color w:val="auto"/>
        </w:rPr>
        <w:t>. (a) On the terms of this Agreement and subject to the conditions set forth in Article V, the closing of the Purchase (the “</w:t>
      </w:r>
      <w:r>
        <w:rPr>
          <w:rFonts w:ascii="Arial" w:cs="Arial" w:eastAsia="Arial" w:hAnsi="Arial"/>
          <w:sz w:val="18"/>
          <w:szCs w:val="18"/>
          <w:u w:val="single" w:color="auto"/>
          <w:color w:val="auto"/>
        </w:rPr>
        <w:t>Closing</w:t>
      </w:r>
      <w:r>
        <w:rPr>
          <w:rFonts w:ascii="Arial" w:cs="Arial" w:eastAsia="Arial" w:hAnsi="Arial"/>
          <w:sz w:val="18"/>
          <w:szCs w:val="18"/>
          <w:color w:val="auto"/>
        </w:rPr>
        <w:t>”) shall occur on June 29, 2020, at 10:00 a.m. (New York City time) or such other time and date as shall be agreed between the Company and the Purchaser (the date on which the Closing occurs,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4" w:lineRule="exact"/>
        <w:rPr>
          <w:sz w:val="20"/>
          <w:szCs w:val="20"/>
          <w:color w:val="auto"/>
        </w:rPr>
      </w:pPr>
    </w:p>
    <w:p>
      <w:pPr>
        <w:jc w:val="both"/>
        <w:ind w:firstLine="1304"/>
        <w:spacing w:after="0" w:line="263" w:lineRule="auto"/>
        <w:tabs>
          <w:tab w:leader="none" w:pos="1602"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Closing, (i) the Company shall cause the American Stock Transfer &amp; Trust Company, LLC, the Company’s transfer agent (the “</w:t>
      </w:r>
      <w:r>
        <w:rPr>
          <w:rFonts w:ascii="Arial" w:cs="Arial" w:eastAsia="Arial" w:hAnsi="Arial"/>
          <w:sz w:val="18"/>
          <w:szCs w:val="18"/>
          <w:u w:val="single" w:color="auto"/>
          <w:color w:val="auto"/>
        </w:rPr>
        <w:t>Transfer Agent</w:t>
      </w:r>
      <w:r>
        <w:rPr>
          <w:rFonts w:ascii="Arial" w:cs="Arial" w:eastAsia="Arial" w:hAnsi="Arial"/>
          <w:sz w:val="18"/>
          <w:szCs w:val="18"/>
          <w:color w:val="auto"/>
        </w:rPr>
        <w:t>”) to deliver to the Purchaser the number of Shares set forth above and (ii) the Purchase Price for the Shares being purchased by the Purchaser will be delivered by or on behalf of the Purchaser to the Company.</w:t>
      </w:r>
    </w:p>
    <w:p>
      <w:pPr>
        <w:spacing w:after="0" w:line="179" w:lineRule="exact"/>
        <w:rPr>
          <w:rFonts w:ascii="Arial" w:cs="Arial" w:eastAsia="Arial" w:hAnsi="Arial"/>
          <w:sz w:val="18"/>
          <w:szCs w:val="18"/>
          <w:color w:val="auto"/>
        </w:rPr>
      </w:pPr>
    </w:p>
    <w:p>
      <w:pPr>
        <w:jc w:val="both"/>
        <w:ind w:firstLine="1304"/>
        <w:spacing w:after="0" w:line="277" w:lineRule="auto"/>
        <w:tabs>
          <w:tab w:leader="none" w:pos="164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Delivery of Funds</w:t>
      </w:r>
      <w:r>
        <w:rPr>
          <w:rFonts w:ascii="Arial" w:cs="Arial" w:eastAsia="Arial" w:hAnsi="Arial"/>
          <w:sz w:val="17"/>
          <w:szCs w:val="17"/>
          <w:color w:val="auto"/>
        </w:rPr>
        <w:t xml:space="preserve">. </w:t>
      </w:r>
      <w:r>
        <w:rPr>
          <w:rFonts w:ascii="Arial" w:cs="Arial" w:eastAsia="Arial" w:hAnsi="Arial"/>
          <w:sz w:val="17"/>
          <w:szCs w:val="17"/>
          <w:b w:val="1"/>
          <w:bCs w:val="1"/>
          <w:color w:val="auto"/>
        </w:rPr>
        <w:t>No later than two (2) business days after the execution of this Agreement by the Purchaser and the</w:t>
      </w:r>
      <w:r>
        <w:rPr>
          <w:rFonts w:ascii="Arial" w:cs="Arial" w:eastAsia="Arial" w:hAnsi="Arial"/>
          <w:sz w:val="17"/>
          <w:szCs w:val="17"/>
          <w:color w:val="auto"/>
        </w:rPr>
        <w:t xml:space="preserve"> </w:t>
      </w:r>
      <w:r>
        <w:rPr>
          <w:rFonts w:ascii="Arial" w:cs="Arial" w:eastAsia="Arial" w:hAnsi="Arial"/>
          <w:sz w:val="17"/>
          <w:szCs w:val="17"/>
          <w:b w:val="1"/>
          <w:bCs w:val="1"/>
          <w:color w:val="auto"/>
        </w:rPr>
        <w:t>Company</w:t>
      </w:r>
      <w:r>
        <w:rPr>
          <w:rFonts w:ascii="Arial" w:cs="Arial" w:eastAsia="Arial" w:hAnsi="Arial"/>
          <w:sz w:val="17"/>
          <w:szCs w:val="17"/>
          <w:color w:val="auto"/>
        </w:rPr>
        <w:t>, the Purchaser shall remit by wire transfer the amount of funds equal to the Purchase Price for the Shares being purchased by the Purchaser to an</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to be identified by the Company in writing to the Purchaser within one (1) business day after the execution of this Agreement. Such funds shall be held in escrow until the Closing, pursuant to escrow arrangements to be determined by the Company promptly after the execution of this Agreement. Such funds will be delivered to the Company upon the satisfaction of the conditions set forth in Article IV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1532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firstLine="1304"/>
        <w:spacing w:after="0" w:line="254" w:lineRule="auto"/>
        <w:tabs>
          <w:tab w:leader="none" w:pos="166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Delivery of Shares</w:t>
      </w:r>
      <w:r>
        <w:rPr>
          <w:rFonts w:ascii="Arial" w:cs="Arial" w:eastAsia="Arial" w:hAnsi="Arial"/>
          <w:sz w:val="18"/>
          <w:szCs w:val="18"/>
          <w:color w:val="auto"/>
        </w:rPr>
        <w:t xml:space="preserve">. </w:t>
      </w:r>
      <w:r>
        <w:rPr>
          <w:rFonts w:ascii="Arial" w:cs="Arial" w:eastAsia="Arial" w:hAnsi="Arial"/>
          <w:sz w:val="18"/>
          <w:szCs w:val="18"/>
          <w:b w:val="1"/>
          <w:bCs w:val="1"/>
          <w:color w:val="auto"/>
        </w:rPr>
        <w:t>No later than one (1) business day after the execution of this Agreement by the Purchaser and the</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 the Purchaser shall direct the broker-dealer at which the account or accounts to be credited with the Shares being purchased by the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are maintained, which broker/dealer shall be a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participant, to set up a Deposit/Withdrawal at Custodian (“</w:t>
      </w:r>
      <w:r>
        <w:rPr>
          <w:rFonts w:ascii="Arial" w:cs="Arial" w:eastAsia="Arial" w:hAnsi="Arial"/>
          <w:sz w:val="18"/>
          <w:szCs w:val="18"/>
          <w:u w:val="single" w:color="auto"/>
          <w:color w:val="auto"/>
        </w:rPr>
        <w:t>DWAC</w:t>
      </w:r>
      <w:r>
        <w:rPr>
          <w:rFonts w:ascii="Arial" w:cs="Arial" w:eastAsia="Arial" w:hAnsi="Arial"/>
          <w:sz w:val="18"/>
          <w:szCs w:val="18"/>
          <w:color w:val="auto"/>
        </w:rPr>
        <w:t>”) instructing the Transfer Agent to credit such account or accounts with the Shares by means of an electronic book-entry delivery. Such DWAC shall indicate the settlement date for the deposit of the Shares, which date shall be the Closing Date set forth above. Simultaneously with the delivery to the Company of the funds held in escrow pursuant to Section 1.02(c) above, the Company shall direct the Transfer Agent to credit the Purchaser’s account or accounts with the Shares pursuant to the information contained in the DWAC. The settlement of the Shares purchased by the Purchaser shall be by delivery by electronic book-entry at DTC, registered in the Purchaser’s name and address as set forth below, and released by the Transfer Agent, to the Purchaser at the Closing.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THE PURCHASER’S RESPONSIBILITY TO (A) MAKE THE NECESSARY WIRE TRANSFER IN A TIMELY MANNER AND</w:t>
      </w:r>
    </w:p>
    <w:p>
      <w:pPr>
        <w:spacing w:after="0" w:line="27" w:lineRule="exact"/>
        <w:rPr>
          <w:sz w:val="20"/>
          <w:szCs w:val="20"/>
          <w:color w:val="auto"/>
        </w:rPr>
      </w:pPr>
    </w:p>
    <w:p>
      <w:pPr>
        <w:ind w:right="160" w:firstLine="8"/>
        <w:spacing w:after="0" w:line="253" w:lineRule="auto"/>
        <w:tabs>
          <w:tab w:leader="none" w:pos="27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ARRANGE FOR SETTLEMENT BY WAY OF DWAC IN A TIMELY MANNER. IF THE PURCHASER DOES NOT DELIVER THE PURCHASE PRICE FOR THE SHARES OR DOES NOT MAKE PROPER ARRANGEMENTS FOR SETTLEMENT IN A TIMELY MANNER, THE SHARES MAY NOT BE DELIVERED AT CLOSING TO THE PURCHASER OR THE PURCHASER MAY BE EXCLUDED FROM THE CLOSING ALTOGETHER.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Company</w:t>
      </w:r>
    </w:p>
    <w:p>
      <w:pPr>
        <w:spacing w:after="0" w:line="21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7"/>
          <w:szCs w:val="17"/>
          <w:u w:val="single" w:color="auto"/>
          <w:color w:val="auto"/>
        </w:rPr>
        <w:t>The Company</w:t>
      </w:r>
      <w:r>
        <w:rPr>
          <w:rFonts w:ascii="Arial" w:cs="Arial" w:eastAsia="Arial" w:hAnsi="Arial"/>
          <w:sz w:val="17"/>
          <w:szCs w:val="17"/>
          <w:color w:val="auto"/>
        </w:rPr>
        <w:t>. The Company represents and warrants, as of the date hereof, and as of the Closing Date,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Purchaser, as follows:</w:t>
      </w:r>
    </w:p>
    <w:p>
      <w:pPr>
        <w:spacing w:after="0" w:line="211" w:lineRule="exact"/>
        <w:rPr>
          <w:sz w:val="20"/>
          <w:szCs w:val="20"/>
          <w:color w:val="auto"/>
        </w:rPr>
      </w:pPr>
    </w:p>
    <w:p>
      <w:pPr>
        <w:jc w:val="both"/>
        <w:ind w:firstLine="1304"/>
        <w:spacing w:after="0" w:line="263" w:lineRule="auto"/>
        <w:tabs>
          <w:tab w:leader="none" w:pos="15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as an exempted company with limited liability under the laws of Bermuda in good standing, and has the necessary Company power and authority to execute and deliver, and, subject to the terms and conditions hereof, to perform its obligations under, this Agreement.</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6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Shares have been duly authorized for issuance and sale to the Purchaser pursuant to this Agreement and, when issued and delivered by the Company pursuant to this Agreement against payment of the Purchase Price, will be validly issued and fully paid and nonassessable and issued in compliance with all applicable federal and state securities laws, and such shares were not, or will not be, issued in violation of any purchase option, call option, preemptive right, resale right, subscription right, right of first refusal or similar right.</w:t>
      </w:r>
    </w:p>
    <w:p>
      <w:pPr>
        <w:spacing w:after="0" w:line="186" w:lineRule="exact"/>
        <w:rPr>
          <w:rFonts w:ascii="Arial" w:cs="Arial" w:eastAsia="Arial" w:hAnsi="Arial"/>
          <w:sz w:val="18"/>
          <w:szCs w:val="18"/>
          <w:color w:val="auto"/>
        </w:rPr>
      </w:pPr>
    </w:p>
    <w:p>
      <w:pPr>
        <w:jc w:val="both"/>
        <w:ind w:firstLine="1304"/>
        <w:spacing w:after="0" w:line="255" w:lineRule="auto"/>
        <w:tabs>
          <w:tab w:leader="none" w:pos="1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taken all action as may be necessary for the authorization, execution and delivery of this Agreement, the consummation of the transactions contemplated in this Agreement and the performance of its obligations under this Agreement. This Agreement constitutes legal, valid and binding obligations of the Company, enforceable against the Company in accordance with its terms, subject to bankruptcy, insolvency, moratorium, receivership, reorganization, liquidation and other similar laws relating to or affecting the rights and remedies of creditors generally from time to time in effect and to principles of equity (including concepts of materiality, reasonableness, good faith and fair dealing), regardless of whether considered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1532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Purchaser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The Purchaser</w:t>
      </w:r>
      <w:r>
        <w:rPr>
          <w:rFonts w:ascii="Arial" w:cs="Arial" w:eastAsia="Arial" w:hAnsi="Arial"/>
          <w:sz w:val="16"/>
          <w:szCs w:val="16"/>
          <w:color w:val="auto"/>
        </w:rPr>
        <w:t>. The Purchaser, as of the date hereof, and as of the Closing Date, represents and warrants to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11" w:lineRule="exact"/>
        <w:rPr>
          <w:sz w:val="20"/>
          <w:szCs w:val="20"/>
          <w:color w:val="auto"/>
        </w:rPr>
      </w:pPr>
    </w:p>
    <w:p>
      <w:pPr>
        <w:jc w:val="both"/>
        <w:ind w:right="20" w:firstLine="1304"/>
        <w:spacing w:after="0" w:line="263" w:lineRule="auto"/>
        <w:tabs>
          <w:tab w:leader="none" w:pos="15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Purchaser has such knowledge and experience in financial and business matters so as to be capable of evaluating the merits and risks of an investment in the Shares and has made its own independent investigation and appraisal of the business, results, financial condition, prospectus, creditworthiness, status and affairs of the Company.</w:t>
      </w:r>
    </w:p>
    <w:p>
      <w:pPr>
        <w:spacing w:after="0" w:line="183" w:lineRule="exact"/>
        <w:rPr>
          <w:rFonts w:ascii="Arial" w:cs="Arial" w:eastAsia="Arial" w:hAnsi="Arial"/>
          <w:sz w:val="18"/>
          <w:szCs w:val="18"/>
          <w:color w:val="auto"/>
        </w:rPr>
      </w:pPr>
    </w:p>
    <w:p>
      <w:pPr>
        <w:jc w:val="both"/>
        <w:ind w:firstLine="1304"/>
        <w:spacing w:after="0" w:line="273" w:lineRule="auto"/>
        <w:tabs>
          <w:tab w:leader="none" w:pos="160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Purchaser is an “Accredited Investor” as defined in Rule 501(a) promulgated under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is acquiring the Shares for its own account, and not with a view to any distribution, resale, subdivision or fractionalization thereof in violation of the Securities Act or any other applicable domestic or foreign securities law, and the Purchaser has no present plans to enter into any contract, undertaking, agreement or arrangement for any such distribution, resale, subdivision or fractionalization of the Shares in violation of the Securities Act or any other applicable domestic or foreign securities law, without prejudice, however, to the Purchaser’s right at all times to sell or otherwise dispose of all or any part of the Shares in compliance with applicable U.S. federal and state securities law.</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1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Purchaser has all requisite corporate or other power and authority to execute, deliver and perform its obligations under this Agreement; and all action required to be taken for the due and proper authorization, execution and delivery of this Agreement has been duly and validly taken.</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6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Agreement constitutes legal, valid and binding obligations of the Purchaser, enforceable against the Purchaser in accordance with its terms, subject to bankruptcy, insolvency, moratorium, and other similar laws relating to or affecting the rights and remedies of creditors generally from time to time in effect and to principles of equity (including concepts of materiality, reasonableness, good faith and fair dealing), regardless of whether considered in a proceeding in equity or at law.</w:t>
      </w:r>
    </w:p>
    <w:p>
      <w:pPr>
        <w:spacing w:after="0" w:line="186" w:lineRule="exact"/>
        <w:rPr>
          <w:rFonts w:ascii="Arial" w:cs="Arial" w:eastAsia="Arial" w:hAnsi="Arial"/>
          <w:sz w:val="18"/>
          <w:szCs w:val="18"/>
          <w:color w:val="auto"/>
        </w:rPr>
      </w:pPr>
    </w:p>
    <w:p>
      <w:pPr>
        <w:jc w:val="both"/>
        <w:ind w:firstLine="1304"/>
        <w:spacing w:after="0" w:line="253" w:lineRule="auto"/>
        <w:tabs>
          <w:tab w:leader="none" w:pos="16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Since the date on which the Company or any of its officers, directors or affiliates first contacted the Purchaser regarding the transactions contemplated by this Agreement, Purchaser has not, directly or indirectly, engaged in any transactions in the securities of the Company (including any Short Sales (as defined below) involving the Company’s securities) and has not violated any obligations of confidentiality to the Company. The Purchaser agrees that it will not use any of the Shares acquired pursuant to this Agreement to cover any short position in the Common Shares if doing so would be in violation of applicable securities laws. For purposes hereof, “Short Sales” include all “short sales” as defined in Rule 200 promulgated under Regulation SHO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whether or not against the box, and all types of direct and indirect stock pledges, forward sales contracts, options, puts, calls, short sales, swaps, “put equivalent positions” (as defined in Rule 16a-1(h) under the Exchange Act) and similar arrangements (including on a total return basis), and sales and other transactions through non-U.S. broker dealers or foreign regulated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1532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both"/>
        <w:ind w:right="20" w:firstLine="1304"/>
        <w:spacing w:after="0" w:line="286" w:lineRule="auto"/>
        <w:tabs>
          <w:tab w:leader="none" w:pos="1686"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Without derogating from or limiting the representations and warranties of the Company, the Purchaser (i) is not relying on the Company for any legal, tax, investment, accounting or regulatory advice; (ii) has consulted with its own advisors concerning such matters; and (iii) shall be responsible for making its own independent investigation and appraisal of the transactions contemplated in this Agreement.</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16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Purchaser acknowledges that the Shares have not been registered under the Securities Act, or the securities laws of any state and may not be sold except pursuant to an effective registration statement under the Securities Act or pursuant to an exemption from registration under the Securities Act.</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159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Purchaser acknowledges that (i) there is no minimum offering amount, and (ii) the Purchaser’s obligations under this Agreement, including the obligation to purchase Shares, are expressly not conditioned on the purchase by any other purchasers of the Common Shares that they have agreed to purchase from the Company or the sale by the Company of any specified aggregate number of Common Shares.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w:t>
      </w:r>
    </w:p>
    <w:p>
      <w:pPr>
        <w:spacing w:after="0" w:line="211"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Conditions</w:t>
      </w:r>
      <w:r>
        <w:rPr>
          <w:rFonts w:ascii="Arial" w:cs="Arial" w:eastAsia="Arial" w:hAnsi="Arial"/>
          <w:sz w:val="18"/>
          <w:szCs w:val="18"/>
          <w:color w:val="auto"/>
        </w:rPr>
        <w:t>. The obligations of each Party to effect the Closing shall be further subject to the satisfaction, on or prior to the Closing Date of the following conditions:</w:t>
      </w:r>
    </w:p>
    <w:p>
      <w:pPr>
        <w:spacing w:after="0" w:line="170" w:lineRule="exact"/>
        <w:rPr>
          <w:sz w:val="20"/>
          <w:szCs w:val="20"/>
          <w:color w:val="auto"/>
        </w:rPr>
      </w:pPr>
    </w:p>
    <w:p>
      <w:pPr>
        <w:jc w:val="both"/>
        <w:ind w:firstLine="1304"/>
        <w:spacing w:after="0" w:line="259" w:lineRule="auto"/>
        <w:tabs>
          <w:tab w:leader="none" w:pos="16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obligation to issue and sell the Shares to the Purchaser on the Closing Date as set forth in this Agreement shall be subject to satisfaction (or waiver by the Company) of the following conditions: (i) the Purchaser shall have performed its covenants and other obligations hereunder in all material respects and (ii) the Purchaser’s representations and warranties set forth in this Agreement shall be true and correct in all material respects on and as of the Closing Date.</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Purchaser’s obligation to purchase the Shares on the Closing Date as set forth in this Agreement shall be subject to the satisfaction (or waiver by Purchaser) of the following conditions: (i) the Company shall have performed its covenants and other obligations hereunder in all material respects and (ii) the Company’s representations and warranties set forth in this Agreement shall be true and correct in all material respects on and as of the Closing Date.</w:t>
      </w:r>
    </w:p>
    <w:p>
      <w:pPr>
        <w:spacing w:after="0" w:line="18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Confirmation of Sale</w:t>
      </w:r>
      <w:r>
        <w:rPr>
          <w:rFonts w:ascii="Arial" w:cs="Arial" w:eastAsia="Arial" w:hAnsi="Arial"/>
          <w:sz w:val="18"/>
          <w:szCs w:val="18"/>
          <w:color w:val="auto"/>
        </w:rPr>
        <w:t>. The Purchaser acknowledges and agrees that the Purchaser’s receipt of the Company’s executed counterpart to this Agreement, together with the Prospectus Supplement (or the filing by the Company of an electronic version thereof with the SEC), shall constitute written confirmation of the Company’s sale of Shares to the Purchaser.</w:t>
      </w:r>
    </w:p>
    <w:p>
      <w:pPr>
        <w:sectPr>
          <w:pgSz w:w="11900" w:h="16838" w:orient="portrait"/>
          <w:cols w:equalWidth="0" w:num="1">
            <w:col w:w="11240"/>
          </w:cols>
          <w:pgMar w:left="320" w:top="341" w:right="339" w:bottom="1440" w:gutter="0" w:footer="0" w:header="0"/>
        </w:sectPr>
      </w:pPr>
    </w:p>
    <w:bookmarkStart w:id="15" w:name="page16"/>
    <w:bookmarkEnd w:id="15"/>
    <w:p>
      <w:pPr>
        <w:jc w:val="both"/>
        <w:ind w:firstLine="1296"/>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Tax Documents</w:t>
      </w:r>
      <w:r>
        <w:rPr>
          <w:rFonts w:ascii="Arial" w:cs="Arial" w:eastAsia="Arial" w:hAnsi="Arial"/>
          <w:sz w:val="18"/>
          <w:szCs w:val="18"/>
          <w:color w:val="auto"/>
        </w:rPr>
        <w:t>. The Purchaser shall furnish the Company with a completed IRS Form W-9 (or, if the Purchaser is not a United States citizen or resident, an applicable IRS Form W-8).</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part or parts of this Agreement shall be held unenforceable for any reason, the remainder of this Agreement shall continue in full force and effect. If any provision of this Agreement is deemed invalid or unenforceable by any court of competent jurisdiction, and if limiting such provision would make the provision valid, then such provision shall be deemed to be construed as so limited.</w:t>
      </w:r>
    </w:p>
    <w:p>
      <w:pPr>
        <w:spacing w:after="0" w:line="16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Binding Effect; Beneficiaries</w:t>
      </w:r>
      <w:r>
        <w:rPr>
          <w:rFonts w:ascii="Arial" w:cs="Arial" w:eastAsia="Arial" w:hAnsi="Arial"/>
          <w:sz w:val="17"/>
          <w:szCs w:val="17"/>
          <w:color w:val="auto"/>
        </w:rPr>
        <w:t>. This Agreement shall apply to and bind the Parties and their respective heirs, legal representatives, successors and permitted assigns. Nothing in this Agreement is intended or shall be constructed to give any other person any legal or equitable right, remedy or claim under or in respect of this Agreement or any provision contained herein. No purchaser of Common Shares, including the Shares, from the Purchaser shall be deemed to be a successor merely by reason of such purchase. This Agreement may not be assigned by any Party without the prior written consent of the other Party and any purported assignment without such consent shall be void.</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Broker’s Fees</w:t>
      </w:r>
      <w:r>
        <w:rPr>
          <w:rFonts w:ascii="Arial" w:cs="Arial" w:eastAsia="Arial" w:hAnsi="Arial"/>
          <w:sz w:val="18"/>
          <w:szCs w:val="18"/>
          <w:color w:val="auto"/>
        </w:rPr>
        <w:t>. Except pursuant to the engagement by the Company of the Placement Agent with respect to the Shares, the Parties severally represent that there has been no act in connection with the transactions contemplated in this Agreement that would give rise to a valid claim against either party for a broker’s fee, finder’s fee or other similar payment. Each Party shall pay any and all expenses incurred by such Party incident to this Agreement and the consummation of the sale and purchase of the Shares.</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and supersedes any prior understanding or representation of any kind preceding the date of this Agreement. There are no other promises, conditions, understandings or other agreements, whether oral or written, relating to the subject matter of this Agreement. This Agreement may only be modified or amended in a writing signed by both the Company and Purchaser.</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Survival</w:t>
      </w:r>
      <w:r>
        <w:rPr>
          <w:rFonts w:ascii="Arial" w:cs="Arial" w:eastAsia="Arial" w:hAnsi="Arial"/>
          <w:sz w:val="18"/>
          <w:szCs w:val="18"/>
          <w:color w:val="auto"/>
        </w:rPr>
        <w:t>. The respective representations and warranties and agreements of the Company and the Purchaser contained in this Agreement shall survive the delivery of and payment for the Shares and shall remain in full force and effect, regardless of any termination of this Agreement or any investigation made by or on behalf of the Company or the Purchaser.</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Agreement are for convenience and do not constitute a part of this Agreement.</w:t>
      </w:r>
    </w:p>
    <w:p>
      <w:pPr>
        <w:spacing w:after="0" w:line="23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laws of the State of New York, without reference to its choice of law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ind w:firstLine="1296"/>
        <w:spacing w:after="0" w:line="342"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agree to execute and deliver, or cause to be executed and delivered, such further instruments or documents or take such other action as may be reasonably necessary or convenient to carry out the transactions contemplated hereby.</w:t>
      </w:r>
    </w:p>
    <w:p>
      <w:pPr>
        <w:spacing w:after="0" w:line="12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taken together shall constitute one and the same instrument.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Electronic Signatures</w:t>
      </w:r>
      <w:r>
        <w:rPr>
          <w:rFonts w:ascii="Arial" w:cs="Arial" w:eastAsia="Arial" w:hAnsi="Arial"/>
          <w:sz w:val="18"/>
          <w:szCs w:val="18"/>
          <w:color w:val="auto"/>
        </w:rPr>
        <w:t>. Any electronic signature hereof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IN WITNESS WHEREOF, the undersigned have executed this Stock Purchase Agreement as of the day and year first above written.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OLYMPIC LNG INVESTMENTS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584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Marianna Moschou</w:t>
            </w:r>
          </w:p>
        </w:tc>
        <w:tc>
          <w:tcPr>
            <w:tcW w:w="40" w:type="dxa"/>
            <w:vAlign w:val="bottom"/>
          </w:tcPr>
          <w:p>
            <w:pPr>
              <w:spacing w:after="0"/>
              <w:rPr>
                <w:sz w:val="20"/>
                <w:szCs w:val="20"/>
                <w:color w:val="auto"/>
              </w:rPr>
            </w:pPr>
          </w:p>
        </w:tc>
      </w:tr>
      <w:tr>
        <w:trPr>
          <w:trHeight w:val="224"/>
        </w:trPr>
        <w:tc>
          <w:tcPr>
            <w:tcW w:w="64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Name: Vice-President</w:t>
            </w:r>
          </w:p>
        </w:tc>
        <w:tc>
          <w:tcPr>
            <w:tcW w:w="40" w:type="dxa"/>
            <w:vAlign w:val="bottom"/>
          </w:tcPr>
          <w:p>
            <w:pPr>
              <w:spacing w:after="0"/>
              <w:rPr>
                <w:sz w:val="19"/>
                <w:szCs w:val="19"/>
                <w:color w:val="auto"/>
              </w:rPr>
            </w:pPr>
          </w:p>
        </w:tc>
      </w:tr>
      <w:tr>
        <w:trPr>
          <w:trHeight w:val="418"/>
        </w:trPr>
        <w:tc>
          <w:tcPr>
            <w:tcW w:w="6420" w:type="dxa"/>
            <w:vAlign w:val="bottom"/>
          </w:tcPr>
          <w:p>
            <w:pPr>
              <w:ind w:left="584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Michail Gialouris</w:t>
            </w:r>
          </w:p>
        </w:tc>
        <w:tc>
          <w:tcPr>
            <w:tcW w:w="40" w:type="dxa"/>
            <w:vAlign w:val="bottom"/>
          </w:tcPr>
          <w:p>
            <w:pPr>
              <w:spacing w:after="0"/>
              <w:rPr>
                <w:sz w:val="24"/>
                <w:szCs w:val="24"/>
                <w:color w:val="auto"/>
              </w:rPr>
            </w:pPr>
          </w:p>
        </w:tc>
      </w:tr>
      <w:tr>
        <w:trPr>
          <w:trHeight w:val="210"/>
        </w:trPr>
        <w:tc>
          <w:tcPr>
            <w:tcW w:w="6420" w:type="dxa"/>
            <w:vAlign w:val="bottom"/>
          </w:tcPr>
          <w:p>
            <w:pPr>
              <w:spacing w:after="0"/>
              <w:rPr>
                <w:sz w:val="18"/>
                <w:szCs w:val="18"/>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 Treasurer/Director</w:t>
            </w:r>
          </w:p>
        </w:tc>
        <w:tc>
          <w:tcPr>
            <w:tcW w:w="40" w:type="dxa"/>
            <w:vAlign w:val="bottom"/>
          </w:tcPr>
          <w:p>
            <w:pPr>
              <w:spacing w:after="0"/>
              <w:rPr>
                <w:sz w:val="18"/>
                <w:szCs w:val="18"/>
                <w:color w:val="auto"/>
              </w:rPr>
            </w:pPr>
          </w:p>
        </w:tc>
      </w:tr>
      <w:tr>
        <w:trPr>
          <w:trHeight w:val="341"/>
        </w:trPr>
        <w:tc>
          <w:tcPr>
            <w:tcW w:w="642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IN WITNESS WHEREOF, the undersigned have executed this Stock Purchase Agreement as of the day and year first above written.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ind w:left="58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Wogan</w:t>
            </w:r>
          </w:p>
        </w:tc>
        <w:tc>
          <w:tcPr>
            <w:tcW w:w="40" w:type="dxa"/>
            <w:vAlign w:val="bottom"/>
          </w:tcPr>
          <w:p>
            <w:pPr>
              <w:spacing w:after="0"/>
              <w:rPr>
                <w:sz w:val="20"/>
                <w:szCs w:val="20"/>
                <w:color w:val="auto"/>
              </w:rPr>
            </w:pPr>
          </w:p>
        </w:tc>
      </w:tr>
      <w:tr>
        <w:trPr>
          <w:trHeight w:val="195"/>
        </w:trPr>
        <w:tc>
          <w:tcPr>
            <w:tcW w:w="644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Name: Paul Wogan</w:t>
            </w:r>
          </w:p>
        </w:tc>
        <w:tc>
          <w:tcPr>
            <w:tcW w:w="40" w:type="dxa"/>
            <w:vAlign w:val="bottom"/>
          </w:tcPr>
          <w:p>
            <w:pPr>
              <w:spacing w:after="0"/>
              <w:rPr>
                <w:sz w:val="16"/>
                <w:szCs w:val="16"/>
                <w:color w:val="auto"/>
              </w:rPr>
            </w:pPr>
          </w:p>
        </w:tc>
      </w:tr>
      <w:tr>
        <w:trPr>
          <w:trHeight w:val="230"/>
        </w:trPr>
        <w:tc>
          <w:tcPr>
            <w:tcW w:w="64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Title: CEO &amp; Director</w:t>
            </w:r>
          </w:p>
        </w:tc>
        <w:tc>
          <w:tcPr>
            <w:tcW w:w="40" w:type="dxa"/>
            <w:vAlign w:val="bottom"/>
          </w:tcPr>
          <w:p>
            <w:pPr>
              <w:spacing w:after="0"/>
              <w:rPr>
                <w:sz w:val="20"/>
                <w:szCs w:val="20"/>
                <w:color w:val="auto"/>
              </w:rPr>
            </w:pPr>
          </w:p>
        </w:tc>
      </w:tr>
      <w:tr>
        <w:trPr>
          <w:trHeight w:val="432"/>
        </w:trPr>
        <w:tc>
          <w:tcPr>
            <w:tcW w:w="6440" w:type="dxa"/>
            <w:vAlign w:val="bottom"/>
          </w:tcPr>
          <w:p>
            <w:pPr>
              <w:ind w:left="58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Larkins</w:t>
            </w:r>
          </w:p>
        </w:tc>
        <w:tc>
          <w:tcPr>
            <w:tcW w:w="40" w:type="dxa"/>
            <w:vAlign w:val="bottom"/>
          </w:tcPr>
          <w:p>
            <w:pPr>
              <w:spacing w:after="0"/>
              <w:rPr>
                <w:sz w:val="24"/>
                <w:szCs w:val="24"/>
                <w:color w:val="auto"/>
              </w:rPr>
            </w:pPr>
          </w:p>
        </w:tc>
      </w:tr>
      <w:tr>
        <w:trPr>
          <w:trHeight w:val="195"/>
        </w:trPr>
        <w:tc>
          <w:tcPr>
            <w:tcW w:w="644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Name: Sarah Larkins</w:t>
            </w:r>
          </w:p>
        </w:tc>
        <w:tc>
          <w:tcPr>
            <w:tcW w:w="40" w:type="dxa"/>
            <w:vAlign w:val="bottom"/>
          </w:tcPr>
          <w:p>
            <w:pPr>
              <w:spacing w:after="0"/>
              <w:rPr>
                <w:sz w:val="16"/>
                <w:szCs w:val="16"/>
                <w:color w:val="auto"/>
              </w:rPr>
            </w:pPr>
          </w:p>
        </w:tc>
      </w:tr>
      <w:tr>
        <w:trPr>
          <w:trHeight w:val="230"/>
        </w:trPr>
        <w:tc>
          <w:tcPr>
            <w:tcW w:w="64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Title: Assistant Company Secretary</w:t>
            </w:r>
          </w:p>
        </w:tc>
        <w:tc>
          <w:tcPr>
            <w:tcW w:w="40" w:type="dxa"/>
            <w:vAlign w:val="bottom"/>
          </w:tcPr>
          <w:p>
            <w:pPr>
              <w:spacing w:after="0"/>
              <w:rPr>
                <w:sz w:val="20"/>
                <w:szCs w:val="20"/>
                <w:color w:val="auto"/>
              </w:rPr>
            </w:pPr>
          </w:p>
        </w:tc>
      </w:tr>
      <w:tr>
        <w:trPr>
          <w:trHeight w:val="348"/>
        </w:trPr>
        <w:tc>
          <w:tcPr>
            <w:tcW w:w="644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REGISTRATION RIGHTS AGREEMENT</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GASLOG LTD.,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 Bermuda exempted Company</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Dated Effective as of June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209550</wp:posOffset>
            </wp:positionV>
            <wp:extent cx="71532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both"/>
        <w:ind w:right="660" w:firstLine="648"/>
        <w:spacing w:after="0" w:line="289" w:lineRule="auto"/>
        <w:rPr>
          <w:sz w:val="20"/>
          <w:szCs w:val="20"/>
          <w:color w:val="auto"/>
        </w:rPr>
      </w:pPr>
      <w:r>
        <w:rPr>
          <w:rFonts w:ascii="Arial" w:cs="Arial" w:eastAsia="Arial" w:hAnsi="Arial"/>
          <w:sz w:val="17"/>
          <w:szCs w:val="17"/>
          <w:color w:val="auto"/>
        </w:rPr>
        <w:t>This REGISTRATION RIGHTS AGREEMENT (this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is dated as of June 22, 2020 by and among GasLog Ltd., a Bermuda exempted company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each of the several holders listed on the signature pages hereto (each, a “</w:t>
      </w:r>
      <w:r>
        <w:rPr>
          <w:rFonts w:ascii="Arial" w:cs="Arial" w:eastAsia="Arial" w:hAnsi="Arial"/>
          <w:sz w:val="17"/>
          <w:szCs w:val="17"/>
          <w:b w:val="1"/>
          <w:bCs w:val="1"/>
          <w:u w:val="single" w:color="auto"/>
          <w:color w:val="auto"/>
        </w:rPr>
        <w:t>Holder</w:t>
      </w:r>
      <w:r>
        <w:rPr>
          <w:rFonts w:ascii="Arial" w:cs="Arial" w:eastAsia="Arial" w:hAnsi="Arial"/>
          <w:sz w:val="17"/>
          <w:szCs w:val="17"/>
          <w:color w:val="auto"/>
        </w:rPr>
        <w:t>” and collectively, the “</w:t>
      </w:r>
      <w:r>
        <w:rPr>
          <w:rFonts w:ascii="Arial" w:cs="Arial" w:eastAsia="Arial" w:hAnsi="Arial"/>
          <w:sz w:val="17"/>
          <w:szCs w:val="17"/>
          <w:b w:val="1"/>
          <w:bCs w:val="1"/>
          <w:u w:val="single" w:color="auto"/>
          <w:color w:val="auto"/>
        </w:rPr>
        <w:t>Holders</w:t>
      </w:r>
      <w:r>
        <w:rPr>
          <w:rFonts w:ascii="Arial" w:cs="Arial" w:eastAsia="Arial" w:hAnsi="Arial"/>
          <w:sz w:val="17"/>
          <w:szCs w:val="17"/>
          <w:color w:val="auto"/>
        </w:rPr>
        <w:t xml:space="preserve">”). Capitalized terms used herein without definition have the respective meanings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w:t>
      </w:r>
    </w:p>
    <w:p>
      <w:pPr>
        <w:spacing w:after="0" w:line="16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This Agreement is made in connection with individual Share Purchase Agreements by and between the Company and each of the Holders hereto, dated as of the date hereof (each as amended, restated, supplemented or otherwise modified from time to time, the “</w:t>
      </w:r>
      <w:r>
        <w:rPr>
          <w:rFonts w:ascii="Arial" w:cs="Arial" w:eastAsia="Arial" w:hAnsi="Arial"/>
          <w:sz w:val="16"/>
          <w:szCs w:val="16"/>
          <w:b w:val="1"/>
          <w:bCs w:val="1"/>
          <w:u w:val="single" w:color="auto"/>
          <w:color w:val="auto"/>
        </w:rPr>
        <w:t>Share Purchase Agreements</w:t>
      </w:r>
      <w:r>
        <w:rPr>
          <w:rFonts w:ascii="Arial" w:cs="Arial" w:eastAsia="Arial" w:hAnsi="Arial"/>
          <w:sz w:val="16"/>
          <w:szCs w:val="16"/>
          <w:color w:val="auto"/>
        </w:rPr>
        <w: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WITNESETH:</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WHEREAS, upon the terms and subject to the conditions of the Share Purchase Agreements, (i) the Company has agreed to issue to the Holders, and the Holders have agreed to purchase, an aggregate of 7,900,000 common shares, par value $0.01 per share, of the Company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pursuant to Article 1 of each Share Purchase Agreement (collectively, the “</w:t>
      </w:r>
      <w:r>
        <w:rPr>
          <w:rFonts w:ascii="Arial" w:cs="Arial" w:eastAsia="Arial" w:hAnsi="Arial"/>
          <w:sz w:val="18"/>
          <w:szCs w:val="18"/>
          <w:b w:val="1"/>
          <w:bCs w:val="1"/>
          <w:u w:val="single" w:color="auto"/>
          <w:color w:val="auto"/>
        </w:rPr>
        <w:t>Transaction</w:t>
      </w:r>
      <w:r>
        <w:rPr>
          <w:rFonts w:ascii="Arial" w:cs="Arial" w:eastAsia="Arial" w:hAnsi="Arial"/>
          <w:sz w:val="18"/>
          <w:szCs w:val="18"/>
          <w:color w:val="auto"/>
        </w:rPr>
        <w: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in connection with the Share Purchase Agreements, the Company has agreed to provide certain registration rights with respect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ACCORDINGLY, in consideration of the mutual covenants and agreements contained herein and other good and valid consideration, the receipt and sufficiency of which are hereby acknowledged, the parties hereto agree as follows:</w:t>
      </w:r>
    </w:p>
    <w:p>
      <w:pPr>
        <w:spacing w:after="0" w:line="170"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defined herein, as used in this Agreement, the following terms have the following respective meanings:</w:t>
      </w:r>
    </w:p>
    <w:p>
      <w:pPr>
        <w:spacing w:after="0" w:line="221"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of a Person means a Person that directly, or indirectly through one or more intermediaries, controls or is controlled by, or is under common control with, such Person. For purposes of this definition, “control” (including terms “controlled by” and “under common control with”) means the possession, directly or indirectly (including through one or more intermediaries), of the power to direct or cause the direction of the management or policies of a Person, whether through ownership of voting securities, by agreement or otherwise.</w:t>
      </w:r>
    </w:p>
    <w:p>
      <w:pPr>
        <w:spacing w:after="0" w:line="180"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any day other than a Saturday, Sunday or legal holiday on which banks in New York, New York are authorized or obligated by law to close.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Shares</w:t>
      </w:r>
      <w:r>
        <w:rPr>
          <w:rFonts w:ascii="Arial" w:cs="Arial" w:eastAsia="Arial" w:hAnsi="Arial"/>
          <w:sz w:val="18"/>
          <w:szCs w:val="18"/>
          <w:color w:val="auto"/>
        </w:rPr>
        <w:t>” means the common shares, par value $0.01 per share, of the Company.</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Entity</w:t>
      </w:r>
      <w:r>
        <w:rPr>
          <w:rFonts w:ascii="Arial" w:cs="Arial" w:eastAsia="Arial" w:hAnsi="Arial"/>
          <w:sz w:val="18"/>
          <w:szCs w:val="18"/>
          <w:color w:val="auto"/>
        </w:rPr>
        <w:t>” means any corporation, limited liability company, general partnership, limited partnership, venture, trust, business trust, unincorporated association, estate or other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individual 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Registrable Securities</w:t>
      </w:r>
      <w:r>
        <w:rPr>
          <w:rFonts w:ascii="Arial" w:cs="Arial" w:eastAsia="Arial" w:hAnsi="Arial"/>
          <w:sz w:val="17"/>
          <w:szCs w:val="17"/>
          <w:color w:val="auto"/>
        </w:rPr>
        <w:t>” means all Shares issued pursuant to the Share Purchase Agreements, provided such securities shall cease to be Registrable Securities when (i) Transferred by a Holder in a transaction in which the Holder’s rights under this Agreement are not assigned, (ii) Transferred pursuant to an effective registration statement under the Securities Act, (iii) Transferred in a transaction exempt from the registration and prospectus delivery requirements of the Securities Act (including transactions under Rule 144, or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1532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1" w:name="page22"/>
    <w:bookmarkEnd w:id="21"/>
    <w:p>
      <w:pPr>
        <w:ind w:right="40"/>
        <w:spacing w:after="0" w:line="311" w:lineRule="auto"/>
        <w:rPr>
          <w:sz w:val="20"/>
          <w:szCs w:val="20"/>
          <w:color w:val="auto"/>
        </w:rPr>
      </w:pPr>
      <w:r>
        <w:rPr>
          <w:rFonts w:ascii="Arial" w:cs="Arial" w:eastAsia="Arial" w:hAnsi="Arial"/>
          <w:sz w:val="16"/>
          <w:szCs w:val="16"/>
          <w:color w:val="auto"/>
        </w:rPr>
        <w:t>promulgated under the Securities Act) so that all transfer restrictions and restrictive legends with respect thereto, if any, are removed upon the consummation of such transaction or (iv) that are eligible for resale without restriction (including any limitation thereunder on volume or manner of sale) and without the need for current public information pursuant to any section of Rule 144 (or any similar provision then in effect) under the Securities Act.</w:t>
      </w:r>
    </w:p>
    <w:p>
      <w:pPr>
        <w:spacing w:after="0" w:line="14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Expenses</w:t>
      </w:r>
      <w:r>
        <w:rPr>
          <w:rFonts w:ascii="Arial" w:cs="Arial" w:eastAsia="Arial" w:hAnsi="Arial"/>
          <w:sz w:val="18"/>
          <w:szCs w:val="18"/>
          <w:color w:val="auto"/>
        </w:rPr>
        <w:t>” means, except for Selling Expenses (as hereinafter defined), all expenses incurred by the Company in effecting any registration pursuant to this Agreement, including all registration, qualification and filing fees, printing expenses, escrow fees, fees and disbursements of counsel for the Company, Financial Industry Regulatory Authority (“</w:t>
      </w:r>
      <w:r>
        <w:rPr>
          <w:rFonts w:ascii="Arial" w:cs="Arial" w:eastAsia="Arial" w:hAnsi="Arial"/>
          <w:sz w:val="18"/>
          <w:szCs w:val="18"/>
          <w:b w:val="1"/>
          <w:bCs w:val="1"/>
          <w:u w:val="single" w:color="auto"/>
          <w:color w:val="auto"/>
        </w:rPr>
        <w:t>FINRA</w:t>
      </w:r>
      <w:r>
        <w:rPr>
          <w:rFonts w:ascii="Arial" w:cs="Arial" w:eastAsia="Arial" w:hAnsi="Arial"/>
          <w:sz w:val="18"/>
          <w:szCs w:val="18"/>
          <w:color w:val="auto"/>
        </w:rPr>
        <w:t>”) fees, blue sky fees and expenses and the expense of any special audits incident to or required by any such registration.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Violation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Resale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Rule 144</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Expenses</w:t>
      </w:r>
      <w:r>
        <w:rPr>
          <w:rFonts w:ascii="Arial" w:cs="Arial" w:eastAsia="Arial" w:hAnsi="Arial"/>
          <w:sz w:val="18"/>
          <w:szCs w:val="18"/>
          <w:color w:val="auto"/>
        </w:rPr>
        <w:t>” means all underwriting discounts and selling commissions applicable to the securities sold in a transaction or transactions registered on behalf of the Holder.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has the meaning given to such term in the recitals of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Shelf Registration Statement</w:t>
      </w:r>
      <w:r>
        <w:rPr>
          <w:rFonts w:ascii="Arial" w:cs="Arial" w:eastAsia="Arial" w:hAnsi="Arial"/>
          <w:sz w:val="18"/>
          <w:szCs w:val="18"/>
          <w:color w:val="auto"/>
        </w:rPr>
        <w:t>” means a registration statement of the Company filed with the SEC on Form F-3 (or any successor form or other appropriate form under the Securities Act) for an offering to be made on a continuous basis pursuant to Rule 415 under the Securities Act (or any similar rule that may be adopted by the SEC) covering the Registrable Securities, as applicable.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Target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Target Filing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Transaction</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Transfer</w:t>
      </w:r>
      <w:r>
        <w:rPr>
          <w:rFonts w:ascii="Arial" w:cs="Arial" w:eastAsia="Arial" w:hAnsi="Arial"/>
          <w:sz w:val="17"/>
          <w:szCs w:val="17"/>
          <w:color w:val="auto"/>
        </w:rPr>
        <w:t>” means a disposition, sale, assignment, transfer, exchange, pledge or the grant of a security interest or other encumbrance.</w:t>
      </w:r>
    </w:p>
    <w:p>
      <w:pPr>
        <w:spacing w:after="0" w:line="241"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Shelf Registration</w:t>
      </w:r>
    </w:p>
    <w:p>
      <w:pPr>
        <w:spacing w:after="0" w:line="221" w:lineRule="exact"/>
        <w:rPr>
          <w:sz w:val="20"/>
          <w:szCs w:val="20"/>
          <w:color w:val="auto"/>
        </w:rPr>
      </w:pPr>
    </w:p>
    <w:p>
      <w:pPr>
        <w:ind w:right="60" w:firstLine="656"/>
        <w:spacing w:after="0" w:line="286" w:lineRule="auto"/>
        <w:tabs>
          <w:tab w:leader="none" w:pos="1309" w:val="left"/>
        </w:tabs>
        <w:numPr>
          <w:ilvl w:val="0"/>
          <w:numId w:val="16"/>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color w:val="auto"/>
        </w:rPr>
        <w:t>. The Company shall use its reasonable best efforts to (i) prepare and file a registration statement under the Securities Act to</w:t>
      </w:r>
      <w:r>
        <w:rPr>
          <w:rFonts w:ascii="Arial" w:cs="Arial" w:eastAsia="Arial" w:hAnsi="Arial"/>
          <w:sz w:val="16"/>
          <w:szCs w:val="16"/>
          <w:b w:val="1"/>
          <w:bCs w:val="1"/>
          <w:color w:val="auto"/>
        </w:rPr>
        <w:t xml:space="preserve"> </w:t>
      </w:r>
      <w:r>
        <w:rPr>
          <w:rFonts w:ascii="Arial" w:cs="Arial" w:eastAsia="Arial" w:hAnsi="Arial"/>
          <w:sz w:val="16"/>
          <w:szCs w:val="16"/>
          <w:color w:val="auto"/>
        </w:rPr>
        <w:t>permit the resale of the Registrable Securities from time to time as permitted by Rule 415 (or any similar provision adopted by the SEC then in effect) of the Securities Act (the “</w:t>
      </w:r>
      <w:r>
        <w:rPr>
          <w:rFonts w:ascii="Arial" w:cs="Arial" w:eastAsia="Arial" w:hAnsi="Arial"/>
          <w:sz w:val="16"/>
          <w:szCs w:val="16"/>
          <w:b w:val="1"/>
          <w:bCs w:val="1"/>
          <w:u w:val="single" w:color="auto"/>
          <w:color w:val="auto"/>
        </w:rPr>
        <w:t>Resale Registration Statement</w:t>
      </w:r>
      <w:r>
        <w:rPr>
          <w:rFonts w:ascii="Arial" w:cs="Arial" w:eastAsia="Arial" w:hAnsi="Arial"/>
          <w:sz w:val="16"/>
          <w:szCs w:val="16"/>
          <w:color w:val="auto"/>
        </w:rPr>
        <w:t>”) as soon as practicable, but in no event more than 30 days following the closing of the Transaction (the “</w:t>
      </w:r>
      <w:r>
        <w:rPr>
          <w:rFonts w:ascii="Arial" w:cs="Arial" w:eastAsia="Arial" w:hAnsi="Arial"/>
          <w:sz w:val="16"/>
          <w:szCs w:val="16"/>
          <w:b w:val="1"/>
          <w:bCs w:val="1"/>
          <w:u w:val="single" w:color="auto"/>
          <w:color w:val="auto"/>
        </w:rPr>
        <w:t>Target Filing Date</w:t>
      </w:r>
      <w:r>
        <w:rPr>
          <w:rFonts w:ascii="Arial" w:cs="Arial" w:eastAsia="Arial" w:hAnsi="Arial"/>
          <w:sz w:val="16"/>
          <w:szCs w:val="16"/>
          <w:color w:val="auto"/>
        </w:rPr>
        <w:t>”) and (ii) cause the Resale Registration Statement to become effective no later than 75 days after filing thereof (the “</w:t>
      </w:r>
      <w:r>
        <w:rPr>
          <w:rFonts w:ascii="Arial" w:cs="Arial" w:eastAsia="Arial" w:hAnsi="Arial"/>
          <w:sz w:val="16"/>
          <w:szCs w:val="16"/>
          <w:b w:val="1"/>
          <w:bCs w:val="1"/>
          <w:u w:val="single" w:color="auto"/>
          <w:color w:val="auto"/>
        </w:rPr>
        <w:t>Target Effective Date</w:t>
      </w:r>
      <w:r>
        <w:rPr>
          <w:rFonts w:ascii="Arial" w:cs="Arial" w:eastAsia="Arial" w:hAnsi="Arial"/>
          <w:sz w:val="16"/>
          <w:szCs w:val="16"/>
          <w:color w:val="auto"/>
        </w:rPr>
        <w:t>”). The Company will use its reasonable best efforts to cause the Resale Registration Statement filed pursuant to this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to be continuously effective under the Securities Act until the date on which there are no longer any Registrable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0"/>
          </w:cols>
          <w:pgMar w:left="320" w:top="341" w:right="499" w:bottom="1440" w:gutter="0" w:footer="0" w:header="0"/>
        </w:sectPr>
      </w:pPr>
    </w:p>
    <w:bookmarkStart w:id="22" w:name="page23"/>
    <w:bookmarkEnd w:id="22"/>
    <w:p>
      <w:pPr>
        <w:ind w:right="80"/>
        <w:spacing w:after="0" w:line="290" w:lineRule="auto"/>
        <w:rPr>
          <w:sz w:val="20"/>
          <w:szCs w:val="20"/>
          <w:color w:val="auto"/>
        </w:rPr>
      </w:pPr>
      <w:r>
        <w:rPr>
          <w:rFonts w:ascii="Arial" w:cs="Arial" w:eastAsia="Arial" w:hAnsi="Arial"/>
          <w:sz w:val="16"/>
          <w:szCs w:val="16"/>
          <w:color w:val="auto"/>
        </w:rPr>
        <w:t xml:space="preserve">Securities outstanding. The Resale Registration Statement filed pursuant to this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shall be on such appropriate registration form of the SEC as shall be selected by the Company. The Resale Registration Statement when declared effective (including the documents incorporated therein by reference) will comply as to form in all material respects with all applicable requirements of the Securities Act and will not contain an untrue statement of a material fact or omit to state a material fact required to be stated therein or necessary to make the statements therein not misleading (and, in the case of any prospectus contained in the Resale Registration Statement, in the light of the circumstances under which a statement is made). As soon as practicable following the date that the Resale Registration Statement becomes effective, but in any event within three Business Days of such date, the Company shall provide the Holders with written notice (including electronic notice) of the effectiveness of the Resale Registration Statement. The Company shall not be obligated to have more than one effective Resale Registration Statement at any given time pursuant to this </w:t>
      </w:r>
      <w:r>
        <w:rPr>
          <w:rFonts w:ascii="Arial" w:cs="Arial" w:eastAsia="Arial" w:hAnsi="Arial"/>
          <w:sz w:val="16"/>
          <w:szCs w:val="16"/>
          <w:u w:val="single" w:color="auto"/>
          <w:color w:val="auto"/>
        </w:rPr>
        <w:t>Section 2(a)</w:t>
      </w:r>
      <w:r>
        <w:rPr>
          <w:rFonts w:ascii="Arial" w:cs="Arial" w:eastAsia="Arial" w:hAnsi="Arial"/>
          <w:sz w:val="16"/>
          <w:szCs w:val="16"/>
          <w:color w:val="auto"/>
        </w:rPr>
        <w:t>.</w:t>
      </w:r>
    </w:p>
    <w:p>
      <w:pPr>
        <w:spacing w:after="0" w:line="165" w:lineRule="exact"/>
        <w:rPr>
          <w:sz w:val="20"/>
          <w:szCs w:val="20"/>
          <w:color w:val="auto"/>
        </w:rPr>
      </w:pPr>
    </w:p>
    <w:p>
      <w:pPr>
        <w:ind w:right="260" w:firstLine="656"/>
        <w:spacing w:after="0" w:line="277" w:lineRule="auto"/>
        <w:tabs>
          <w:tab w:leader="none" w:pos="129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the Company shall not be obligated to file or cause the Resale Registration Statement filed pursuant to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to become effective:</w:t>
      </w:r>
    </w:p>
    <w:p>
      <w:pPr>
        <w:spacing w:after="0" w:line="170" w:lineRule="exact"/>
        <w:rPr>
          <w:rFonts w:ascii="Arial" w:cs="Arial" w:eastAsia="Arial" w:hAnsi="Arial"/>
          <w:sz w:val="18"/>
          <w:szCs w:val="18"/>
          <w:color w:val="auto"/>
        </w:rPr>
      </w:pPr>
    </w:p>
    <w:p>
      <w:pPr>
        <w:ind w:right="20" w:firstLine="1304"/>
        <w:spacing w:after="0" w:line="257" w:lineRule="auto"/>
        <w:tabs>
          <w:tab w:leader="none" w:pos="19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during the period starting with the date 30 days prior to its good faith estimate of the date of filing of, and ending on a date 60 days after the effective date of, a Company-initiated registration for the offer and sale of Common Shares, or securities convertible into Common Shares for cash (in each case other than a registration relating solely to the sale of securities to employees the Company pursuant to a stock option, stock purchase or similar plan or to a SEC Rule 145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actively employing in good faith all reasonable best efforts to cause such registration statement to become effective; or</w:t>
      </w:r>
    </w:p>
    <w:p>
      <w:pPr>
        <w:spacing w:after="0" w:line="187" w:lineRule="exact"/>
        <w:rPr>
          <w:rFonts w:ascii="Arial" w:cs="Arial" w:eastAsia="Arial" w:hAnsi="Arial"/>
          <w:sz w:val="18"/>
          <w:szCs w:val="18"/>
          <w:color w:val="auto"/>
        </w:rPr>
      </w:pPr>
    </w:p>
    <w:p>
      <w:pPr>
        <w:ind w:right="80" w:firstLine="1304"/>
        <w:spacing w:after="0" w:line="257" w:lineRule="auto"/>
        <w:tabs>
          <w:tab w:leader="none" w:pos="1967"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if the Company furnishes to such Holders a certificate signed by an executive officer of the Company stating that in the good faith judgment of the board of directors of the Company it would be materially detrimental to the Company and its equity holders for the Resale Registration Statement to be filed at the time filing would be required and it is therefore essential to defer the filing of the Resale Registration Statement,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Company shall have the right to defer such filing and effectiveness for a period of not more than 60 days after the Target Filing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and Target Effective Date, respectively.</w:t>
      </w:r>
    </w:p>
    <w:p>
      <w:pPr>
        <w:spacing w:after="0" w:line="187" w:lineRule="exact"/>
        <w:rPr>
          <w:rFonts w:ascii="Arial" w:cs="Arial" w:eastAsia="Arial" w:hAnsi="Arial"/>
          <w:sz w:val="18"/>
          <w:szCs w:val="18"/>
          <w:color w:val="auto"/>
        </w:rPr>
      </w:pPr>
    </w:p>
    <w:p>
      <w:pPr>
        <w:ind w:firstLine="656"/>
        <w:spacing w:after="0" w:line="290" w:lineRule="auto"/>
        <w:tabs>
          <w:tab w:leader="none" w:pos="1299"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Company may, upon written notice (including electronic notice) to any Holder whose Registrable Securities are included in the Resale Registration Statement, suspend such Holder’s use of any prospectus which is a part of the Resale Registration Statement (in which event the Holder shall discontinue sales of the Registrable Securities pursuant to the Resale Registration Statement but may settle any previously made sales of Registrable Securities) if (i) the Company determines that it would be required to make disclosure of material information in the Resale Registration Statement that the Company has a bona fide business purpose for preserving as confidential or (ii) the Company has experienced some other material non-public event, the disclosure of which at such time, in the good faith judgment of the Company, would adversely affect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the Holders be suspended from selling Registrable Securities pursuant to the Resale Registration Statement for a period that exceeds 60 days;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the Company shall not suspend the Resale Registration Statement in this manner more than twice in any 12-month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532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jc w:val="both"/>
        <w:ind w:right="120"/>
        <w:spacing w:after="0" w:line="311" w:lineRule="auto"/>
        <w:rPr>
          <w:sz w:val="20"/>
          <w:szCs w:val="20"/>
          <w:color w:val="auto"/>
        </w:rPr>
      </w:pPr>
      <w:r>
        <w:rPr>
          <w:rFonts w:ascii="Arial" w:cs="Arial" w:eastAsia="Arial" w:hAnsi="Arial"/>
          <w:sz w:val="16"/>
          <w:szCs w:val="16"/>
          <w:color w:val="auto"/>
        </w:rPr>
        <w:t>period. Upon disclosure of such information or the termination of the condition described above, the Company shall provide prompt notice to the Holders whose Registrable Securities are included in the Resale Registration Statement, and shall promptly terminate any suspension of sales it has put into effect and shall take such other reasonable actions to permit registered sales of Registrable Securities pursuant to the Resale Registration Statement.</w:t>
      </w:r>
    </w:p>
    <w:p>
      <w:pPr>
        <w:spacing w:after="0" w:line="149"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Registration Expenses; Selling Expenses</w:t>
      </w:r>
    </w:p>
    <w:p>
      <w:pPr>
        <w:spacing w:after="0" w:line="225" w:lineRule="exact"/>
        <w:rPr>
          <w:sz w:val="20"/>
          <w:szCs w:val="20"/>
          <w:color w:val="auto"/>
        </w:rPr>
      </w:pPr>
    </w:p>
    <w:p>
      <w:pPr>
        <w:ind w:firstLine="656"/>
        <w:spacing w:after="0" w:line="263" w:lineRule="auto"/>
        <w:tabs>
          <w:tab w:leader="none" w:pos="13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All Registration Expenses incurred in connection with any registration, filing, qualification or compliance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borne by the Company. All Selling Expenses relating to each sale of securities registered by the Holders shall be borne by the holders of such securities pro rata on the basis of the number of shares so sold.</w:t>
      </w:r>
    </w:p>
    <w:p>
      <w:pPr>
        <w:spacing w:after="0" w:line="184"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Further Obligations</w:t>
      </w:r>
    </w:p>
    <w:p>
      <w:pPr>
        <w:spacing w:after="0" w:line="225" w:lineRule="exact"/>
        <w:rPr>
          <w:sz w:val="20"/>
          <w:szCs w:val="20"/>
          <w:color w:val="auto"/>
        </w:rPr>
      </w:pPr>
    </w:p>
    <w:p>
      <w:pPr>
        <w:ind w:right="20" w:firstLine="656"/>
        <w:spacing w:after="0" w:line="289" w:lineRule="auto"/>
        <w:tabs>
          <w:tab w:leader="none" w:pos="130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connection with any registration of the sale of Registrable Securities under the Securities Act pursuant to this Agreement, the Company will consult with each Holder whose Registrable Securities are to be included in any such registration, and shall provide to such Holders and their representatives such other documents (including correspondence with the SEC with respect to the registration statement and the related securities offering) as such Holders shall reasonably request in connection with their participation in such registration. The Company will furnish each Holder whose Registrable Securities are registered thereunder with a copy of the registration statement and all amendments thereto and will supply each such Holder with copies of any prospectus forming a part of such registration statement (including a preliminary prospectus and all amendments and supplements thereto, the “</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 in such quantities as may be reasonably requested for the purposes of the proposed sale or distribution covered by such registration. In the event that the Company prepares and files with the SEC a registration statement on any appropriate form under the Securities Act (a “</w:t>
      </w:r>
      <w:r>
        <w:rPr>
          <w:rFonts w:ascii="Arial" w:cs="Arial" w:eastAsia="Arial" w:hAnsi="Arial"/>
          <w:sz w:val="16"/>
          <w:szCs w:val="16"/>
          <w:b w:val="1"/>
          <w:bCs w:val="1"/>
          <w:u w:val="single" w:color="auto"/>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Statement</w:t>
      </w:r>
      <w:r>
        <w:rPr>
          <w:rFonts w:ascii="Arial" w:cs="Arial" w:eastAsia="Arial" w:hAnsi="Arial"/>
          <w:sz w:val="16"/>
          <w:szCs w:val="16"/>
          <w:color w:val="auto"/>
        </w:rPr>
        <w:t>”) providing for the sale of Registrable Securities held by any Holder pursuant to its obligations under this Agreement, the Company will:</w:t>
      </w:r>
    </w:p>
    <w:p>
      <w:pPr>
        <w:spacing w:after="0" w:line="166" w:lineRule="exact"/>
        <w:rPr>
          <w:rFonts w:ascii="Arial" w:cs="Arial" w:eastAsia="Arial" w:hAnsi="Arial"/>
          <w:sz w:val="16"/>
          <w:szCs w:val="16"/>
          <w:color w:val="auto"/>
        </w:rPr>
      </w:pPr>
    </w:p>
    <w:p>
      <w:pPr>
        <w:ind w:right="40" w:firstLine="1304"/>
        <w:spacing w:after="0" w:line="275" w:lineRule="auto"/>
        <w:tabs>
          <w:tab w:leader="none" w:pos="1958" w:val="left"/>
        </w:tabs>
        <w:numPr>
          <w:ilvl w:val="1"/>
          <w:numId w:val="21"/>
        </w:numPr>
        <w:rPr>
          <w:rFonts w:ascii="Arial" w:cs="Arial" w:eastAsia="Arial" w:hAnsi="Arial"/>
          <w:sz w:val="17"/>
          <w:szCs w:val="17"/>
          <w:color w:val="auto"/>
        </w:rPr>
      </w:pPr>
      <w:r>
        <w:rPr>
          <w:rFonts w:ascii="Arial" w:cs="Arial" w:eastAsia="Arial" w:hAnsi="Arial"/>
          <w:sz w:val="17"/>
          <w:szCs w:val="17"/>
          <w:color w:val="auto"/>
        </w:rPr>
        <w:t>prepare and file with the SEC such amendments and post-effective amendments to the Registration Statement as may be necessary to keep such Registration Statement effective; cause the related Prospectus to be supplemented by any required Prospectus supplement, and as so supplemented to be filed pursuant to Rule 424 under the Securities Act; and comply with the provisions of the Securities Act with respect to the disposition of all securities covered by such Registration Statement during the applicable period in accordance with the intended methods of disposition by the participating Holder or Holders thereof set forth in such Registration Statement or supplement to such Prospectus;</w:t>
      </w:r>
    </w:p>
    <w:p>
      <w:pPr>
        <w:spacing w:after="0" w:line="176" w:lineRule="exact"/>
        <w:rPr>
          <w:rFonts w:ascii="Arial" w:cs="Arial" w:eastAsia="Arial" w:hAnsi="Arial"/>
          <w:sz w:val="17"/>
          <w:szCs w:val="17"/>
          <w:color w:val="auto"/>
        </w:rPr>
      </w:pPr>
    </w:p>
    <w:p>
      <w:pPr>
        <w:ind w:right="120" w:firstLine="1304"/>
        <w:spacing w:after="0" w:line="257" w:lineRule="auto"/>
        <w:tabs>
          <w:tab w:leader="none" w:pos="1967" w:val="left"/>
        </w:tabs>
        <w:numPr>
          <w:ilvl w:val="1"/>
          <w:numId w:val="21"/>
        </w:numPr>
        <w:rPr>
          <w:rFonts w:ascii="Arial" w:cs="Arial" w:eastAsia="Arial" w:hAnsi="Arial"/>
          <w:sz w:val="18"/>
          <w:szCs w:val="18"/>
          <w:color w:val="auto"/>
        </w:rPr>
      </w:pPr>
      <w:r>
        <w:rPr>
          <w:rFonts w:ascii="Arial" w:cs="Arial" w:eastAsia="Arial" w:hAnsi="Arial"/>
          <w:sz w:val="18"/>
          <w:szCs w:val="18"/>
          <w:color w:val="auto"/>
        </w:rPr>
        <w:t>promptly notify the Holders (A) when a Prospectus or any Prospectus supplement or post-effective amendment has been filed, and, with respect to a Registration Statement or any post-effective amendment, when the same has become effective, (B) of any request by the SEC or any state securities commission for amendments or supplements to a Registration Statement or related Prospectus or for additional information, (C) of the issuance by the SEC or any state securities commission of any stop order suspending the effectiveness of a Registration Statement or the initiation of any proceedings for that purpose, (D) of the receipt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right="120"/>
        <w:spacing w:after="0" w:line="259" w:lineRule="auto"/>
        <w:rPr>
          <w:sz w:val="20"/>
          <w:szCs w:val="20"/>
          <w:color w:val="auto"/>
        </w:rPr>
      </w:pPr>
      <w:r>
        <w:rPr>
          <w:rFonts w:ascii="Arial" w:cs="Arial" w:eastAsia="Arial" w:hAnsi="Arial"/>
          <w:sz w:val="18"/>
          <w:szCs w:val="18"/>
          <w:color w:val="auto"/>
        </w:rPr>
        <w:t>the Company of any notification with respect to the suspension of the qualification of any of the Registrable Securities for sale in any jurisdiction or the initiation or threatening of any proceeding for such purpose, and (E) of the existence of any fact which results in a Registration Statement, a Prospectus or any document incorporated therein by reference containing an untrue statement of a material fact or omitting to state a material fact required to be stated therein or necessary to make the statements therein not misleading;</w:t>
      </w:r>
    </w:p>
    <w:p>
      <w:pPr>
        <w:spacing w:after="0" w:line="187" w:lineRule="exact"/>
        <w:rPr>
          <w:sz w:val="20"/>
          <w:szCs w:val="20"/>
          <w:color w:val="auto"/>
        </w:rPr>
      </w:pPr>
    </w:p>
    <w:p>
      <w:pPr>
        <w:ind w:left="1980" w:hanging="676"/>
        <w:spacing w:after="0"/>
        <w:tabs>
          <w:tab w:leader="none" w:pos="1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use reasonable best efforts to promptly obtain the withdrawal of any order suspending the effectiveness of a Registration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211" w:lineRule="exact"/>
        <w:rPr>
          <w:sz w:val="20"/>
          <w:szCs w:val="20"/>
          <w:color w:val="auto"/>
        </w:rPr>
      </w:pPr>
    </w:p>
    <w:p>
      <w:pPr>
        <w:ind w:right="80" w:firstLine="1304"/>
        <w:spacing w:after="0" w:line="296" w:lineRule="auto"/>
        <w:tabs>
          <w:tab w:leader="none" w:pos="1942"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requested by a Holder, promptly incorporate in a Prospectus supplement or post-effective amendment such information as the Holders holding a majority of the Registrable Securities being sold by the Holders agree should be included therein relating to the sale of such Registrable Securities, including without limitation information with respect to the amount of Registrable Securities being sold by the Holders, and with respect to any other terms of the offering of the Registrable Securities to be sold in such offering; and make all required filings of such Prospectus supplement or post-effective amendment as soon as notified of the matters to be incorporated in such Prospectus supplement or post-effective amendment;</w:t>
      </w:r>
    </w:p>
    <w:p>
      <w:pPr>
        <w:spacing w:after="0" w:line="161" w:lineRule="exact"/>
        <w:rPr>
          <w:rFonts w:ascii="Arial" w:cs="Arial" w:eastAsia="Arial" w:hAnsi="Arial"/>
          <w:sz w:val="16"/>
          <w:szCs w:val="16"/>
          <w:color w:val="auto"/>
        </w:rPr>
      </w:pPr>
    </w:p>
    <w:p>
      <w:pPr>
        <w:ind w:right="160" w:firstLine="1304"/>
        <w:spacing w:after="0" w:line="311" w:lineRule="auto"/>
        <w:tabs>
          <w:tab w:leader="none" w:pos="19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furnish to such Holders at least one signed copy of the Registration Statement and any post-effective amendment thereto, including financial statements and schedules, all documents incorporated therein by reference and all exhibits (including those incorporated by reference)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document made available by the Company through EDGAR shall be deemed so furnished);</w:t>
      </w:r>
    </w:p>
    <w:p>
      <w:pPr>
        <w:spacing w:after="0" w:line="148" w:lineRule="exact"/>
        <w:rPr>
          <w:rFonts w:ascii="Arial" w:cs="Arial" w:eastAsia="Arial" w:hAnsi="Arial"/>
          <w:sz w:val="16"/>
          <w:szCs w:val="16"/>
          <w:color w:val="auto"/>
        </w:rPr>
      </w:pPr>
    </w:p>
    <w:p>
      <w:pPr>
        <w:ind w:right="180" w:firstLine="1304"/>
        <w:spacing w:after="0" w:line="277" w:lineRule="auto"/>
        <w:tabs>
          <w:tab w:leader="none" w:pos="19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 to such Holders and the underwriters, if any, as many copies of the Prospectus (including each preliminary prospectus) and any amendment or supplement thereto as such persons or entities may reasonably request;</w:t>
      </w:r>
    </w:p>
    <w:p>
      <w:pPr>
        <w:spacing w:after="0" w:line="170" w:lineRule="exact"/>
        <w:rPr>
          <w:rFonts w:ascii="Arial" w:cs="Arial" w:eastAsia="Arial" w:hAnsi="Arial"/>
          <w:sz w:val="18"/>
          <w:szCs w:val="18"/>
          <w:color w:val="auto"/>
        </w:rPr>
      </w:pPr>
    </w:p>
    <w:p>
      <w:pPr>
        <w:ind w:right="40" w:firstLine="1304"/>
        <w:spacing w:after="0" w:line="311" w:lineRule="auto"/>
        <w:tabs>
          <w:tab w:leader="none" w:pos="1963"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cooperate with the Holders to facilitate the timely preparation and delivery of certificates representing Registrable Securities to be sold pursuant to such Registration Statement and not bearing any restrictive legends, and enable such Registrable Securities to be in such denominations and registered in such names as the Holders may request at least one Business Day prior to any sale of Registrable Securities;</w:t>
      </w:r>
    </w:p>
    <w:p>
      <w:pPr>
        <w:spacing w:after="0" w:line="148" w:lineRule="exact"/>
        <w:rPr>
          <w:rFonts w:ascii="Arial" w:cs="Arial" w:eastAsia="Arial" w:hAnsi="Arial"/>
          <w:sz w:val="16"/>
          <w:szCs w:val="16"/>
          <w:color w:val="auto"/>
        </w:rPr>
      </w:pPr>
    </w:p>
    <w:p>
      <w:pPr>
        <w:ind w:firstLine="1304"/>
        <w:spacing w:after="0" w:line="279" w:lineRule="auto"/>
        <w:tabs>
          <w:tab w:leader="none" w:pos="1972"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if any fact described in </w:t>
      </w:r>
      <w:r>
        <w:rPr>
          <w:rFonts w:ascii="Arial" w:cs="Arial" w:eastAsia="Arial" w:hAnsi="Arial"/>
          <w:sz w:val="17"/>
          <w:szCs w:val="17"/>
          <w:u w:val="single" w:color="auto"/>
          <w:color w:val="auto"/>
        </w:rPr>
        <w:t>subparagraph (ii)(E)</w:t>
      </w:r>
      <w:r>
        <w:rPr>
          <w:rFonts w:ascii="Arial" w:cs="Arial" w:eastAsia="Arial" w:hAnsi="Arial"/>
          <w:sz w:val="17"/>
          <w:szCs w:val="17"/>
          <w:color w:val="auto"/>
        </w:rPr>
        <w:t xml:space="preserve"> above exists, promptly prepare and file with the SEC a supplement or post-effective amendment to the applicable Registration Statement or the related Prospectus or any document incorporated therein by reference or file any other required document so that, as thereafter delivered to the purchasers of the Registrable Securities being sold thereunder, such Prospectus will not contain an untrue statement of a material fact or omit to state any material fact necessary to make the statements therein not misleading;</w:t>
      </w:r>
    </w:p>
    <w:p>
      <w:pPr>
        <w:spacing w:after="0" w:line="171" w:lineRule="exact"/>
        <w:rPr>
          <w:rFonts w:ascii="Arial" w:cs="Arial" w:eastAsia="Arial" w:hAnsi="Arial"/>
          <w:sz w:val="17"/>
          <w:szCs w:val="17"/>
          <w:color w:val="auto"/>
        </w:rPr>
      </w:pPr>
    </w:p>
    <w:p>
      <w:pPr>
        <w:ind w:right="360" w:firstLine="1304"/>
        <w:spacing w:after="0" w:line="277" w:lineRule="auto"/>
        <w:tabs>
          <w:tab w:leader="none" w:pos="19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cause all Registrable Securities covered by the Registration Statement to be listed on each securities exchange or automated quotation system on which similar securities issued by the Company are then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ind w:right="120" w:firstLine="1304"/>
        <w:spacing w:after="0" w:line="277" w:lineRule="auto"/>
        <w:tabs>
          <w:tab w:leader="none" w:pos="19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provide a CUSIP number for all Registrable Securities included in such Registration Statement, not later than the effective date of the applicable Registration Statement; and</w:t>
      </w:r>
    </w:p>
    <w:p>
      <w:pPr>
        <w:spacing w:after="0" w:line="170" w:lineRule="exact"/>
        <w:rPr>
          <w:rFonts w:ascii="Arial" w:cs="Arial" w:eastAsia="Arial" w:hAnsi="Arial"/>
          <w:sz w:val="18"/>
          <w:szCs w:val="18"/>
          <w:color w:val="auto"/>
        </w:rPr>
      </w:pPr>
    </w:p>
    <w:p>
      <w:pPr>
        <w:ind w:right="80" w:firstLine="1304"/>
        <w:spacing w:after="0" w:line="275" w:lineRule="auto"/>
        <w:tabs>
          <w:tab w:leader="none" w:pos="1953"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make available for inspection by the Holders whose Registrable Securities are being sold pursuant to such Registration Statement, and any attorney or accountant retained by such Holder, all financial and other records and any pertinent corporate documents and properties of the Company reasonably requested by such Holder, attorney or accountant in connection with such Registration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records, information or documents that are designated by the Company in writing as confidential shall be kept confidential by such persons or entities unless disclosure of such records, information or documents is required by court or administrative order.</w:t>
      </w:r>
    </w:p>
    <w:p>
      <w:pPr>
        <w:spacing w:after="0" w:line="176" w:lineRule="exact"/>
        <w:rPr>
          <w:rFonts w:ascii="Arial" w:cs="Arial" w:eastAsia="Arial" w:hAnsi="Arial"/>
          <w:sz w:val="17"/>
          <w:szCs w:val="17"/>
          <w:color w:val="auto"/>
        </w:rPr>
      </w:pPr>
    </w:p>
    <w:p>
      <w:pPr>
        <w:ind w:firstLine="656"/>
        <w:spacing w:after="0" w:line="275" w:lineRule="auto"/>
        <w:tabs>
          <w:tab w:leader="none" w:pos="1299"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Each Holder agrees that, upon receipt of any notice from the Company of the happening of an event of the kind described in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4(a)(ii)(E)</w:t>
      </w:r>
      <w:r>
        <w:rPr>
          <w:rFonts w:ascii="Arial" w:cs="Arial" w:eastAsia="Arial" w:hAnsi="Arial"/>
          <w:sz w:val="17"/>
          <w:szCs w:val="17"/>
          <w:color w:val="auto"/>
        </w:rPr>
        <w:t>, such Holder will immediately discontinue disposition of Registrable Securities pursuant to a Shelf Registration Statement until such stop order is vacated or such Holder receives a copy of the supplemented or amended Prospectus. If so directed by the Company, each Holder will deliver to the Company (at the reasonable expense of the Company) all copies in its possession, other than permanent file copies then in such Holder’s possession, of the Prospectus covering such Registrable Securities at the time of receipt of such notice.</w:t>
      </w:r>
    </w:p>
    <w:p>
      <w:pPr>
        <w:spacing w:after="0" w:line="176"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Further Information Furnished by Holders</w:t>
      </w:r>
    </w:p>
    <w:p>
      <w:pPr>
        <w:spacing w:after="0" w:line="22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 xml:space="preserve">It shall be a condition precedent to the obligations of the Company to take any action pursuant to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4</w:t>
      </w:r>
      <w:r>
        <w:rPr>
          <w:rFonts w:ascii="Arial" w:cs="Arial" w:eastAsia="Arial" w:hAnsi="Arial"/>
          <w:sz w:val="18"/>
          <w:szCs w:val="18"/>
          <w:color w:val="auto"/>
        </w:rPr>
        <w:t xml:space="preserve"> that the Holders shall furnish to the Company such information regarding themselves, the Registrable Securities held by them, and the intended method of disposition of such securities as shall be required to effect the registration of the sale of their Registrable Securities.</w:t>
      </w:r>
    </w:p>
    <w:p>
      <w:pPr>
        <w:spacing w:after="0" w:line="184"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225" w:lineRule="exact"/>
        <w:rPr>
          <w:sz w:val="20"/>
          <w:szCs w:val="20"/>
          <w:color w:val="auto"/>
        </w:rPr>
      </w:pPr>
    </w:p>
    <w:p>
      <w:pPr>
        <w:ind w:firstLine="656"/>
        <w:spacing w:after="0" w:line="269" w:lineRule="auto"/>
        <w:tabs>
          <w:tab w:leader="none" w:pos="1309"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i. In the event any Registrable Securities are included in a Registration Statement under </w:t>
      </w:r>
      <w:r>
        <w:rPr>
          <w:rFonts w:ascii="Arial" w:cs="Arial" w:eastAsia="Arial" w:hAnsi="Arial"/>
          <w:sz w:val="17"/>
          <w:szCs w:val="17"/>
          <w:u w:val="single" w:color="auto"/>
          <w:color w:val="auto"/>
        </w:rPr>
        <w:t>Section 2</w:t>
      </w:r>
      <w:r>
        <w:rPr>
          <w:rFonts w:ascii="Arial" w:cs="Arial" w:eastAsia="Arial" w:hAnsi="Arial"/>
          <w:sz w:val="17"/>
          <w:szCs w:val="17"/>
          <w:color w:val="auto"/>
        </w:rPr>
        <w:t>, the Company will indemnify and hold harmless each Holder, each of the officers, directors, partners and agents of each Holder, any underwriter (as defined in the Securities Act) or broker for such Holder and each Person, if any, who controls such Holder or underwriter within the meaning of the Securities Act or Exchange Act, against any losses, claims, actions,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7"/>
          <w:szCs w:val="17"/>
          <w:b w:val="1"/>
          <w:bCs w:val="1"/>
          <w:u w:val="single" w:color="auto"/>
          <w:color w:val="auto"/>
        </w:rPr>
        <w:t>Registration Violation</w:t>
      </w:r>
      <w:r>
        <w:rPr>
          <w:rFonts w:ascii="Arial" w:cs="Arial" w:eastAsia="Arial" w:hAnsi="Arial"/>
          <w:sz w:val="17"/>
          <w:szCs w:val="17"/>
          <w:color w:val="auto"/>
        </w:rPr>
        <w:t>”): any untrue statement or alleged untrue statement of a material fact contained in such registration statement, including any preliminary prospectus or final prospectus contained therein or any amendments or supplements thereto; the omission or alleged omission to state therein a material fact required to be stated therein, or necessary to make the statements therein not misleading; or any violation or alleged violation by the Company or any officer, director, employee, advisor or Affiliate thereof of the Securities Act, the Exchange Act, any state securities law or any rule or regulation promulgated under the Securities Act, the Exchange Act or any state securities law, and the Company will reimburse each such Holder, officer, director, partner or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1532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spacing w:after="0" w:line="273" w:lineRule="auto"/>
        <w:rPr>
          <w:sz w:val="20"/>
          <w:szCs w:val="20"/>
          <w:color w:val="auto"/>
        </w:rPr>
      </w:pPr>
      <w:r>
        <w:rPr>
          <w:rFonts w:ascii="Arial" w:cs="Arial" w:eastAsia="Arial" w:hAnsi="Arial"/>
          <w:sz w:val="17"/>
          <w:szCs w:val="17"/>
          <w:color w:val="auto"/>
        </w:rPr>
        <w:t xml:space="preserve">underwriter, broker or controlling Person for any legal or other expenses reasonably incurred by them in connection with investigating or defending any such loss, claim, damage, liability, or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shall not apply to amounts paid in settlement of any such loss, claim, damage, liability, or action if such settlement is effected without the consent of the Company (which consent shall not be unreasonably withheld, conditioned, delayed or denied), nor shall the Company be liable in any such case for any such loss, claim, damage, liability, or action to the extent that it arises out of or is based upon a Registration Violation which occurs in reliance upon and in conformity with written information furnished expressly for use in connection with such registration by any such Holder or underwriter.</w:t>
      </w:r>
    </w:p>
    <w:p>
      <w:pPr>
        <w:spacing w:after="0" w:line="178" w:lineRule="exact"/>
        <w:rPr>
          <w:sz w:val="20"/>
          <w:szCs w:val="20"/>
          <w:color w:val="auto"/>
        </w:rPr>
      </w:pPr>
    </w:p>
    <w:p>
      <w:pPr>
        <w:ind w:firstLine="656"/>
        <w:spacing w:after="0" w:line="268" w:lineRule="auto"/>
        <w:tabs>
          <w:tab w:leader="none" w:pos="1299"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To the extent permitted by law, each Holder will, if Registrable Securities held by such Person are included in the securities as to which such registration, qualification or compliance is being effected, indemnify and hold harmless the Company, each of its directors and officers, each legal counsel and independent accountant of the Company, each Person, if any, who controls the Company within the meaning of the Securities Act, each underwriter (within the meaning of the Securities Act) of the Company’s securities covered by such a registration statement, any Person who controls such underwriter, and any other Holder selling securities in such registration statement and each of its directors, officers, partners or agents or any Person who controls such Holder, against any losses, claims, damages, or liabilities (joint or several) to which the Company or any such underwriter, other Holder, director, officer, partner or agent or controlling Person may became subject under the Securities Act, the Exchange Act or other federal or state law, insofar as such losses, claims, damages or liabilities (or actions in respect thereto) arise out of or are based upon any Registration Violation, in each case to the extent (and only to the extent) that such Registration Violation occurs in reliance upon and in conformity with written information furnished by such Holder expressly for use in connection with such registration, and each such Holder will reimburse any legal or other expenses reasonably incurred by the Company or any such underwriter, other Holder, officer, director, partner or agent or controlling Person in connection with investigating or defending any such loss, claim, damage, liability, or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shall not apply to amounts paid in settlement of any such loss, claim, damage, liability or action if such settlement is effected without the consent of such Holder (which consent shall not be unreasonably withheld, conditioned, delayed or denied);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in no event shall any indemnity under this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exceed the net proceeds from the offering received by such Holder.</w:t>
      </w:r>
    </w:p>
    <w:p>
      <w:pPr>
        <w:spacing w:after="0" w:line="181" w:lineRule="exact"/>
        <w:rPr>
          <w:rFonts w:ascii="Arial" w:cs="Arial" w:eastAsia="Arial" w:hAnsi="Arial"/>
          <w:sz w:val="17"/>
          <w:szCs w:val="17"/>
          <w:color w:val="auto"/>
        </w:rPr>
      </w:pPr>
    </w:p>
    <w:p>
      <w:pPr>
        <w:ind w:firstLine="656"/>
        <w:spacing w:after="0" w:line="272" w:lineRule="auto"/>
        <w:tabs>
          <w:tab w:leader="none" w:pos="1299"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notice of the commencement of any action (including any governmental action), such indemnified party will, if a claim in respect thereof is to be made against any indemnifying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notify the indemnifying party in writing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 indemnified party shall have the right to retain its own counsel, with the fees and expenses to be paid by the indemnifying party, if the indemnified party shall have been advised by counsel that representation of such indemnified party by the counsel retained by the indemnifying party would be inappropriate due to actual or potential differing interests between such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1532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line="257" w:lineRule="auto"/>
        <w:rPr>
          <w:sz w:val="20"/>
          <w:szCs w:val="20"/>
          <w:color w:val="auto"/>
        </w:rPr>
      </w:pPr>
      <w:r>
        <w:rPr>
          <w:rFonts w:ascii="Arial" w:cs="Arial" w:eastAsia="Arial" w:hAnsi="Arial"/>
          <w:sz w:val="18"/>
          <w:szCs w:val="18"/>
          <w:color w:val="auto"/>
        </w:rPr>
        <w:t xml:space="preserve">party and any other party represented by such counsel in such proceeding. The failure of any indemnified party to notify an indemnifying party within a reasonable time of the commencement of any such action, if prejudicial to its ability to defend such action, shall relieve such indemnifying party of liability to the indemnified party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only to the extent that such failure to give notice shall materially prejudice the indemnifying party in the defense of any such claim or any such litigation, but the omission so to notify the indemnifying party will not relieve it of any liability that it may have to any indemnified party otherwise than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188" w:lineRule="exact"/>
        <w:rPr>
          <w:sz w:val="20"/>
          <w:szCs w:val="20"/>
          <w:color w:val="auto"/>
        </w:rPr>
      </w:pPr>
    </w:p>
    <w:p>
      <w:pPr>
        <w:ind w:right="40" w:firstLine="656"/>
        <w:spacing w:after="0" w:line="269" w:lineRule="auto"/>
        <w:tabs>
          <w:tab w:leader="none" w:pos="1309"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If the indemnification provided for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Registration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any contribution by a Holder hereunder exceed the net proceeds from the offering received by such Holder.</w:t>
      </w:r>
    </w:p>
    <w:p>
      <w:pPr>
        <w:spacing w:after="0" w:line="185" w:lineRule="exact"/>
        <w:rPr>
          <w:rFonts w:ascii="Arial" w:cs="Arial" w:eastAsia="Arial" w:hAnsi="Arial"/>
          <w:sz w:val="17"/>
          <w:szCs w:val="17"/>
          <w:color w:val="auto"/>
        </w:rPr>
      </w:pPr>
    </w:p>
    <w:p>
      <w:pPr>
        <w:ind w:right="240" w:firstLine="656"/>
        <w:spacing w:after="0" w:line="277" w:lineRule="auto"/>
        <w:tabs>
          <w:tab w:leader="none" w:pos="1302"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obligations of the Company and the Holder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survive completion of any offering of Registrable Securities pursuant to a registration statement.</w:t>
      </w:r>
    </w:p>
    <w:p>
      <w:pPr>
        <w:spacing w:after="0" w:line="170"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Rule 144 Reporting</w:t>
      </w:r>
    </w:p>
    <w:p>
      <w:pPr>
        <w:spacing w:after="0" w:line="221"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color w:val="auto"/>
        </w:rPr>
        <w:t>With a view to making available to the Holders the benefits of Rule 144 promulgated under the Securities Act (“</w:t>
      </w:r>
      <w:r>
        <w:rPr>
          <w:rFonts w:ascii="Arial" w:cs="Arial" w:eastAsia="Arial" w:hAnsi="Arial"/>
          <w:sz w:val="18"/>
          <w:szCs w:val="18"/>
          <w:b w:val="1"/>
          <w:bCs w:val="1"/>
          <w:u w:val="single" w:color="auto"/>
          <w:color w:val="auto"/>
        </w:rPr>
        <w:t>Rule 144</w:t>
      </w:r>
      <w:r>
        <w:rPr>
          <w:rFonts w:ascii="Arial" w:cs="Arial" w:eastAsia="Arial" w:hAnsi="Arial"/>
          <w:sz w:val="18"/>
          <w:szCs w:val="18"/>
          <w:color w:val="auto"/>
        </w:rPr>
        <w:t>”) and any other rule or regulation of the SEC that may at any time permit a Holder to sell securities of the Company to the public without registration, the Company agrees to use reasonable best efforts to:</w:t>
      </w:r>
    </w:p>
    <w:p>
      <w:pPr>
        <w:spacing w:after="0" w:line="180" w:lineRule="exact"/>
        <w:rPr>
          <w:sz w:val="20"/>
          <w:szCs w:val="20"/>
          <w:color w:val="auto"/>
        </w:rPr>
      </w:pPr>
    </w:p>
    <w:p>
      <w:pPr>
        <w:ind w:left="1320" w:hanging="664"/>
        <w:spacing w:after="0"/>
        <w:tabs>
          <w:tab w:leader="none" w:pos="1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make and keep public information available (as those terms are understood and defined in Rule 144) at all times after the date hereof;</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Company under the Exchange Act; and</w:t>
      </w:r>
    </w:p>
    <w:p>
      <w:pPr>
        <w:spacing w:after="0" w:line="225" w:lineRule="exact"/>
        <w:rPr>
          <w:rFonts w:ascii="Arial" w:cs="Arial" w:eastAsia="Arial" w:hAnsi="Arial"/>
          <w:sz w:val="18"/>
          <w:szCs w:val="18"/>
          <w:color w:val="auto"/>
        </w:rPr>
      </w:pPr>
    </w:p>
    <w:p>
      <w:pPr>
        <w:ind w:right="20" w:firstLine="656"/>
        <w:spacing w:after="0" w:line="257" w:lineRule="auto"/>
        <w:tabs>
          <w:tab w:leader="none" w:pos="1299"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furnish to any Holder, forthwith upon request, (i) a written statement by the Company that it has complied with the reporting requirements of Rule 144, the Securities Act and the Exchange Act (at any time after it has become subject to such reporting requirements), (ii) a copy of the most recent annual or periodic report of the Company and such other reports and documents so filed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such report or document described in this </w:t>
      </w:r>
      <w:r>
        <w:rPr>
          <w:rFonts w:ascii="Arial" w:cs="Arial" w:eastAsia="Arial" w:hAnsi="Arial"/>
          <w:sz w:val="18"/>
          <w:szCs w:val="18"/>
          <w:u w:val="single" w:color="auto"/>
          <w:color w:val="auto"/>
        </w:rPr>
        <w:t>subsection (ii)</w:t>
      </w:r>
      <w:r>
        <w:rPr>
          <w:rFonts w:ascii="Arial" w:cs="Arial" w:eastAsia="Arial" w:hAnsi="Arial"/>
          <w:sz w:val="18"/>
          <w:szCs w:val="18"/>
          <w:color w:val="auto"/>
        </w:rPr>
        <w:t xml:space="preserve"> made available by the Company through EDGAR shall be deemed so furnished), and (iii) such other information as may be reasonably requested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availing any Holder of any rule or regulation of the SEC which permits the selling of any such securities without registration or pursuant to such form.</w:t>
      </w:r>
    </w:p>
    <w:p>
      <w:pPr>
        <w:spacing w:after="0" w:line="237"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Assignment of Rights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For so long as this Agreement is in effect, the rights to cause the Company to register Registrable Securities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may only be assigned by a Holder to (i) an Affiliate of such Holder or (ii) any assignee that, together with its Affiliates, will hold 3% or more of the issued and outstanding Common Shares after giving effect to such assignment;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hereof, such assignee agrees in writing to be subject to the terms and conditions of this Agreement. Subject to the foregoing, any assignment pursuant to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be conditioned upon prior written notice to the Company identifying the name and address of the assignee and any other material information as to the identity of such assignee as may be reasonably requested and upon the agreement of such assignee to be bound by the terms of this Agreement. Notwithstanding anything to the contrary contained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any Holder may elect to transfer all or a portion of its Registrable Securities to any third party without assigning its rights hereunder with respect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any such event all rights under this Agreement with respect to the Registrable Securities so transferred shall cease and terminate. References to a Holder in this Agreement shall be deemed to include any such transferee or assignee permitted by this </w:t>
      </w:r>
      <w:r>
        <w:rPr>
          <w:rFonts w:ascii="Arial" w:cs="Arial" w:eastAsia="Arial" w:hAnsi="Arial"/>
          <w:sz w:val="17"/>
          <w:szCs w:val="17"/>
          <w:u w:val="single" w:color="auto"/>
          <w:color w:val="auto"/>
        </w:rPr>
        <w:t>Section 8</w:t>
      </w:r>
      <w:r>
        <w:rPr>
          <w:rFonts w:ascii="Arial" w:cs="Arial" w:eastAsia="Arial" w:hAnsi="Arial"/>
          <w:sz w:val="17"/>
          <w:szCs w:val="17"/>
          <w:color w:val="auto"/>
        </w:rPr>
        <w:t>.</w:t>
      </w:r>
    </w:p>
    <w:p>
      <w:pPr>
        <w:spacing w:after="0" w:line="185"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Amendment of Registration Rights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Any provision of this Agreement may be amended and the observance thereof may be waived (either generally or in a particular instance and either retroactively or prospectively) only with the written consent of the Company and the Holders of 66-2/3% or more of the then outstanding Registrable Securities, provided that, if any amendment, modification or waiver disproportionately and adversely impacts a Holder (or group of Holders), the consent of such disproportionately impacted Holder (or group of Holders) shall be required.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provided, however, that the provisions of this sentence may not be amended, modified, or supplemented except in accordance with the provisions of the first sentence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No consideration shall be offered or paid to any Person to amend or consent to a waiver or modification of any provision of this Agreement unless the same consideration also is offered to all of the parties to this Agreement. Any amendment or waiver effected in accordance with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shall be binding upon each Holder and the Company.</w:t>
      </w:r>
    </w:p>
    <w:p>
      <w:pPr>
        <w:spacing w:after="0" w:line="185"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Expiration, Termination and Delay of Registration</w:t>
      </w:r>
    </w:p>
    <w:p>
      <w:pPr>
        <w:spacing w:after="0" w:line="225" w:lineRule="exact"/>
        <w:rPr>
          <w:sz w:val="20"/>
          <w:szCs w:val="20"/>
          <w:color w:val="auto"/>
        </w:rPr>
      </w:pPr>
    </w:p>
    <w:p>
      <w:pPr>
        <w:ind w:left="1320" w:hanging="66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Holder’s registration rights will expire at such time that such Holder no longer owns any Registrable Securities.</w:t>
      </w:r>
    </w:p>
    <w:p>
      <w:pPr>
        <w:spacing w:after="0" w:line="225" w:lineRule="exact"/>
        <w:rPr>
          <w:rFonts w:ascii="Arial" w:cs="Arial" w:eastAsia="Arial" w:hAnsi="Arial"/>
          <w:sz w:val="18"/>
          <w:szCs w:val="18"/>
          <w:color w:val="auto"/>
        </w:rPr>
      </w:pPr>
    </w:p>
    <w:p>
      <w:pPr>
        <w:ind w:right="20" w:firstLine="656"/>
        <w:spacing w:after="0" w:line="263" w:lineRule="auto"/>
        <w:tabs>
          <w:tab w:leader="none" w:pos="12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Company shall have no further obligations pursuant to this Agreement at such time as no Registrable Securities are outstanding after their original issuance;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Company’s obligations under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(and any related definitions) shall remain in full force and effect following such time.</w:t>
      </w:r>
    </w:p>
    <w:p>
      <w:pPr>
        <w:spacing w:after="0" w:line="183" w:lineRule="exact"/>
        <w:rPr>
          <w:rFonts w:ascii="Arial" w:cs="Arial" w:eastAsia="Arial" w:hAnsi="Arial"/>
          <w:sz w:val="18"/>
          <w:szCs w:val="18"/>
          <w:color w:val="auto"/>
        </w:rPr>
      </w:pPr>
    </w:p>
    <w:p>
      <w:pPr>
        <w:ind w:right="80" w:firstLine="656"/>
        <w:spacing w:after="0" w:line="277" w:lineRule="auto"/>
        <w:tabs>
          <w:tab w:leader="none" w:pos="12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Holder shall have any right to obtain or seek an injunction restraining or otherwise delaying any such registration as the result of any controversy that might arise with respect to the interpretation or implementation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9" w:name="page30"/>
    <w:bookmarkEnd w:id="29"/>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on Subsequent Registration Rights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From and after the date hereof, the Company may not, without the prior written consent of the Holders, enter into any agreement with any holder or prospective holder of any securities of the Company which provides such holder or prospective holder of securities of the Company information or registration rights that are inconsistent in any material respect with, superior to or in any way violates or subordinates the rights granted to the Holders hereby.</w:t>
      </w:r>
    </w:p>
    <w:p>
      <w:pPr>
        <w:spacing w:after="0" w:line="187"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1" w:lineRule="exact"/>
        <w:rPr>
          <w:sz w:val="20"/>
          <w:szCs w:val="20"/>
          <w:color w:val="auto"/>
        </w:rPr>
      </w:pPr>
    </w:p>
    <w:p>
      <w:pPr>
        <w:ind w:firstLine="656"/>
        <w:spacing w:after="0" w:line="281" w:lineRule="auto"/>
        <w:tabs>
          <w:tab w:leader="none" w:pos="1309" w:val="left"/>
        </w:tabs>
        <w:numPr>
          <w:ilvl w:val="0"/>
          <w:numId w:val="39"/>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and other communications provided for or permitted hereunder shall be in writing and shall be deemed to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duly given and received when delivered by overnight courier or hand delivery, when sent by telecopy, or five days after mailing if sent by registered or certified mail (return receipt requested) postage prepaid, to the parties at the following addresses (or at such other address for any party as shall be specified by like notices,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notices of a change of address shall be effective only upon receipt thereof).</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GasLog Ltd.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Secretary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GasLog Services UK Ltd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99 Kings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SW3 4NX</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London, UK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any Holder of Registrable Securities, to such Person’s address as set forth under its name on the signature pages hereof.</w:t>
      </w:r>
    </w:p>
    <w:p>
      <w:pPr>
        <w:spacing w:after="0" w:line="221" w:lineRule="exact"/>
        <w:rPr>
          <w:sz w:val="20"/>
          <w:szCs w:val="20"/>
          <w:color w:val="auto"/>
        </w:rPr>
      </w:pPr>
    </w:p>
    <w:p>
      <w:pPr>
        <w:ind w:right="240" w:firstLine="656"/>
        <w:spacing w:after="0" w:line="282" w:lineRule="auto"/>
        <w:tabs>
          <w:tab w:leader="none" w:pos="1299"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and the same instrument.</w:t>
      </w:r>
    </w:p>
    <w:p>
      <w:pPr>
        <w:spacing w:after="0" w:line="161" w:lineRule="exact"/>
        <w:rPr>
          <w:rFonts w:ascii="Arial" w:cs="Arial" w:eastAsia="Arial" w:hAnsi="Arial"/>
          <w:sz w:val="18"/>
          <w:szCs w:val="18"/>
          <w:color w:val="auto"/>
        </w:rPr>
      </w:pPr>
    </w:p>
    <w:p>
      <w:pPr>
        <w:ind w:right="200" w:firstLine="656"/>
        <w:spacing w:after="0" w:line="282" w:lineRule="auto"/>
        <w:tabs>
          <w:tab w:leader="none" w:pos="1299"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section and paragraph headings contained in this Agreement are for reference purposes only and shall not affect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way the meaning or interpretation of this Agreement.</w:t>
      </w:r>
    </w:p>
    <w:p>
      <w:pPr>
        <w:spacing w:after="0" w:line="161" w:lineRule="exact"/>
        <w:rPr>
          <w:rFonts w:ascii="Arial" w:cs="Arial" w:eastAsia="Arial" w:hAnsi="Arial"/>
          <w:sz w:val="18"/>
          <w:szCs w:val="18"/>
          <w:color w:val="auto"/>
        </w:rPr>
      </w:pPr>
    </w:p>
    <w:p>
      <w:pPr>
        <w:jc w:val="both"/>
        <w:ind w:right="220" w:firstLine="656"/>
        <w:spacing w:after="0" w:line="266" w:lineRule="auto"/>
        <w:tabs>
          <w:tab w:leader="none" w:pos="1309"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NEW YORK, EXCLUDING ANY CONFLICT-OF-LAWS RULE OR PRINCIPLE THAT MIGHT REFER THE GOVERNANCE OR THE CONSTRUCTION OF THIS AGREEMENT TO THE LAW OF ANOTHER JURISDICTION.</w:t>
      </w:r>
    </w:p>
    <w:p>
      <w:pPr>
        <w:spacing w:after="0" w:line="175" w:lineRule="exact"/>
        <w:rPr>
          <w:rFonts w:ascii="Arial" w:cs="Arial" w:eastAsia="Arial" w:hAnsi="Arial"/>
          <w:sz w:val="18"/>
          <w:szCs w:val="18"/>
          <w:color w:val="auto"/>
        </w:rPr>
      </w:pPr>
    </w:p>
    <w:p>
      <w:pPr>
        <w:ind w:right="100" w:firstLine="656"/>
        <w:spacing w:after="0" w:line="266" w:lineRule="auto"/>
        <w:tabs>
          <w:tab w:leader="none" w:pos="1302"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to be invalid,</w:t>
      </w:r>
      <w:r>
        <w:rPr>
          <w:rFonts w:ascii="Arial" w:cs="Arial" w:eastAsia="Arial" w:hAnsi="Arial"/>
          <w:sz w:val="18"/>
          <w:szCs w:val="18"/>
          <w:b w:val="1"/>
          <w:bCs w:val="1"/>
          <w:color w:val="auto"/>
        </w:rPr>
        <w:t xml:space="preserve"> </w:t>
      </w:r>
      <w:r>
        <w:rPr>
          <w:rFonts w:ascii="Arial" w:cs="Arial" w:eastAsia="Arial" w:hAnsi="Arial"/>
          <w:sz w:val="18"/>
          <w:szCs w:val="18"/>
          <w:color w:val="auto"/>
        </w:rPr>
        <w:t>illegal, void or unenforceable, the remainder of the terms, provisions, covenants and restrictions set forth herein shall remain in full force and effect and shall in no way be affected, impaired or invalidated, and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 w:name="page31"/>
    <w:bookmarkEnd w:id="30"/>
    <w:p>
      <w:pPr>
        <w:spacing w:after="0" w:line="311" w:lineRule="auto"/>
        <w:rPr>
          <w:sz w:val="20"/>
          <w:szCs w:val="20"/>
          <w:color w:val="auto"/>
        </w:rPr>
      </w:pPr>
      <w:r>
        <w:rPr>
          <w:rFonts w:ascii="Arial" w:cs="Arial" w:eastAsia="Arial" w:hAnsi="Arial"/>
          <w:sz w:val="16"/>
          <w:szCs w:val="16"/>
          <w:color w:val="auto"/>
        </w:rPr>
        <w:t>shall use their reasonable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45" w:lineRule="exact"/>
        <w:rPr>
          <w:sz w:val="20"/>
          <w:szCs w:val="20"/>
          <w:color w:val="auto"/>
        </w:rPr>
      </w:pPr>
    </w:p>
    <w:p>
      <w:pPr>
        <w:ind w:right="100" w:firstLine="656"/>
        <w:spacing w:after="0" w:line="258" w:lineRule="auto"/>
        <w:tabs>
          <w:tab w:leader="none" w:pos="1292"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is intended by the parties as a final expression of their agreement, and is intended to be a complete</w:t>
      </w:r>
      <w:r>
        <w:rPr>
          <w:rFonts w:ascii="Arial" w:cs="Arial" w:eastAsia="Arial" w:hAnsi="Arial"/>
          <w:sz w:val="18"/>
          <w:szCs w:val="18"/>
          <w:b w:val="1"/>
          <w:bCs w:val="1"/>
          <w:color w:val="auto"/>
        </w:rPr>
        <w:t xml:space="preserve"> </w:t>
      </w:r>
      <w:r>
        <w:rPr>
          <w:rFonts w:ascii="Arial" w:cs="Arial" w:eastAsia="Arial" w:hAnsi="Arial"/>
          <w:sz w:val="18"/>
          <w:szCs w:val="18"/>
          <w:color w:val="auto"/>
        </w:rPr>
        <w:t>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Registrable Securities. This Agreement supersedes all prior written or oral agreements and understandings between the parties with respect to such subject matter.</w:t>
      </w:r>
    </w:p>
    <w:p>
      <w:pPr>
        <w:spacing w:after="0" w:line="183" w:lineRule="exact"/>
        <w:rPr>
          <w:rFonts w:ascii="Arial" w:cs="Arial" w:eastAsia="Arial" w:hAnsi="Arial"/>
          <w:sz w:val="18"/>
          <w:szCs w:val="18"/>
          <w:color w:val="auto"/>
        </w:rPr>
      </w:pPr>
    </w:p>
    <w:p>
      <w:pPr>
        <w:ind w:right="280" w:firstLine="656"/>
        <w:spacing w:after="0" w:line="266" w:lineRule="auto"/>
        <w:tabs>
          <w:tab w:leader="none" w:pos="1309"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Held by the Company or its Subsidiaries</w:t>
      </w:r>
      <w:r>
        <w:rPr>
          <w:rFonts w:ascii="Arial" w:cs="Arial" w:eastAsia="Arial" w:hAnsi="Arial"/>
          <w:sz w:val="18"/>
          <w:szCs w:val="18"/>
          <w:color w:val="auto"/>
        </w:rPr>
        <w:t>. Whenever the consent or approval of Holders of a specified percentage of</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Registrable Securities is required hereunder, Registrable Securities held by the Company or its subsidiaries shall not be counted in determining whether such consent or approval was given by the Holders of such required percentage.</w:t>
      </w:r>
    </w:p>
    <w:p>
      <w:pPr>
        <w:spacing w:after="0" w:line="175" w:lineRule="exact"/>
        <w:rPr>
          <w:rFonts w:ascii="Arial" w:cs="Arial" w:eastAsia="Arial" w:hAnsi="Arial"/>
          <w:sz w:val="18"/>
          <w:szCs w:val="18"/>
          <w:color w:val="auto"/>
        </w:rPr>
      </w:pPr>
    </w:p>
    <w:p>
      <w:pPr>
        <w:ind w:right="260" w:firstLine="656"/>
        <w:spacing w:after="0" w:line="282"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shall terminate when no Registrable Securities remain outstanding;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3</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u w:val="single" w:color="auto"/>
          <w:color w:val="auto"/>
        </w:rPr>
        <w:t>6</w:t>
      </w:r>
      <w:r>
        <w:rPr>
          <w:rFonts w:ascii="Arial" w:cs="Arial" w:eastAsia="Arial" w:hAnsi="Arial"/>
          <w:sz w:val="18"/>
          <w:szCs w:val="18"/>
          <w:color w:val="auto"/>
        </w:rPr>
        <w:t xml:space="preserve"> shall survive any termination hereof.</w:t>
      </w:r>
    </w:p>
    <w:p>
      <w:pPr>
        <w:spacing w:after="0" w:line="161" w:lineRule="exact"/>
        <w:rPr>
          <w:rFonts w:ascii="Arial" w:cs="Arial" w:eastAsia="Arial" w:hAnsi="Arial"/>
          <w:sz w:val="18"/>
          <w:szCs w:val="18"/>
          <w:color w:val="auto"/>
        </w:rPr>
      </w:pPr>
    </w:p>
    <w:p>
      <w:pPr>
        <w:jc w:val="both"/>
        <w:ind w:right="240" w:firstLine="656"/>
        <w:spacing w:after="0" w:line="266" w:lineRule="auto"/>
        <w:tabs>
          <w:tab w:leader="none" w:pos="1293"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Specific Performance</w:t>
      </w:r>
      <w:r>
        <w:rPr>
          <w:rFonts w:ascii="Arial" w:cs="Arial" w:eastAsia="Arial" w:hAnsi="Arial"/>
          <w:sz w:val="18"/>
          <w:szCs w:val="18"/>
          <w:color w:val="auto"/>
        </w:rPr>
        <w:t>. The parties hereto recognize and agree that money damages may be insufficient to compensate the 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any Registrable Securities for breaches by the Company of the terms hereof and, consequently, that the equitable remedy of specific performance of the terms hereof will be available in the event of any such breach.</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color w:val="auto"/>
        </w:rPr>
        <w:t>IN WITNESS WHEREOF, the parties hereto have caused this Registration Rights Agreement to be duly executed as of the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8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Wogan</w:t>
            </w:r>
          </w:p>
        </w:tc>
        <w:tc>
          <w:tcPr>
            <w:tcW w:w="40" w:type="dxa"/>
            <w:vAlign w:val="bottom"/>
          </w:tcPr>
          <w:p>
            <w:pPr>
              <w:spacing w:after="0"/>
              <w:rPr>
                <w:sz w:val="20"/>
                <w:szCs w:val="20"/>
                <w:color w:val="auto"/>
              </w:rPr>
            </w:pPr>
          </w:p>
        </w:tc>
      </w:tr>
      <w:tr>
        <w:trPr>
          <w:trHeight w:val="195"/>
        </w:trPr>
        <w:tc>
          <w:tcPr>
            <w:tcW w:w="640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Name: Paul Wogan</w:t>
            </w:r>
          </w:p>
        </w:tc>
        <w:tc>
          <w:tcPr>
            <w:tcW w:w="40" w:type="dxa"/>
            <w:vAlign w:val="bottom"/>
          </w:tcPr>
          <w:p>
            <w:pPr>
              <w:spacing w:after="0"/>
              <w:rPr>
                <w:sz w:val="16"/>
                <w:szCs w:val="16"/>
                <w:color w:val="auto"/>
              </w:rPr>
            </w:pPr>
          </w:p>
        </w:tc>
      </w:tr>
      <w:tr>
        <w:trPr>
          <w:trHeight w:val="230"/>
        </w:trPr>
        <w:tc>
          <w:tcPr>
            <w:tcW w:w="640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Title: CEO &amp; Director</w:t>
            </w:r>
          </w:p>
        </w:tc>
        <w:tc>
          <w:tcPr>
            <w:tcW w:w="40" w:type="dxa"/>
            <w:vAlign w:val="bottom"/>
          </w:tcPr>
          <w:p>
            <w:pPr>
              <w:spacing w:after="0"/>
              <w:rPr>
                <w:sz w:val="20"/>
                <w:szCs w:val="20"/>
                <w:color w:val="auto"/>
              </w:rPr>
            </w:pPr>
          </w:p>
        </w:tc>
      </w:tr>
      <w:tr>
        <w:trPr>
          <w:trHeight w:val="432"/>
        </w:trPr>
        <w:tc>
          <w:tcPr>
            <w:tcW w:w="6400" w:type="dxa"/>
            <w:vAlign w:val="bottom"/>
          </w:tcPr>
          <w:p>
            <w:pPr>
              <w:ind w:left="58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Larkins</w:t>
            </w:r>
          </w:p>
        </w:tc>
        <w:tc>
          <w:tcPr>
            <w:tcW w:w="40" w:type="dxa"/>
            <w:vAlign w:val="bottom"/>
          </w:tcPr>
          <w:p>
            <w:pPr>
              <w:spacing w:after="0"/>
              <w:rPr>
                <w:sz w:val="24"/>
                <w:szCs w:val="24"/>
                <w:color w:val="auto"/>
              </w:rPr>
            </w:pPr>
          </w:p>
        </w:tc>
      </w:tr>
      <w:tr>
        <w:trPr>
          <w:trHeight w:val="195"/>
        </w:trPr>
        <w:tc>
          <w:tcPr>
            <w:tcW w:w="640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Name: Sarah Larkins</w:t>
            </w:r>
          </w:p>
        </w:tc>
        <w:tc>
          <w:tcPr>
            <w:tcW w:w="40" w:type="dxa"/>
            <w:vAlign w:val="bottom"/>
          </w:tcPr>
          <w:p>
            <w:pPr>
              <w:spacing w:after="0"/>
              <w:rPr>
                <w:sz w:val="16"/>
                <w:szCs w:val="16"/>
                <w:color w:val="auto"/>
              </w:rPr>
            </w:pPr>
          </w:p>
        </w:tc>
      </w:tr>
      <w:tr>
        <w:trPr>
          <w:trHeight w:val="230"/>
        </w:trPr>
        <w:tc>
          <w:tcPr>
            <w:tcW w:w="640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Title: Assistant Company Secretary</w:t>
            </w:r>
          </w:p>
        </w:tc>
        <w:tc>
          <w:tcPr>
            <w:tcW w:w="40" w:type="dxa"/>
            <w:vAlign w:val="bottom"/>
          </w:tcPr>
          <w:p>
            <w:pPr>
              <w:spacing w:after="0"/>
              <w:rPr>
                <w:sz w:val="20"/>
                <w:szCs w:val="20"/>
                <w:color w:val="auto"/>
              </w:rPr>
            </w:pPr>
          </w:p>
        </w:tc>
      </w:tr>
      <w:tr>
        <w:trPr>
          <w:trHeight w:val="432"/>
        </w:trPr>
        <w:tc>
          <w:tcPr>
            <w:tcW w:w="11240" w:type="dxa"/>
            <w:vAlign w:val="bottom"/>
            <w:gridSpan w:val="2"/>
          </w:tcPr>
          <w:p>
            <w:pPr>
              <w:ind w:left="5620"/>
              <w:spacing w:after="0"/>
              <w:rPr>
                <w:sz w:val="20"/>
                <w:szCs w:val="20"/>
                <w:color w:val="auto"/>
              </w:rPr>
            </w:pPr>
            <w:r>
              <w:rPr>
                <w:rFonts w:ascii="Arial" w:cs="Arial" w:eastAsia="Arial" w:hAnsi="Arial"/>
                <w:sz w:val="18"/>
                <w:szCs w:val="18"/>
                <w:color w:val="auto"/>
              </w:rPr>
              <w:t>BRUCE L BLYTHE,</w:t>
            </w:r>
          </w:p>
        </w:tc>
        <w:tc>
          <w:tcPr>
            <w:tcW w:w="40" w:type="dxa"/>
            <w:vAlign w:val="bottom"/>
          </w:tcPr>
          <w:p>
            <w:pPr>
              <w:spacing w:after="0"/>
              <w:rPr>
                <w:sz w:val="24"/>
                <w:szCs w:val="24"/>
                <w:color w:val="auto"/>
              </w:rPr>
            </w:pPr>
          </w:p>
        </w:tc>
      </w:tr>
      <w:tr>
        <w:trPr>
          <w:trHeight w:val="432"/>
        </w:trPr>
        <w:tc>
          <w:tcPr>
            <w:tcW w:w="6400" w:type="dxa"/>
            <w:vAlign w:val="bottom"/>
          </w:tcPr>
          <w:p>
            <w:pPr>
              <w:ind w:left="58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L Blythe</w:t>
            </w:r>
          </w:p>
        </w:tc>
        <w:tc>
          <w:tcPr>
            <w:tcW w:w="40" w:type="dxa"/>
            <w:vAlign w:val="bottom"/>
          </w:tcPr>
          <w:p>
            <w:pPr>
              <w:spacing w:after="0"/>
              <w:rPr>
                <w:sz w:val="24"/>
                <w:szCs w:val="24"/>
                <w:color w:val="auto"/>
              </w:rPr>
            </w:pPr>
          </w:p>
        </w:tc>
      </w:tr>
      <w:tr>
        <w:trPr>
          <w:trHeight w:val="224"/>
        </w:trPr>
        <w:tc>
          <w:tcPr>
            <w:tcW w:w="640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Name: Bruce L Blythe</w:t>
            </w:r>
          </w:p>
        </w:tc>
        <w:tc>
          <w:tcPr>
            <w:tcW w:w="40" w:type="dxa"/>
            <w:vAlign w:val="bottom"/>
          </w:tcPr>
          <w:p>
            <w:pPr>
              <w:spacing w:after="0"/>
              <w:rPr>
                <w:sz w:val="19"/>
                <w:szCs w:val="19"/>
                <w:color w:val="auto"/>
              </w:rPr>
            </w:pPr>
          </w:p>
        </w:tc>
      </w:tr>
      <w:tr>
        <w:trPr>
          <w:trHeight w:val="634"/>
        </w:trPr>
        <w:tc>
          <w:tcPr>
            <w:tcW w:w="11240" w:type="dxa"/>
            <w:vAlign w:val="bottom"/>
            <w:gridSpan w:val="2"/>
          </w:tcPr>
          <w:p>
            <w:pPr>
              <w:ind w:left="5620"/>
              <w:spacing w:after="0"/>
              <w:rPr>
                <w:sz w:val="20"/>
                <w:szCs w:val="20"/>
                <w:color w:val="auto"/>
              </w:rPr>
            </w:pPr>
            <w:r>
              <w:rPr>
                <w:rFonts w:ascii="Arial" w:cs="Arial" w:eastAsia="Arial" w:hAnsi="Arial"/>
                <w:sz w:val="18"/>
                <w:szCs w:val="18"/>
                <w:color w:val="auto"/>
              </w:rPr>
              <w:t>MARK DENNING,</w:t>
            </w:r>
          </w:p>
        </w:tc>
        <w:tc>
          <w:tcPr>
            <w:tcW w:w="40" w:type="dxa"/>
            <w:vAlign w:val="bottom"/>
          </w:tcPr>
          <w:p>
            <w:pPr>
              <w:spacing w:after="0"/>
              <w:rPr>
                <w:sz w:val="24"/>
                <w:szCs w:val="24"/>
                <w:color w:val="auto"/>
              </w:rPr>
            </w:pPr>
          </w:p>
        </w:tc>
      </w:tr>
      <w:tr>
        <w:trPr>
          <w:trHeight w:val="432"/>
        </w:trPr>
        <w:tc>
          <w:tcPr>
            <w:tcW w:w="6400" w:type="dxa"/>
            <w:vAlign w:val="bottom"/>
          </w:tcPr>
          <w:p>
            <w:pPr>
              <w:ind w:left="58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Denning</w:t>
            </w:r>
          </w:p>
        </w:tc>
        <w:tc>
          <w:tcPr>
            <w:tcW w:w="40" w:type="dxa"/>
            <w:vAlign w:val="bottom"/>
          </w:tcPr>
          <w:p>
            <w:pPr>
              <w:spacing w:after="0"/>
              <w:rPr>
                <w:sz w:val="24"/>
                <w:szCs w:val="24"/>
                <w:color w:val="auto"/>
              </w:rPr>
            </w:pPr>
          </w:p>
        </w:tc>
      </w:tr>
      <w:tr>
        <w:trPr>
          <w:trHeight w:val="224"/>
        </w:trPr>
        <w:tc>
          <w:tcPr>
            <w:tcW w:w="640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Name: Mark Denning</w:t>
            </w:r>
          </w:p>
        </w:tc>
        <w:tc>
          <w:tcPr>
            <w:tcW w:w="40" w:type="dxa"/>
            <w:vAlign w:val="bottom"/>
          </w:tcPr>
          <w:p>
            <w:pPr>
              <w:spacing w:after="0"/>
              <w:rPr>
                <w:sz w:val="19"/>
                <w:szCs w:val="19"/>
                <w:color w:val="auto"/>
              </w:rPr>
            </w:pPr>
          </w:p>
        </w:tc>
      </w:tr>
      <w:tr>
        <w:trPr>
          <w:trHeight w:val="418"/>
        </w:trPr>
        <w:tc>
          <w:tcPr>
            <w:tcW w:w="11240" w:type="dxa"/>
            <w:vAlign w:val="bottom"/>
            <w:gridSpan w:val="2"/>
          </w:tcPr>
          <w:p>
            <w:pPr>
              <w:ind w:left="5620"/>
              <w:spacing w:after="0"/>
              <w:rPr>
                <w:sz w:val="20"/>
                <w:szCs w:val="20"/>
                <w:color w:val="auto"/>
              </w:rPr>
            </w:pPr>
            <w:r>
              <w:rPr>
                <w:rFonts w:ascii="Arial" w:cs="Arial" w:eastAsia="Arial" w:hAnsi="Arial"/>
                <w:sz w:val="18"/>
                <w:szCs w:val="18"/>
                <w:color w:val="auto"/>
              </w:rPr>
              <w:t>FABBIAN INVESTMENTS LIMITED</w:t>
            </w:r>
          </w:p>
        </w:tc>
        <w:tc>
          <w:tcPr>
            <w:tcW w:w="40" w:type="dxa"/>
            <w:vAlign w:val="bottom"/>
          </w:tcPr>
          <w:p>
            <w:pPr>
              <w:spacing w:after="0"/>
              <w:rPr>
                <w:sz w:val="24"/>
                <w:szCs w:val="24"/>
                <w:color w:val="auto"/>
              </w:rPr>
            </w:pPr>
          </w:p>
        </w:tc>
      </w:tr>
      <w:tr>
        <w:trPr>
          <w:trHeight w:val="432"/>
        </w:trPr>
        <w:tc>
          <w:tcPr>
            <w:tcW w:w="6400" w:type="dxa"/>
            <w:vAlign w:val="bottom"/>
          </w:tcPr>
          <w:p>
            <w:pPr>
              <w:ind w:left="58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Tung Chee Chen</w:t>
            </w:r>
          </w:p>
        </w:tc>
        <w:tc>
          <w:tcPr>
            <w:tcW w:w="40" w:type="dxa"/>
            <w:vAlign w:val="bottom"/>
          </w:tcPr>
          <w:p>
            <w:pPr>
              <w:spacing w:after="0"/>
              <w:rPr>
                <w:sz w:val="24"/>
                <w:szCs w:val="24"/>
                <w:color w:val="auto"/>
              </w:rPr>
            </w:pPr>
          </w:p>
        </w:tc>
      </w:tr>
      <w:tr>
        <w:trPr>
          <w:trHeight w:val="224"/>
        </w:trPr>
        <w:tc>
          <w:tcPr>
            <w:tcW w:w="640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Name: Tung Chee Chen</w:t>
            </w:r>
          </w:p>
        </w:tc>
        <w:tc>
          <w:tcPr>
            <w:tcW w:w="40" w:type="dxa"/>
            <w:vAlign w:val="bottom"/>
          </w:tcPr>
          <w:p>
            <w:pPr>
              <w:spacing w:after="0"/>
              <w:rPr>
                <w:sz w:val="19"/>
                <w:szCs w:val="19"/>
                <w:color w:val="auto"/>
              </w:rPr>
            </w:pPr>
          </w:p>
        </w:tc>
      </w:tr>
      <w:tr>
        <w:trPr>
          <w:trHeight w:val="418"/>
        </w:trPr>
        <w:tc>
          <w:tcPr>
            <w:tcW w:w="11240" w:type="dxa"/>
            <w:vAlign w:val="bottom"/>
            <w:gridSpan w:val="2"/>
          </w:tcPr>
          <w:p>
            <w:pPr>
              <w:ind w:left="5620"/>
              <w:spacing w:after="0"/>
              <w:rPr>
                <w:sz w:val="20"/>
                <w:szCs w:val="20"/>
                <w:color w:val="auto"/>
              </w:rPr>
            </w:pPr>
            <w:r>
              <w:rPr>
                <w:rFonts w:ascii="Arial" w:cs="Arial" w:eastAsia="Arial" w:hAnsi="Arial"/>
                <w:sz w:val="18"/>
                <w:szCs w:val="18"/>
                <w:color w:val="auto"/>
              </w:rPr>
              <w:t>JEAN HARAMIS</w:t>
            </w:r>
          </w:p>
        </w:tc>
        <w:tc>
          <w:tcPr>
            <w:tcW w:w="40" w:type="dxa"/>
            <w:vAlign w:val="bottom"/>
          </w:tcPr>
          <w:p>
            <w:pPr>
              <w:spacing w:after="0"/>
              <w:rPr>
                <w:sz w:val="24"/>
                <w:szCs w:val="24"/>
                <w:color w:val="auto"/>
              </w:rPr>
            </w:pPr>
          </w:p>
        </w:tc>
      </w:tr>
      <w:tr>
        <w:trPr>
          <w:trHeight w:val="432"/>
        </w:trPr>
        <w:tc>
          <w:tcPr>
            <w:tcW w:w="6400" w:type="dxa"/>
            <w:vAlign w:val="bottom"/>
          </w:tcPr>
          <w:p>
            <w:pPr>
              <w:ind w:left="58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 Haramis</w:t>
            </w:r>
          </w:p>
        </w:tc>
        <w:tc>
          <w:tcPr>
            <w:tcW w:w="40" w:type="dxa"/>
            <w:vAlign w:val="bottom"/>
          </w:tcPr>
          <w:p>
            <w:pPr>
              <w:spacing w:after="0"/>
              <w:rPr>
                <w:sz w:val="24"/>
                <w:szCs w:val="24"/>
                <w:color w:val="auto"/>
              </w:rPr>
            </w:pPr>
          </w:p>
        </w:tc>
      </w:tr>
      <w:tr>
        <w:trPr>
          <w:trHeight w:val="224"/>
        </w:trPr>
        <w:tc>
          <w:tcPr>
            <w:tcW w:w="640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Name: Jean Haramis</w:t>
            </w:r>
          </w:p>
        </w:tc>
        <w:tc>
          <w:tcPr>
            <w:tcW w:w="40" w:type="dxa"/>
            <w:vAlign w:val="bottom"/>
          </w:tcPr>
          <w:p>
            <w:pPr>
              <w:spacing w:after="0"/>
              <w:rPr>
                <w:sz w:val="19"/>
                <w:szCs w:val="19"/>
                <w:color w:val="auto"/>
              </w:rPr>
            </w:pPr>
          </w:p>
        </w:tc>
      </w:tr>
      <w:tr>
        <w:trPr>
          <w:trHeight w:val="333"/>
        </w:trPr>
        <w:tc>
          <w:tcPr>
            <w:tcW w:w="640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32" w:name="page33"/>
    <w:bookmarkEnd w:id="32"/>
    <w:p>
      <w:pPr>
        <w:ind w:left="5620"/>
        <w:spacing w:after="0"/>
        <w:rPr>
          <w:sz w:val="20"/>
          <w:szCs w:val="20"/>
          <w:color w:val="auto"/>
        </w:rPr>
      </w:pPr>
      <w:r>
        <w:rPr>
          <w:rFonts w:ascii="Arial" w:cs="Arial" w:eastAsia="Arial" w:hAnsi="Arial"/>
          <w:sz w:val="18"/>
          <w:szCs w:val="18"/>
          <w:color w:val="auto"/>
        </w:rPr>
        <w:t>OLYMPIC LNG INVESTMENTS LTD</w:t>
      </w:r>
    </w:p>
    <w:p>
      <w:pPr>
        <w:spacing w:after="0" w:line="225" w:lineRule="exact"/>
        <w:rPr>
          <w:sz w:val="20"/>
          <w:szCs w:val="20"/>
          <w:color w:val="auto"/>
        </w:rPr>
      </w:pPr>
    </w:p>
    <w:tbl>
      <w:tblPr>
        <w:tblLayout w:type="fixed"/>
        <w:tblInd w:w="58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Marianna Moschou</w:t>
            </w:r>
          </w:p>
        </w:tc>
      </w:tr>
      <w:tr>
        <w:trPr>
          <w:trHeight w:val="224"/>
        </w:trPr>
        <w:tc>
          <w:tcPr>
            <w:tcW w:w="60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Name: Vice-President</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Michail Gialouris</w:t>
            </w:r>
          </w:p>
        </w:tc>
      </w:tr>
      <w:tr>
        <w:trPr>
          <w:trHeight w:val="224"/>
        </w:trPr>
        <w:tc>
          <w:tcPr>
            <w:tcW w:w="60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Name: Treasurer/Director</w:t>
            </w:r>
          </w:p>
        </w:tc>
      </w:tr>
    </w:tbl>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SHIP FINANCE MARITIME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8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Paolo Mondini</w:t>
            </w:r>
          </w:p>
        </w:tc>
        <w:tc>
          <w:tcPr>
            <w:tcW w:w="40" w:type="dxa"/>
            <w:vAlign w:val="bottom"/>
          </w:tcPr>
          <w:p>
            <w:pPr>
              <w:spacing w:after="0"/>
              <w:rPr>
                <w:sz w:val="20"/>
                <w:szCs w:val="20"/>
                <w:color w:val="auto"/>
              </w:rPr>
            </w:pPr>
          </w:p>
        </w:tc>
      </w:tr>
      <w:tr>
        <w:trPr>
          <w:trHeight w:val="224"/>
        </w:trPr>
        <w:tc>
          <w:tcPr>
            <w:tcW w:w="640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Name: President</w:t>
            </w:r>
          </w:p>
        </w:tc>
        <w:tc>
          <w:tcPr>
            <w:tcW w:w="40" w:type="dxa"/>
            <w:vAlign w:val="bottom"/>
          </w:tcPr>
          <w:p>
            <w:pPr>
              <w:spacing w:after="0"/>
              <w:rPr>
                <w:sz w:val="19"/>
                <w:szCs w:val="19"/>
                <w:color w:val="auto"/>
              </w:rPr>
            </w:pPr>
          </w:p>
        </w:tc>
      </w:tr>
      <w:tr>
        <w:trPr>
          <w:trHeight w:val="333"/>
        </w:trPr>
        <w:tc>
          <w:tcPr>
            <w:tcW w:w="640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280"/>
      </w:cols>
      <w:pgMar w:left="320" w:top="3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bullet"/>
      <w:start w:val="1"/>
    </w:lvl>
  </w:abstractNum>
  <w:abstractNum w:abstractNumId="1">
    <w:nsid w:val="333AB105"/>
    <w:multiLevelType w:val="hybridMultilevel"/>
    <w:lvl w:ilvl="0">
      <w:lvlJc w:val="left"/>
      <w:lvlText w:val="2"/>
      <w:numFmt w:val="bullet"/>
      <w:start w:val="1"/>
    </w:lvl>
  </w:abstractNum>
  <w:abstractNum w:abstractNumId="2">
    <w:nsid w:val="721DA317"/>
    <w:multiLevelType w:val="hybridMultilevel"/>
    <w:lvl w:ilvl="0">
      <w:lvlJc w:val="left"/>
      <w:lvlText w:val="3"/>
      <w:numFmt w:val="bullet"/>
      <w:start w:val="1"/>
    </w:lvl>
  </w:abstractNum>
  <w:abstractNum w:abstractNumId="3">
    <w:nsid w:val="2443A858"/>
    <w:multiLevelType w:val="hybridMultilevel"/>
    <w:lvl w:ilvl="0">
      <w:lvlJc w:val="left"/>
      <w:lvlText w:val="(%1)"/>
      <w:numFmt w:val="lowerLetter"/>
      <w:start w:val="1"/>
    </w:lvl>
    <w:lvl w:ilvl="1">
      <w:lvlJc w:val="left"/>
      <w:lvlText w:val="(%2)"/>
      <w:numFmt w:val="decimal"/>
      <w:start w:val="1"/>
    </w:lvl>
  </w:abstractNum>
  <w:abstractNum w:abstractNumId="4">
    <w:nsid w:val="2D1D5AE9"/>
    <w:multiLevelType w:val="hybridMultilevel"/>
    <w:lvl w:ilvl="0">
      <w:lvlJc w:val="left"/>
      <w:lvlText w:val="(%1)"/>
      <w:numFmt w:val="lowerRoman"/>
      <w:start w:val="1"/>
    </w:lvl>
  </w:abstractNum>
  <w:abstractNum w:abstractNumId="5">
    <w:nsid w:val="6763845E"/>
    <w:multiLevelType w:val="hybridMultilevel"/>
    <w:lvl w:ilvl="0">
      <w:lvlJc w:val="left"/>
      <w:lvlText w:val="(%1)"/>
      <w:numFmt w:val="lowerLetter"/>
      <w:start w:val="3"/>
    </w:lvl>
  </w:abstractNum>
  <w:abstractNum w:abstractNumId="6">
    <w:nsid w:val="75A2A8D4"/>
    <w:multiLevelType w:val="hybridMultilevel"/>
    <w:lvl w:ilvl="0">
      <w:lvlJc w:val="left"/>
      <w:lvlText w:val="(%1)"/>
      <w:numFmt w:val="lowerLetter"/>
      <w:start w:val="2"/>
    </w:lvl>
  </w:abstractNum>
  <w:abstractNum w:abstractNumId="7">
    <w:nsid w:val="8EDBDAB"/>
    <w:multiLevelType w:val="hybridMultilevel"/>
    <w:lvl w:ilvl="0">
      <w:lvlJc w:val="left"/>
      <w:lvlText w:val="(%1)"/>
      <w:numFmt w:val="lowerLetter"/>
      <w:start w:val="4"/>
    </w:lvl>
  </w:abstractNum>
  <w:abstractNum w:abstractNumId="8">
    <w:nsid w:val="79838CB2"/>
    <w:multiLevelType w:val="hybridMultilevel"/>
    <w:lvl w:ilvl="0">
      <w:lvlJc w:val="left"/>
      <w:lvlText w:val="(%1)"/>
      <w:numFmt w:val="upperLetter"/>
      <w:start w:val="2"/>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6"/>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2"/>
    </w:lvl>
  </w:abstractNum>
  <w:abstractNum w:abstractNumId="15">
    <w:nsid w:val="836C40E"/>
    <w:multiLevelType w:val="hybridMultilevel"/>
    <w:lvl w:ilvl="0">
      <w:lvlJc w:val="left"/>
      <w:lvlText w:val="%1."/>
      <w:numFmt w:val="upperLetter"/>
      <w:start w:val="1"/>
    </w:lvl>
  </w:abstractNum>
  <w:abstractNum w:abstractNumId="16">
    <w:nsid w:val="2901D82"/>
    <w:multiLevelType w:val="hybridMultilevel"/>
    <w:lvl w:ilvl="0">
      <w:lvlJc w:val="left"/>
      <w:lvlText w:val="%1."/>
      <w:numFmt w:val="upperLetter"/>
      <w:start w:val="2"/>
    </w:lvl>
    <w:lvl w:ilvl="1">
      <w:lvlJc w:val="left"/>
      <w:lvlText w:val="%2."/>
      <w:numFmt w:val="lowerRoman"/>
      <w:start w:val="1"/>
    </w:lvl>
  </w:abstractNum>
  <w:abstractNum w:abstractNumId="17">
    <w:nsid w:val="3A95F874"/>
    <w:multiLevelType w:val="hybridMultilevel"/>
    <w:lvl w:ilvl="0">
      <w:lvlJc w:val="left"/>
      <w:lvlText w:val="%1."/>
      <w:numFmt w:val="decimal"/>
      <w:start w:val="3"/>
    </w:lvl>
  </w:abstractNum>
  <w:abstractNum w:abstractNumId="18">
    <w:nsid w:val="8138641"/>
    <w:multiLevelType w:val="hybridMultilevel"/>
    <w:lvl w:ilvl="0">
      <w:lvlJc w:val="left"/>
      <w:lvlText w:val="%1."/>
      <w:numFmt w:val="upperLetter"/>
      <w:start w:val="1"/>
    </w:lvl>
  </w:abstractNum>
  <w:abstractNum w:abstractNumId="19">
    <w:nsid w:val="1E7FF521"/>
    <w:multiLevelType w:val="hybridMultilevel"/>
    <w:lvl w:ilvl="0">
      <w:lvlJc w:val="left"/>
      <w:lvlText w:val="%1."/>
      <w:numFmt w:val="decimal"/>
      <w:start w:val="4"/>
    </w:lvl>
  </w:abstractNum>
  <w:abstractNum w:abstractNumId="20">
    <w:nsid w:val="7C3DBD3D"/>
    <w:multiLevelType w:val="hybridMultilevel"/>
    <w:lvl w:ilvl="0">
      <w:lvlJc w:val="left"/>
      <w:lvlText w:val="%1."/>
      <w:numFmt w:val="upperLetter"/>
      <w:start w:val="1"/>
    </w:lvl>
    <w:lvl w:ilvl="1">
      <w:lvlJc w:val="left"/>
      <w:lvlText w:val="%2."/>
      <w:numFmt w:val="lowerRoman"/>
      <w:start w:val="1"/>
    </w:lvl>
  </w:abstractNum>
  <w:abstractNum w:abstractNumId="21">
    <w:nsid w:val="737B8DDC"/>
    <w:multiLevelType w:val="hybridMultilevel"/>
    <w:lvl w:ilvl="0">
      <w:lvlJc w:val="left"/>
      <w:lvlText w:val="%1."/>
      <w:numFmt w:val="lowerRoman"/>
      <w:start w:val="3"/>
    </w:lvl>
  </w:abstractNum>
  <w:abstractNum w:abstractNumId="22">
    <w:nsid w:val="6CEAF087"/>
    <w:multiLevelType w:val="hybridMultilevel"/>
    <w:lvl w:ilvl="0">
      <w:lvlJc w:val="left"/>
      <w:lvlText w:val="%1."/>
      <w:numFmt w:val="lowerRoman"/>
      <w:start w:val="4"/>
    </w:lvl>
  </w:abstractNum>
  <w:abstractNum w:abstractNumId="23">
    <w:nsid w:val="22221A70"/>
    <w:multiLevelType w:val="hybridMultilevel"/>
    <w:lvl w:ilvl="0">
      <w:lvlJc w:val="left"/>
      <w:lvlText w:val="%1"/>
      <w:numFmt w:val="upperLetter"/>
      <w:start w:val="1"/>
    </w:lvl>
    <w:lvl w:ilvl="1">
      <w:lvlJc w:val="left"/>
      <w:lvlText w:val="%2."/>
      <w:numFmt w:val="lowerRoman"/>
      <w:start w:val="10"/>
    </w:lvl>
  </w:abstractNum>
  <w:abstractNum w:abstractNumId="24">
    <w:nsid w:val="4516DDE9"/>
    <w:multiLevelType w:val="hybridMultilevel"/>
    <w:lvl w:ilvl="0">
      <w:lvlJc w:val="left"/>
      <w:lvlText w:val="%1."/>
      <w:numFmt w:val="upperLetter"/>
      <w:start w:val="2"/>
    </w:lvl>
    <w:lvl w:ilvl="1">
      <w:lvlJc w:val="left"/>
      <w:lvlText w:val="%2"/>
      <w:numFmt w:val="lowerRoman"/>
      <w:start w:val="1"/>
    </w:lvl>
  </w:abstractNum>
  <w:abstractNum w:abstractNumId="25">
    <w:nsid w:val="3006C83E"/>
    <w:multiLevelType w:val="hybridMultilevel"/>
    <w:lvl w:ilvl="0">
      <w:lvlJc w:val="left"/>
      <w:lvlText w:val="%1."/>
      <w:numFmt w:val="decimal"/>
      <w:start w:val="5"/>
    </w:lvl>
  </w:abstractNum>
  <w:abstractNum w:abstractNumId="26">
    <w:nsid w:val="614FD4A1"/>
    <w:multiLevelType w:val="hybridMultilevel"/>
    <w:lvl w:ilvl="0">
      <w:lvlJc w:val="left"/>
      <w:lvlText w:val="%1."/>
      <w:numFmt w:val="decimal"/>
      <w:start w:val="6"/>
    </w:lvl>
  </w:abstractNum>
  <w:abstractNum w:abstractNumId="27">
    <w:nsid w:val="419AC241"/>
    <w:multiLevelType w:val="hybridMultilevel"/>
    <w:lvl w:ilvl="0">
      <w:lvlJc w:val="left"/>
      <w:lvlText w:val="%1."/>
      <w:numFmt w:val="upperLetter"/>
      <w:start w:val="1"/>
    </w:lvl>
  </w:abstractNum>
  <w:abstractNum w:abstractNumId="28">
    <w:nsid w:val="5577F8E1"/>
    <w:multiLevelType w:val="hybridMultilevel"/>
    <w:lvl w:ilvl="0">
      <w:lvlJc w:val="left"/>
      <w:lvlText w:val="%1."/>
      <w:numFmt w:val="upperLetter"/>
      <w:start w:val="2"/>
    </w:lvl>
  </w:abstractNum>
  <w:abstractNum w:abstractNumId="29">
    <w:nsid w:val="440BADFC"/>
    <w:multiLevelType w:val="hybridMultilevel"/>
    <w:lvl w:ilvl="0">
      <w:lvlJc w:val="left"/>
      <w:lvlText w:val="%1."/>
      <w:numFmt w:val="upperLetter"/>
      <w:start w:val="4"/>
    </w:lvl>
  </w:abstractNum>
  <w:abstractNum w:abstractNumId="30">
    <w:nsid w:val="5072367"/>
    <w:multiLevelType w:val="hybridMultilevel"/>
    <w:lvl w:ilvl="0">
      <w:lvlJc w:val="left"/>
      <w:lvlText w:val="%1."/>
      <w:numFmt w:val="decimal"/>
      <w:start w:val="7"/>
    </w:lvl>
  </w:abstractNum>
  <w:abstractNum w:abstractNumId="31">
    <w:nsid w:val="3804823E"/>
    <w:multiLevelType w:val="hybridMultilevel"/>
    <w:lvl w:ilvl="0">
      <w:lvlJc w:val="left"/>
      <w:lvlText w:val="%1."/>
      <w:numFmt w:val="upperLetter"/>
      <w:start w:val="1"/>
    </w:lvl>
  </w:abstractNum>
  <w:abstractNum w:abstractNumId="32">
    <w:nsid w:val="77465F01"/>
    <w:multiLevelType w:val="hybridMultilevel"/>
    <w:lvl w:ilvl="0">
      <w:lvlJc w:val="left"/>
      <w:lvlText w:val="%1."/>
      <w:numFmt w:val="decimal"/>
      <w:start w:val="8"/>
    </w:lvl>
  </w:abstractNum>
  <w:abstractNum w:abstractNumId="33">
    <w:nsid w:val="7724C67E"/>
    <w:multiLevelType w:val="hybridMultilevel"/>
    <w:lvl w:ilvl="0">
      <w:lvlJc w:val="left"/>
      <w:lvlText w:val="%1."/>
      <w:numFmt w:val="decimal"/>
      <w:start w:val="9"/>
    </w:lvl>
  </w:abstractNum>
  <w:abstractNum w:abstractNumId="34">
    <w:nsid w:val="5C482A97"/>
    <w:multiLevelType w:val="hybridMultilevel"/>
    <w:lvl w:ilvl="0">
      <w:lvlJc w:val="left"/>
      <w:lvlText w:val="%1."/>
      <w:numFmt w:val="decimal"/>
      <w:start w:val="10"/>
    </w:lvl>
  </w:abstractNum>
  <w:abstractNum w:abstractNumId="35">
    <w:nsid w:val="2463B9EA"/>
    <w:multiLevelType w:val="hybridMultilevel"/>
    <w:lvl w:ilvl="0">
      <w:lvlJc w:val="left"/>
      <w:lvlText w:val="%1."/>
      <w:numFmt w:val="upperLetter"/>
      <w:start w:val="1"/>
    </w:lvl>
  </w:abstractNum>
  <w:abstractNum w:abstractNumId="36">
    <w:nsid w:val="5E884ADC"/>
    <w:multiLevelType w:val="hybridMultilevel"/>
    <w:lvl w:ilvl="0">
      <w:lvlJc w:val="left"/>
      <w:lvlText w:val="%1."/>
      <w:numFmt w:val="decimal"/>
      <w:start w:val="11"/>
    </w:lvl>
  </w:abstractNum>
  <w:abstractNum w:abstractNumId="37">
    <w:nsid w:val="51EAD36B"/>
    <w:multiLevelType w:val="hybridMultilevel"/>
    <w:lvl w:ilvl="0">
      <w:lvlJc w:val="left"/>
      <w:lvlText w:val="%1."/>
      <w:numFmt w:val="decimal"/>
      <w:start w:val="12"/>
    </w:lvl>
  </w:abstractNum>
  <w:abstractNum w:abstractNumId="38">
    <w:nsid w:val="2D517796"/>
    <w:multiLevelType w:val="hybridMultilevel"/>
    <w:lvl w:ilvl="0">
      <w:lvlJc w:val="left"/>
      <w:lvlText w:val="%1."/>
      <w:numFmt w:val="upperLetter"/>
      <w:start w:val="1"/>
    </w:lvl>
  </w:abstractNum>
  <w:abstractNum w:abstractNumId="39">
    <w:nsid w:val="580BD78F"/>
    <w:multiLevelType w:val="hybridMultilevel"/>
    <w:lvl w:ilvl="0">
      <w:lvlJc w:val="left"/>
      <w:lvlText w:val="%1."/>
      <w:numFmt w:val="upperLetter"/>
      <w:start w:val="2"/>
    </w:lvl>
  </w:abstractNum>
  <w:abstractNum w:abstractNumId="40">
    <w:nsid w:val="153EA438"/>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2020-07-02T05:47:19Z</dcterms:created>
  <dcterms:modified xsi:type="dcterms:W3CDTF">2020-07-02T05:47:19Z</dcterms:modified>
</cp:coreProperties>
</file>