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188595</wp:posOffset>
            </wp:positionV>
            <wp:extent cx="12344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224790</wp:posOffset>
            </wp:positionV>
            <wp:extent cx="12344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left="420" w:right="238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217170</wp:posOffset>
            </wp:positionV>
            <wp:extent cx="12344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GasLog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193040</wp:posOffset>
            </wp:positionV>
            <wp:extent cx="1234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LNG Services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 Akti Miaouli, 18537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Piraeus, Greece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+30 210 459 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Preference Shares, par value $0.01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203200</wp:posOffset>
            </wp:positionV>
            <wp:extent cx="1234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 12g-4(a)(1)</w:t>
            </w:r>
          </w:p>
        </w:tc>
        <w:tc>
          <w:tcPr>
            <w:tcW w:w="2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 12g-4(a)(2)</w:t>
            </w:r>
          </w:p>
        </w:tc>
        <w:tc>
          <w:tcPr>
            <w:tcW w:w="2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 12h-3(b)(1)(i)</w:t>
            </w:r>
          </w:p>
        </w:tc>
        <w:tc>
          <w:tcPr>
            <w:tcW w:w="2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 12h-3(b)(1)(ii)</w:t>
            </w:r>
          </w:p>
        </w:tc>
        <w:tc>
          <w:tcPr>
            <w:tcW w:w="2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 15d-6</w:t>
            </w:r>
          </w:p>
        </w:tc>
        <w:tc>
          <w:tcPr>
            <w:tcW w:w="2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Rule 15d-22(b)</w:t>
            </w:r>
          </w:p>
        </w:tc>
        <w:tc>
          <w:tcPr>
            <w:tcW w:w="2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r>
      <w:tr>
        <w:trPr>
          <w:trHeight w:val="399"/>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 holder</w:t>
            </w:r>
          </w:p>
        </w:tc>
        <w:tc>
          <w:tcPr>
            <w:tcW w:w="2980" w:type="dxa"/>
            <w:vAlign w:val="bottom"/>
          </w:tcPr>
          <w:p>
            <w:pPr>
              <w:spacing w:after="0"/>
              <w:rPr>
                <w:sz w:val="24"/>
                <w:szCs w:val="24"/>
                <w:color w:val="auto"/>
              </w:rPr>
            </w:pPr>
          </w:p>
        </w:tc>
      </w:tr>
      <w:tr>
        <w:trPr>
          <w:trHeight w:val="310"/>
        </w:trPr>
        <w:tc>
          <w:tcPr>
            <w:tcW w:w="8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163"/>
        </w:trPr>
        <w:tc>
          <w:tcPr>
            <w:tcW w:w="82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r>
      <w:tr>
        <w:trPr>
          <w:trHeight w:val="183"/>
        </w:trPr>
        <w:tc>
          <w:tcPr>
            <w:tcW w:w="8260" w:type="dxa"/>
            <w:vAlign w:val="bottom"/>
            <w:tcBorders>
              <w:bottom w:val="single" w:sz="8" w:color="BFBFBF"/>
            </w:tcBorders>
          </w:tcPr>
          <w:p>
            <w:pPr>
              <w:spacing w:after="0"/>
              <w:rPr>
                <w:sz w:val="15"/>
                <w:szCs w:val="15"/>
                <w:color w:val="auto"/>
              </w:rPr>
            </w:pPr>
          </w:p>
        </w:tc>
        <w:tc>
          <w:tcPr>
            <w:tcW w:w="2980" w:type="dxa"/>
            <w:vAlign w:val="bottom"/>
            <w:tcBorders>
              <w:bottom w:val="single" w:sz="8" w:color="BFBFBF"/>
            </w:tcBorders>
          </w:tcPr>
          <w:p>
            <w:pPr>
              <w:spacing w:after="0"/>
              <w:rPr>
                <w:sz w:val="15"/>
                <w:szCs w:val="15"/>
                <w:color w:val="auto"/>
              </w:rPr>
            </w:pPr>
          </w:p>
        </w:tc>
      </w:tr>
    </w:tbl>
    <w:p>
      <w:pPr>
        <w:sectPr>
          <w:pgSz w:w="11900" w:h="16838" w:orient="portrait"/>
          <w:cols w:equalWidth="0" w:num="1">
            <w:col w:w="11240"/>
          </w:cols>
          <w:pgMar w:left="320" w:top="732" w:right="339" w:bottom="1440" w:gutter="0" w:footer="0" w:header="0"/>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GasLog Ltd. has caused this certification/notice to be signed on its behalf by the undersigned duly authorized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7,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5620"/>
        <w:spacing w:after="0"/>
        <w:tabs>
          <w:tab w:leader="none" w:pos="5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25114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Name:Paolo Enoizi</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2024-06-07T07:05:23Z</dcterms:created>
  <dcterms:modified xsi:type="dcterms:W3CDTF">2024-06-07T07:05:23Z</dcterms:modified>
</cp:coreProperties>
</file>