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Common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G37585109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Olympic LNG Investments Ltd.</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 ASOFIN Management AG</w:t>
      </w:r>
    </w:p>
    <w:p>
      <w:pPr>
        <w:jc w:val="center"/>
        <w:ind w:right="-59"/>
        <w:spacing w:after="0" w:line="230" w:lineRule="auto"/>
        <w:rPr>
          <w:sz w:val="20"/>
          <w:szCs w:val="20"/>
          <w:color w:val="auto"/>
        </w:rPr>
      </w:pPr>
      <w:r>
        <w:rPr>
          <w:rFonts w:ascii="Arial" w:cs="Arial" w:eastAsia="Arial" w:hAnsi="Arial"/>
          <w:sz w:val="22"/>
          <w:szCs w:val="22"/>
          <w:b w:val="1"/>
          <w:bCs w:val="1"/>
          <w:color w:val="auto"/>
        </w:rPr>
        <w:t>Heiligkreuz 2, FL-9490 Vaduz</w:t>
      </w:r>
    </w:p>
    <w:p>
      <w:pPr>
        <w:jc w:val="center"/>
        <w:ind w:right="-59"/>
        <w:spacing w:after="0" w:line="231" w:lineRule="auto"/>
        <w:rPr>
          <w:sz w:val="20"/>
          <w:szCs w:val="20"/>
          <w:color w:val="auto"/>
        </w:rPr>
      </w:pPr>
      <w:r>
        <w:rPr>
          <w:rFonts w:ascii="Arial" w:cs="Arial" w:eastAsia="Arial" w:hAnsi="Arial"/>
          <w:sz w:val="22"/>
          <w:szCs w:val="22"/>
          <w:b w:val="1"/>
          <w:bCs w:val="1"/>
          <w:color w:val="auto"/>
        </w:rPr>
        <w:t>Liechtenstein</w:t>
      </w:r>
    </w:p>
    <w:p>
      <w:pPr>
        <w:jc w:val="center"/>
        <w:ind w:right="-59"/>
        <w:spacing w:after="0"/>
        <w:rPr>
          <w:sz w:val="20"/>
          <w:szCs w:val="20"/>
          <w:color w:val="auto"/>
        </w:rPr>
      </w:pPr>
      <w:r>
        <w:rPr>
          <w:rFonts w:ascii="Arial" w:cs="Arial" w:eastAsia="Arial" w:hAnsi="Arial"/>
          <w:sz w:val="22"/>
          <w:szCs w:val="22"/>
          <w:b w:val="1"/>
          <w:bCs w:val="1"/>
          <w:color w:val="auto"/>
        </w:rPr>
        <w:t>+423-237 48 03</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Copies to:</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 Scott Bennett, Esq.</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Cravath, Swaine &amp; Moore LLP</w:t>
      </w:r>
    </w:p>
    <w:p>
      <w:pPr>
        <w:jc w:val="center"/>
        <w:ind w:right="-59"/>
        <w:spacing w:after="0" w:line="230" w:lineRule="auto"/>
        <w:rPr>
          <w:sz w:val="20"/>
          <w:szCs w:val="20"/>
          <w:color w:val="auto"/>
        </w:rPr>
      </w:pPr>
      <w:r>
        <w:rPr>
          <w:rFonts w:ascii="Arial" w:cs="Arial" w:eastAsia="Arial" w:hAnsi="Arial"/>
          <w:sz w:val="22"/>
          <w:szCs w:val="22"/>
          <w:b w:val="1"/>
          <w:bCs w:val="1"/>
          <w:color w:val="auto"/>
        </w:rPr>
        <w:t>Worldwide Plaza</w:t>
      </w:r>
    </w:p>
    <w:p>
      <w:pPr>
        <w:jc w:val="center"/>
        <w:ind w:right="-59"/>
        <w:spacing w:after="0" w:line="231" w:lineRule="auto"/>
        <w:rPr>
          <w:sz w:val="20"/>
          <w:szCs w:val="20"/>
          <w:color w:val="auto"/>
        </w:rPr>
      </w:pPr>
      <w:r>
        <w:rPr>
          <w:rFonts w:ascii="Arial" w:cs="Arial" w:eastAsia="Arial" w:hAnsi="Arial"/>
          <w:sz w:val="22"/>
          <w:szCs w:val="22"/>
          <w:b w:val="1"/>
          <w:bCs w:val="1"/>
          <w:color w:val="auto"/>
        </w:rPr>
        <w:t>825 Eighth Avenue</w:t>
      </w:r>
    </w:p>
    <w:p>
      <w:pPr>
        <w:jc w:val="center"/>
        <w:ind w:right="-59"/>
        <w:spacing w:after="0" w:line="230" w:lineRule="auto"/>
        <w:rPr>
          <w:sz w:val="20"/>
          <w:szCs w:val="20"/>
          <w:color w:val="auto"/>
        </w:rPr>
      </w:pPr>
      <w:r>
        <w:rPr>
          <w:rFonts w:ascii="Arial" w:cs="Arial" w:eastAsia="Arial" w:hAnsi="Arial"/>
          <w:sz w:val="22"/>
          <w:szCs w:val="22"/>
          <w:b w:val="1"/>
          <w:bCs w:val="1"/>
          <w:color w:val="auto"/>
        </w:rPr>
        <w:t>New York, New York 10019</w:t>
      </w:r>
    </w:p>
    <w:p>
      <w:pPr>
        <w:jc w:val="center"/>
        <w:ind w:right="-59"/>
        <w:spacing w:after="0" w:line="231" w:lineRule="auto"/>
        <w:rPr>
          <w:sz w:val="20"/>
          <w:szCs w:val="20"/>
          <w:color w:val="auto"/>
        </w:rPr>
      </w:pPr>
      <w:r>
        <w:rPr>
          <w:rFonts w:ascii="Arial" w:cs="Arial" w:eastAsia="Arial" w:hAnsi="Arial"/>
          <w:sz w:val="22"/>
          <w:szCs w:val="22"/>
          <w:b w:val="1"/>
          <w:bCs w:val="1"/>
          <w:color w:val="auto"/>
        </w:rPr>
        <w:t>+1 (212) 474-1132</w:t>
      </w:r>
    </w:p>
    <w:p>
      <w:pPr>
        <w:jc w:val="center"/>
        <w:ind w:right="-59"/>
        <w:spacing w:after="0" w:line="230" w:lineRule="auto"/>
        <w:rPr>
          <w:sz w:val="20"/>
          <w:szCs w:val="20"/>
          <w:color w:val="auto"/>
        </w:rPr>
      </w:pPr>
      <w:r>
        <w:rPr>
          <w:rFonts w:ascii="Arial" w:cs="Arial" w:eastAsia="Arial" w:hAnsi="Arial"/>
          <w:sz w:val="22"/>
          <w:szCs w:val="22"/>
          <w:b w:val="1"/>
          <w:bCs w:val="1"/>
          <w:color w:val="auto"/>
        </w:rPr>
        <w:t>(telephone number)</w:t>
      </w:r>
    </w:p>
    <w:p>
      <w:pPr>
        <w:jc w:val="center"/>
        <w:ind w:right="-59"/>
        <w:spacing w:after="0" w:line="231" w:lineRule="auto"/>
        <w:rPr>
          <w:sz w:val="20"/>
          <w:szCs w:val="20"/>
          <w:color w:val="auto"/>
        </w:rPr>
      </w:pPr>
      <w:r>
        <w:rPr>
          <w:rFonts w:ascii="Arial" w:cs="Arial" w:eastAsia="Arial" w:hAnsi="Arial"/>
          <w:sz w:val="22"/>
          <w:szCs w:val="22"/>
          <w:b w:val="1"/>
          <w:bCs w:val="1"/>
          <w:color w:val="auto"/>
        </w:rPr>
        <w:t>+1 (212) 474-3700</w:t>
      </w:r>
    </w:p>
    <w:p>
      <w:pPr>
        <w:jc w:val="center"/>
        <w:ind w:right="-59"/>
        <w:spacing w:after="0"/>
        <w:rPr>
          <w:sz w:val="20"/>
          <w:szCs w:val="20"/>
          <w:color w:val="auto"/>
        </w:rPr>
      </w:pPr>
      <w:r>
        <w:rPr>
          <w:rFonts w:ascii="Arial" w:cs="Arial" w:eastAsia="Arial" w:hAnsi="Arial"/>
          <w:sz w:val="22"/>
          <w:szCs w:val="22"/>
          <w:b w:val="1"/>
          <w:bCs w:val="1"/>
          <w:color w:val="auto"/>
        </w:rPr>
        <w:t>(facsimile number)</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Address and Telephone Number of Person Authorized to</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Receive Notices and Communications)</w:t>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February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ind w:right="12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§§240.13d-1(e), 240.13d-l(f) or 240.13d-l(g),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G37585109</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0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6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92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OLYMPIC LNG INVESTMENTS LTD.</w:t>
            </w: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220" w:type="dxa"/>
            <w:vAlign w:val="bottom"/>
            <w:gridSpan w:val="5"/>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WC, AF</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6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Bermuda</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11,164,904</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79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90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7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790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790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11,164,904</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790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11,164,904</w:t>
            </w: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6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20" w:type="dxa"/>
            <w:vAlign w:val="bottom"/>
            <w:gridSpan w:val="5"/>
            <w:vMerge w:val="continue"/>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11.7% (1)</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CO</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80" w:hanging="605"/>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percentage ownership is calculated based on aggregate number of 95,192,812 Common Shares outstanding as of 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G37585109</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0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6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92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A.S.O. MARITIMA S.A.</w:t>
            </w: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220" w:type="dxa"/>
            <w:vAlign w:val="bottom"/>
            <w:gridSpan w:val="5"/>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rPr>
              <w:t>WC, AF</w:t>
            </w:r>
          </w:p>
        </w:tc>
        <w:tc>
          <w:tcPr>
            <w:tcW w:w="4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6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rPr>
              <w:t>PANAMA</w:t>
            </w:r>
          </w:p>
        </w:tc>
        <w:tc>
          <w:tcPr>
            <w:tcW w:w="4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center"/>
              <w:ind w:right="78"/>
              <w:spacing w:after="0"/>
              <w:rPr>
                <w:sz w:val="20"/>
                <w:szCs w:val="20"/>
                <w:color w:val="auto"/>
              </w:rPr>
            </w:pPr>
            <w:r>
              <w:rPr>
                <w:rFonts w:ascii="Arial" w:cs="Arial" w:eastAsia="Arial" w:hAnsi="Arial"/>
                <w:sz w:val="32"/>
                <w:szCs w:val="32"/>
                <w:b w:val="1"/>
                <w:bCs w:val="1"/>
                <w:color w:val="auto"/>
              </w:rPr>
              <w:t>7</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11,164,904</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center"/>
              <w:ind w:right="78"/>
              <w:spacing w:after="0"/>
              <w:rPr>
                <w:sz w:val="20"/>
                <w:szCs w:val="20"/>
                <w:color w:val="auto"/>
              </w:rPr>
            </w:pPr>
            <w:r>
              <w:rPr>
                <w:rFonts w:ascii="Arial" w:cs="Arial" w:eastAsia="Arial" w:hAnsi="Arial"/>
                <w:sz w:val="32"/>
                <w:szCs w:val="32"/>
                <w:b w:val="1"/>
                <w:bCs w:val="1"/>
                <w:color w:val="auto"/>
              </w:rPr>
              <w:t>8</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79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790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60" w:type="dxa"/>
            <w:vAlign w:val="bottom"/>
            <w:tcBorders>
              <w:right w:val="single" w:sz="8" w:color="auto"/>
            </w:tcBorders>
            <w:vMerge w:val="restart"/>
          </w:tcPr>
          <w:p>
            <w:pPr>
              <w:jc w:val="center"/>
              <w:ind w:right="78"/>
              <w:spacing w:after="0"/>
              <w:rPr>
                <w:sz w:val="20"/>
                <w:szCs w:val="20"/>
                <w:color w:val="auto"/>
              </w:rPr>
            </w:pPr>
            <w:r>
              <w:rPr>
                <w:rFonts w:ascii="Arial" w:cs="Arial" w:eastAsia="Arial" w:hAnsi="Arial"/>
                <w:sz w:val="32"/>
                <w:szCs w:val="32"/>
                <w:b w:val="1"/>
                <w:bCs w:val="1"/>
                <w:color w:val="auto"/>
              </w:rPr>
              <w:t>9</w:t>
            </w:r>
          </w:p>
        </w:tc>
        <w:tc>
          <w:tcPr>
            <w:tcW w:w="790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790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11,164,904</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790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gridSpan w:val="2"/>
            <w:vMerge w:val="continue"/>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w w:val="88"/>
              </w:rPr>
              <w:t>11,164,904</w:t>
            </w:r>
          </w:p>
        </w:tc>
        <w:tc>
          <w:tcPr>
            <w:tcW w:w="4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6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20" w:type="dxa"/>
            <w:vAlign w:val="bottom"/>
            <w:gridSpan w:val="5"/>
            <w:vMerge w:val="continue"/>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rPr>
              <w:t>11.7% (2)</w:t>
            </w:r>
          </w:p>
        </w:tc>
        <w:tc>
          <w:tcPr>
            <w:tcW w:w="4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rPr>
              <w:t>CO</w:t>
            </w:r>
          </w:p>
        </w:tc>
        <w:tc>
          <w:tcPr>
            <w:tcW w:w="4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80" w:hanging="605"/>
        <w:spacing w:after="0"/>
        <w:tabs>
          <w:tab w:leader="none" w:pos="1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percentage ownership is calculated based on aggregate number of 95,192,812 Common Shares outstanding as of 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G37585109</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0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6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92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ALEXANDER S. ONASSIS FOUNDATION</w:t>
            </w: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220" w:type="dxa"/>
            <w:vAlign w:val="bottom"/>
            <w:gridSpan w:val="5"/>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AF</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4"/>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6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b w:val="1"/>
                <w:bCs w:val="1"/>
                <w:color w:val="auto"/>
              </w:rPr>
              <w:t>LIECHTENSTEIN</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11,164,904</w:t>
            </w: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21"/>
                <w:szCs w:val="21"/>
                <w:color w:val="auto"/>
              </w:rPr>
            </w:pPr>
          </w:p>
        </w:tc>
        <w:tc>
          <w:tcPr>
            <w:tcW w:w="520" w:type="dxa"/>
            <w:vAlign w:val="bottom"/>
            <w:tcBorders>
              <w:right w:val="single" w:sz="8" w:color="auto"/>
            </w:tcBorders>
            <w:vMerge w:val="continue"/>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79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90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7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7900" w:type="dxa"/>
            <w:vAlign w:val="bottom"/>
            <w:vMerge w:val="continue"/>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790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11,164,904</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7900" w:type="dxa"/>
            <w:vAlign w:val="bottom"/>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11,164,904</w:t>
            </w: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6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20" w:type="dxa"/>
            <w:vAlign w:val="bottom"/>
            <w:gridSpan w:val="5"/>
            <w:vMerge w:val="continue"/>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11.7% (3)</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OO</w:t>
            </w: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(3) The percentage ownership is calculated based on aggregate number of 95,192,812 Common Shares outstanding as of 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i w:val="1"/>
          <w:iCs w:val="1"/>
          <w:color w:val="auto"/>
        </w:rPr>
        <w:t>Explanatory Note</w:t>
      </w:r>
    </w:p>
    <w:p>
      <w:pPr>
        <w:spacing w:after="0" w:line="227" w:lineRule="exact"/>
        <w:rPr>
          <w:sz w:val="20"/>
          <w:szCs w:val="20"/>
          <w:color w:val="auto"/>
        </w:rPr>
      </w:pPr>
    </w:p>
    <w:p>
      <w:pPr>
        <w:ind w:right="180" w:firstLine="648"/>
        <w:spacing w:after="0" w:line="245" w:lineRule="auto"/>
        <w:rPr>
          <w:sz w:val="20"/>
          <w:szCs w:val="20"/>
          <w:color w:val="auto"/>
        </w:rPr>
      </w:pPr>
      <w:r>
        <w:rPr>
          <w:rFonts w:ascii="Arial" w:cs="Arial" w:eastAsia="Arial" w:hAnsi="Arial"/>
          <w:sz w:val="21"/>
          <w:szCs w:val="21"/>
          <w:color w:val="auto"/>
        </w:rPr>
        <w:t>The purpose of this Amendment No. 2 (this “</w:t>
      </w:r>
      <w:r>
        <w:rPr>
          <w:rFonts w:ascii="Arial" w:cs="Arial" w:eastAsia="Arial" w:hAnsi="Arial"/>
          <w:sz w:val="21"/>
          <w:szCs w:val="21"/>
          <w:b w:val="1"/>
          <w:bCs w:val="1"/>
          <w:color w:val="auto"/>
        </w:rPr>
        <w:t>Amendment No. 2</w:t>
      </w:r>
      <w:r>
        <w:rPr>
          <w:rFonts w:ascii="Arial" w:cs="Arial" w:eastAsia="Arial" w:hAnsi="Arial"/>
          <w:sz w:val="21"/>
          <w:szCs w:val="21"/>
          <w:color w:val="auto"/>
        </w:rPr>
        <w:t>”) to the Schedule 13D filed with the Securities and Exchange Commission (the “</w:t>
      </w:r>
      <w:r>
        <w:rPr>
          <w:rFonts w:ascii="Arial" w:cs="Arial" w:eastAsia="Arial" w:hAnsi="Arial"/>
          <w:sz w:val="21"/>
          <w:szCs w:val="21"/>
          <w:b w:val="1"/>
          <w:bCs w:val="1"/>
          <w:color w:val="auto"/>
        </w:rPr>
        <w:t>Commission</w:t>
      </w:r>
      <w:r>
        <w:rPr>
          <w:rFonts w:ascii="Arial" w:cs="Arial" w:eastAsia="Arial" w:hAnsi="Arial"/>
          <w:sz w:val="21"/>
          <w:szCs w:val="21"/>
          <w:color w:val="auto"/>
        </w:rPr>
        <w:t>”) on February 3, 2014 (the “</w:t>
      </w:r>
      <w:r>
        <w:rPr>
          <w:rFonts w:ascii="Arial" w:cs="Arial" w:eastAsia="Arial" w:hAnsi="Arial"/>
          <w:sz w:val="21"/>
          <w:szCs w:val="21"/>
          <w:b w:val="1"/>
          <w:bCs w:val="1"/>
          <w:color w:val="auto"/>
        </w:rPr>
        <w:t>Original Schedule 13D</w:t>
      </w:r>
      <w:r>
        <w:rPr>
          <w:rFonts w:ascii="Arial" w:cs="Arial" w:eastAsia="Arial" w:hAnsi="Arial"/>
          <w:sz w:val="21"/>
          <w:szCs w:val="21"/>
          <w:color w:val="auto"/>
        </w:rPr>
        <w:t>”), as amended on July 2, 2020 (as amended, the “</w:t>
      </w:r>
      <w:r>
        <w:rPr>
          <w:rFonts w:ascii="Arial" w:cs="Arial" w:eastAsia="Arial" w:hAnsi="Arial"/>
          <w:sz w:val="21"/>
          <w:szCs w:val="21"/>
          <w:b w:val="1"/>
          <w:bCs w:val="1"/>
          <w:color w:val="auto"/>
        </w:rPr>
        <w:t>Amended Schedule 13D</w:t>
      </w:r>
      <w:r>
        <w:rPr>
          <w:rFonts w:ascii="Arial" w:cs="Arial" w:eastAsia="Arial" w:hAnsi="Arial"/>
          <w:sz w:val="21"/>
          <w:szCs w:val="21"/>
          <w:color w:val="auto"/>
        </w:rPr>
        <w:t>”), is to reflect the entry into (i) the agreement and plan of merger, by and among GasLog Ltd. (the “</w:t>
      </w:r>
      <w:r>
        <w:rPr>
          <w:rFonts w:ascii="Arial" w:cs="Arial" w:eastAsia="Arial" w:hAnsi="Arial"/>
          <w:sz w:val="21"/>
          <w:szCs w:val="21"/>
          <w:b w:val="1"/>
          <w:bCs w:val="1"/>
          <w:color w:val="auto"/>
        </w:rPr>
        <w:t>Issuer</w:t>
      </w:r>
      <w:r>
        <w:rPr>
          <w:rFonts w:ascii="Arial" w:cs="Arial" w:eastAsia="Arial" w:hAnsi="Arial"/>
          <w:sz w:val="21"/>
          <w:szCs w:val="21"/>
          <w:color w:val="auto"/>
        </w:rPr>
        <w:t>”), GEPIF III Crown Bidco L.P., a Cayman Islands exempted limited partnership (“</w:t>
      </w:r>
      <w:r>
        <w:rPr>
          <w:rFonts w:ascii="Arial" w:cs="Arial" w:eastAsia="Arial" w:hAnsi="Arial"/>
          <w:sz w:val="21"/>
          <w:szCs w:val="21"/>
          <w:b w:val="1"/>
          <w:bCs w:val="1"/>
          <w:color w:val="auto"/>
        </w:rPr>
        <w:t>Parent</w:t>
      </w:r>
      <w:r>
        <w:rPr>
          <w:rFonts w:ascii="Arial" w:cs="Arial" w:eastAsia="Arial" w:hAnsi="Arial"/>
          <w:sz w:val="21"/>
          <w:szCs w:val="21"/>
          <w:color w:val="auto"/>
        </w:rPr>
        <w:t>”), and GEPIF III Crown MergerCo Limited, a Bermuda exempted company and a wholly owned subsidiary of Parent (“</w:t>
      </w:r>
      <w:r>
        <w:rPr>
          <w:rFonts w:ascii="Arial" w:cs="Arial" w:eastAsia="Arial" w:hAnsi="Arial"/>
          <w:sz w:val="21"/>
          <w:szCs w:val="21"/>
          <w:b w:val="1"/>
          <w:bCs w:val="1"/>
          <w:color w:val="auto"/>
        </w:rPr>
        <w:t>Merger Sub</w:t>
      </w:r>
      <w:r>
        <w:rPr>
          <w:rFonts w:ascii="Arial" w:cs="Arial" w:eastAsia="Arial" w:hAnsi="Arial"/>
          <w:sz w:val="21"/>
          <w:szCs w:val="21"/>
          <w:color w:val="auto"/>
        </w:rPr>
        <w:t>”, together with Parent, “</w:t>
      </w:r>
      <w:r>
        <w:rPr>
          <w:rFonts w:ascii="Arial" w:cs="Arial" w:eastAsia="Arial" w:hAnsi="Arial"/>
          <w:sz w:val="21"/>
          <w:szCs w:val="21"/>
          <w:b w:val="1"/>
          <w:bCs w:val="1"/>
          <w:color w:val="auto"/>
        </w:rPr>
        <w:t>GEPIF</w:t>
      </w:r>
      <w:r>
        <w:rPr>
          <w:rFonts w:ascii="Arial" w:cs="Arial" w:eastAsia="Arial" w:hAnsi="Arial"/>
          <w:sz w:val="21"/>
          <w:szCs w:val="21"/>
          <w:color w:val="auto"/>
        </w:rPr>
        <w:t>”), dated as of February 21, 2021 (the “</w:t>
      </w:r>
      <w:r>
        <w:rPr>
          <w:rFonts w:ascii="Arial" w:cs="Arial" w:eastAsia="Arial" w:hAnsi="Arial"/>
          <w:sz w:val="21"/>
          <w:szCs w:val="21"/>
          <w:b w:val="1"/>
          <w:bCs w:val="1"/>
          <w:color w:val="auto"/>
        </w:rPr>
        <w:t>Merger Agreement</w:t>
      </w:r>
      <w:r>
        <w:rPr>
          <w:rFonts w:ascii="Arial" w:cs="Arial" w:eastAsia="Arial" w:hAnsi="Arial"/>
          <w:sz w:val="21"/>
          <w:szCs w:val="21"/>
          <w:color w:val="auto"/>
        </w:rPr>
        <w:t>”) and (ii) the rollover agreement, by and among Parent, the Issuer, Blenheim Holdings Ltd., Olympic LNG Investments Ltd., Blenheim Special Investments Holding Ltd. (“</w:t>
      </w:r>
      <w:r>
        <w:rPr>
          <w:rFonts w:ascii="Arial" w:cs="Arial" w:eastAsia="Arial" w:hAnsi="Arial"/>
          <w:sz w:val="21"/>
          <w:szCs w:val="21"/>
          <w:b w:val="1"/>
          <w:bCs w:val="1"/>
          <w:color w:val="auto"/>
        </w:rPr>
        <w:t>BSIH</w:t>
      </w:r>
      <w:r>
        <w:rPr>
          <w:rFonts w:ascii="Arial" w:cs="Arial" w:eastAsia="Arial" w:hAnsi="Arial"/>
          <w:sz w:val="21"/>
          <w:szCs w:val="21"/>
          <w:color w:val="auto"/>
        </w:rPr>
        <w:t>”), Falconera Navigation Inc., Chiara Holdings Inc., Maple Tree Holdings Ltd., Ash Tree SA, Acer Tree SA, Thatcher Investments Limited, Eleanor Investments Holdings, Nelson Equity Limited and JP Jones Holdings Limited (such persons, other than Parent and the Issuer, the “</w:t>
      </w:r>
      <w:r>
        <w:rPr>
          <w:rFonts w:ascii="Arial" w:cs="Arial" w:eastAsia="Arial" w:hAnsi="Arial"/>
          <w:sz w:val="21"/>
          <w:szCs w:val="21"/>
          <w:b w:val="1"/>
          <w:bCs w:val="1"/>
          <w:color w:val="auto"/>
        </w:rPr>
        <w:t>Rolling Shareholders</w:t>
      </w:r>
      <w:r>
        <w:rPr>
          <w:rFonts w:ascii="Arial" w:cs="Arial" w:eastAsia="Arial" w:hAnsi="Arial"/>
          <w:sz w:val="21"/>
          <w:szCs w:val="21"/>
          <w:color w:val="auto"/>
        </w:rPr>
        <w:t>”), dated as of February 21, 2021 (the “</w:t>
      </w:r>
      <w:r>
        <w:rPr>
          <w:rFonts w:ascii="Arial" w:cs="Arial" w:eastAsia="Arial" w:hAnsi="Arial"/>
          <w:sz w:val="21"/>
          <w:szCs w:val="21"/>
          <w:b w:val="1"/>
          <w:bCs w:val="1"/>
          <w:color w:val="auto"/>
        </w:rPr>
        <w:t>Rollover</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210"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Except as set forth below, all Items in the Original Schedule 13D remain unchanged. Capitalized terms used in this Amendment No. 2 and not otherwise defined shall have the respective meanings assigned to such terms in the Original Schedule 13D.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Item 2. Identity and Background</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40" w:type="dxa"/>
            <w:vAlign w:val="bottom"/>
            <w:tcBorders>
              <w:top w:val="single" w:sz="8" w:color="auto"/>
              <w:lef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jc w:val="center"/>
              <w:spacing w:after="0" w:line="202" w:lineRule="exact"/>
              <w:rPr>
                <w:sz w:val="20"/>
                <w:szCs w:val="20"/>
                <w:color w:val="auto"/>
              </w:rPr>
            </w:pPr>
            <w:r>
              <w:rPr>
                <w:rFonts w:ascii="Arial" w:cs="Arial" w:eastAsia="Arial" w:hAnsi="Arial"/>
                <w:sz w:val="18"/>
                <w:szCs w:val="18"/>
                <w:b w:val="1"/>
                <w:bCs w:val="1"/>
                <w:color w:val="auto"/>
                <w:w w:val="89"/>
              </w:rPr>
              <w:t>Reporting Person/</w:t>
            </w:r>
          </w:p>
        </w:tc>
        <w:tc>
          <w:tcPr>
            <w:tcW w:w="880" w:type="dxa"/>
            <w:vAlign w:val="bottom"/>
            <w:tcBorders>
              <w:top w:val="single" w:sz="8" w:color="auto"/>
              <w:right w:val="single" w:sz="8" w:color="auto"/>
            </w:tcBorders>
            <w:gridSpan w:val="3"/>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740" w:type="dxa"/>
            <w:vAlign w:val="bottom"/>
            <w:tcBorders>
              <w:top w:val="single" w:sz="8" w:color="auto"/>
              <w:right w:val="single" w:sz="8" w:color="auto"/>
            </w:tcBorders>
            <w:gridSpan w:val="4"/>
          </w:tcPr>
          <w:p>
            <w:pPr>
              <w:jc w:val="center"/>
              <w:ind w:right="980"/>
              <w:spacing w:after="0" w:line="202" w:lineRule="exact"/>
              <w:rPr>
                <w:sz w:val="20"/>
                <w:szCs w:val="20"/>
                <w:color w:val="auto"/>
              </w:rPr>
            </w:pPr>
            <w:r>
              <w:rPr>
                <w:rFonts w:ascii="Arial" w:cs="Arial" w:eastAsia="Arial" w:hAnsi="Arial"/>
                <w:sz w:val="18"/>
                <w:szCs w:val="18"/>
                <w:b w:val="1"/>
                <w:bCs w:val="1"/>
                <w:color w:val="auto"/>
                <w:w w:val="80"/>
              </w:rPr>
              <w:t>Address of</w:t>
            </w:r>
          </w:p>
        </w:tc>
        <w:tc>
          <w:tcPr>
            <w:tcW w:w="300" w:type="dxa"/>
            <w:vAlign w:val="bottom"/>
            <w:tcBorders>
              <w:top w:val="single" w:sz="8" w:color="auto"/>
            </w:tcBorders>
          </w:tcPr>
          <w:p>
            <w:pPr>
              <w:spacing w:after="0"/>
              <w:rPr>
                <w:sz w:val="17"/>
                <w:szCs w:val="17"/>
                <w:color w:val="auto"/>
              </w:rPr>
            </w:pPr>
          </w:p>
        </w:tc>
        <w:tc>
          <w:tcPr>
            <w:tcW w:w="1440" w:type="dxa"/>
            <w:vAlign w:val="bottom"/>
            <w:tcBorders>
              <w:top w:val="single" w:sz="8" w:color="auto"/>
              <w:right w:val="single" w:sz="8" w:color="auto"/>
            </w:tcBorders>
            <w:gridSpan w:val="4"/>
          </w:tcPr>
          <w:p>
            <w:pPr>
              <w:jc w:val="center"/>
              <w:ind w:right="320"/>
              <w:spacing w:after="0" w:line="202" w:lineRule="exact"/>
              <w:rPr>
                <w:sz w:val="20"/>
                <w:szCs w:val="20"/>
                <w:color w:val="auto"/>
              </w:rPr>
            </w:pPr>
            <w:r>
              <w:rPr>
                <w:rFonts w:ascii="Arial" w:cs="Arial" w:eastAsia="Arial" w:hAnsi="Arial"/>
                <w:sz w:val="18"/>
                <w:szCs w:val="18"/>
                <w:b w:val="1"/>
                <w:bCs w:val="1"/>
                <w:color w:val="auto"/>
                <w:w w:val="90"/>
              </w:rPr>
              <w:t>Jurisdiction of</w:t>
            </w:r>
          </w:p>
        </w:tc>
        <w:tc>
          <w:tcPr>
            <w:tcW w:w="360" w:type="dxa"/>
            <w:vAlign w:val="bottom"/>
            <w:tcBorders>
              <w:top w:val="single" w:sz="8" w:color="auto"/>
            </w:tcBorders>
          </w:tcPr>
          <w:p>
            <w:pPr>
              <w:spacing w:after="0"/>
              <w:rPr>
                <w:sz w:val="17"/>
                <w:szCs w:val="17"/>
                <w:color w:val="auto"/>
              </w:rPr>
            </w:pPr>
          </w:p>
        </w:tc>
        <w:tc>
          <w:tcPr>
            <w:tcW w:w="1720" w:type="dxa"/>
            <w:vAlign w:val="bottom"/>
            <w:tcBorders>
              <w:top w:val="single" w:sz="8" w:color="auto"/>
              <w:right w:val="single" w:sz="8" w:color="auto"/>
            </w:tcBorders>
            <w:gridSpan w:val="6"/>
          </w:tcPr>
          <w:p>
            <w:pPr>
              <w:jc w:val="center"/>
              <w:ind w:right="400"/>
              <w:spacing w:after="0" w:line="202" w:lineRule="exact"/>
              <w:rPr>
                <w:sz w:val="20"/>
                <w:szCs w:val="20"/>
                <w:color w:val="auto"/>
              </w:rPr>
            </w:pPr>
            <w:r>
              <w:rPr>
                <w:rFonts w:ascii="Arial" w:cs="Arial" w:eastAsia="Arial" w:hAnsi="Arial"/>
                <w:sz w:val="18"/>
                <w:szCs w:val="18"/>
                <w:b w:val="1"/>
                <w:bCs w:val="1"/>
                <w:color w:val="auto"/>
                <w:w w:val="89"/>
              </w:rPr>
              <w:t>Name/Address of</w:t>
            </w: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Principal</w:t>
            </w: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Borders>
              <w:left w:val="single" w:sz="8" w:color="auto"/>
              <w:right w:val="single" w:sz="8" w:color="auto"/>
            </w:tcBorders>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2540" w:type="dxa"/>
            <w:vAlign w:val="bottom"/>
            <w:tcBorders>
              <w:right w:val="single" w:sz="8" w:color="auto"/>
            </w:tcBorders>
            <w:gridSpan w:val="8"/>
          </w:tcPr>
          <w:p>
            <w:pPr>
              <w:jc w:val="center"/>
              <w:ind w:right="640"/>
              <w:spacing w:after="0" w:line="196" w:lineRule="exact"/>
              <w:rPr>
                <w:sz w:val="20"/>
                <w:szCs w:val="20"/>
                <w:color w:val="auto"/>
              </w:rPr>
            </w:pPr>
            <w:r>
              <w:rPr>
                <w:rFonts w:ascii="Arial" w:cs="Arial" w:eastAsia="Arial" w:hAnsi="Arial"/>
                <w:sz w:val="18"/>
                <w:szCs w:val="18"/>
                <w:b w:val="1"/>
                <w:bCs w:val="1"/>
                <w:color w:val="auto"/>
                <w:w w:val="94"/>
              </w:rPr>
              <w:t>Director/Officer/Control</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Borders>
              <w:right w:val="single" w:sz="8" w:color="auto"/>
            </w:tcBorders>
            <w:gridSpan w:val="4"/>
          </w:tcPr>
          <w:p>
            <w:pPr>
              <w:jc w:val="center"/>
              <w:ind w:right="1040"/>
              <w:spacing w:after="0" w:line="196" w:lineRule="exact"/>
              <w:rPr>
                <w:sz w:val="20"/>
                <w:szCs w:val="20"/>
                <w:color w:val="auto"/>
              </w:rPr>
            </w:pPr>
            <w:r>
              <w:rPr>
                <w:rFonts w:ascii="Arial" w:cs="Arial" w:eastAsia="Arial" w:hAnsi="Arial"/>
                <w:sz w:val="18"/>
                <w:szCs w:val="18"/>
                <w:b w:val="1"/>
                <w:bCs w:val="1"/>
                <w:color w:val="auto"/>
                <w:w w:val="92"/>
              </w:rPr>
              <w:t>Principal</w:t>
            </w:r>
          </w:p>
        </w:tc>
        <w:tc>
          <w:tcPr>
            <w:tcW w:w="1740" w:type="dxa"/>
            <w:vAlign w:val="bottom"/>
            <w:tcBorders>
              <w:right w:val="single" w:sz="8" w:color="auto"/>
            </w:tcBorders>
            <w:gridSpan w:val="5"/>
          </w:tcPr>
          <w:p>
            <w:pPr>
              <w:jc w:val="center"/>
              <w:ind w:right="20"/>
              <w:spacing w:after="0" w:line="196" w:lineRule="exact"/>
              <w:rPr>
                <w:sz w:val="20"/>
                <w:szCs w:val="20"/>
                <w:color w:val="auto"/>
              </w:rPr>
            </w:pPr>
            <w:r>
              <w:rPr>
                <w:rFonts w:ascii="Arial" w:cs="Arial" w:eastAsia="Arial" w:hAnsi="Arial"/>
                <w:sz w:val="18"/>
                <w:szCs w:val="18"/>
                <w:b w:val="1"/>
                <w:bCs w:val="1"/>
                <w:color w:val="auto"/>
                <w:w w:val="92"/>
              </w:rPr>
              <w:t>Incorporation/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right w:val="single" w:sz="8" w:color="auto"/>
            </w:tcBorders>
            <w:gridSpan w:val="5"/>
          </w:tcPr>
          <w:p>
            <w:pPr>
              <w:jc w:val="center"/>
              <w:ind w:right="500"/>
              <w:spacing w:after="0" w:line="196" w:lineRule="exact"/>
              <w:rPr>
                <w:sz w:val="20"/>
                <w:szCs w:val="20"/>
                <w:color w:val="auto"/>
              </w:rPr>
            </w:pPr>
            <w:r>
              <w:rPr>
                <w:rFonts w:ascii="Arial" w:cs="Arial" w:eastAsia="Arial" w:hAnsi="Arial"/>
                <w:sz w:val="18"/>
                <w:szCs w:val="18"/>
                <w:b w:val="1"/>
                <w:bCs w:val="1"/>
                <w:color w:val="auto"/>
                <w:w w:val="92"/>
              </w:rPr>
              <w:t>Employer and</w:t>
            </w:r>
          </w:p>
        </w:tc>
        <w:tc>
          <w:tcPr>
            <w:tcW w:w="400" w:type="dxa"/>
            <w:vAlign w:val="bottom"/>
          </w:tcPr>
          <w:p>
            <w:pPr>
              <w:spacing w:after="0"/>
              <w:rPr>
                <w:sz w:val="17"/>
                <w:szCs w:val="17"/>
                <w:color w:val="auto"/>
              </w:rPr>
            </w:pPr>
          </w:p>
        </w:tc>
        <w:tc>
          <w:tcPr>
            <w:tcW w:w="108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Business</w:t>
            </w: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8"/>
              </w:rPr>
              <w:t>Person</w:t>
            </w:r>
          </w:p>
        </w:tc>
        <w:tc>
          <w:tcPr>
            <w:tcW w:w="680" w:type="dxa"/>
            <w:vAlign w:val="bottom"/>
            <w:gridSpan w:val="3"/>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100" w:type="dxa"/>
            <w:vAlign w:val="bottom"/>
            <w:tcBorders>
              <w:right w:val="single" w:sz="8" w:color="auto"/>
            </w:tcBorders>
            <w:gridSpan w:val="6"/>
          </w:tcPr>
          <w:p>
            <w:pPr>
              <w:jc w:val="center"/>
              <w:ind w:right="680"/>
              <w:spacing w:after="0" w:line="196" w:lineRule="exact"/>
              <w:rPr>
                <w:sz w:val="20"/>
                <w:szCs w:val="20"/>
                <w:color w:val="auto"/>
              </w:rPr>
            </w:pPr>
            <w:r>
              <w:rPr>
                <w:rFonts w:ascii="Arial" w:cs="Arial" w:eastAsia="Arial" w:hAnsi="Arial"/>
                <w:sz w:val="18"/>
                <w:szCs w:val="18"/>
                <w:b w:val="1"/>
                <w:bCs w:val="1"/>
                <w:color w:val="auto"/>
                <w:w w:val="86"/>
              </w:rPr>
              <w:t>Office/Business or</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gridSpan w:val="3"/>
          </w:tcPr>
          <w:p>
            <w:pPr>
              <w:jc w:val="center"/>
              <w:ind w:right="440"/>
              <w:spacing w:after="0" w:line="196" w:lineRule="exact"/>
              <w:rPr>
                <w:sz w:val="20"/>
                <w:szCs w:val="20"/>
                <w:color w:val="auto"/>
              </w:rPr>
            </w:pPr>
            <w:r>
              <w:rPr>
                <w:rFonts w:ascii="Arial" w:cs="Arial" w:eastAsia="Arial" w:hAnsi="Arial"/>
                <w:sz w:val="18"/>
                <w:szCs w:val="18"/>
                <w:b w:val="1"/>
                <w:bCs w:val="1"/>
                <w:color w:val="auto"/>
                <w:w w:val="91"/>
              </w:rPr>
              <w:t>Citizenship</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right w:val="single" w:sz="8" w:color="auto"/>
            </w:tcBorders>
            <w:gridSpan w:val="5"/>
          </w:tcPr>
          <w:p>
            <w:pPr>
              <w:jc w:val="center"/>
              <w:ind w:right="500"/>
              <w:spacing w:after="0" w:line="196" w:lineRule="exact"/>
              <w:rPr>
                <w:sz w:val="20"/>
                <w:szCs w:val="20"/>
                <w:color w:val="auto"/>
              </w:rPr>
            </w:pPr>
            <w:r>
              <w:rPr>
                <w:rFonts w:ascii="Arial" w:cs="Arial" w:eastAsia="Arial" w:hAnsi="Arial"/>
                <w:sz w:val="18"/>
                <w:szCs w:val="18"/>
                <w:b w:val="1"/>
                <w:bCs w:val="1"/>
                <w:color w:val="auto"/>
                <w:w w:val="90"/>
              </w:rPr>
              <w:t>Occupation</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right w:val="single" w:sz="8" w:color="auto"/>
            </w:tcBorders>
            <w:gridSpan w:val="7"/>
          </w:tcPr>
          <w:p>
            <w:pPr>
              <w:jc w:val="center"/>
              <w:ind w:right="740"/>
              <w:spacing w:after="0" w:line="196" w:lineRule="exact"/>
              <w:rPr>
                <w:sz w:val="20"/>
                <w:szCs w:val="20"/>
                <w:color w:val="auto"/>
              </w:rPr>
            </w:pPr>
            <w:r>
              <w:rPr>
                <w:rFonts w:ascii="Arial" w:cs="Arial" w:eastAsia="Arial" w:hAnsi="Arial"/>
                <w:sz w:val="18"/>
                <w:szCs w:val="18"/>
                <w:b w:val="1"/>
                <w:bCs w:val="1"/>
                <w:color w:val="auto"/>
                <w:w w:val="89"/>
              </w:rPr>
              <w:t>of a Reporting Person</w:t>
            </w:r>
          </w:p>
        </w:tc>
        <w:tc>
          <w:tcPr>
            <w:tcW w:w="660" w:type="dxa"/>
            <w:vAlign w:val="bottom"/>
          </w:tcPr>
          <w:p>
            <w:pPr>
              <w:spacing w:after="0"/>
              <w:rPr>
                <w:sz w:val="17"/>
                <w:szCs w:val="17"/>
                <w:color w:val="auto"/>
              </w:rPr>
            </w:pPr>
          </w:p>
        </w:tc>
        <w:tc>
          <w:tcPr>
            <w:tcW w:w="2100" w:type="dxa"/>
            <w:vAlign w:val="bottom"/>
            <w:tcBorders>
              <w:right w:val="single" w:sz="8" w:color="auto"/>
            </w:tcBorders>
            <w:gridSpan w:val="6"/>
          </w:tcPr>
          <w:p>
            <w:pPr>
              <w:jc w:val="center"/>
              <w:ind w:right="660"/>
              <w:spacing w:after="0" w:line="196" w:lineRule="exact"/>
              <w:rPr>
                <w:sz w:val="20"/>
                <w:szCs w:val="20"/>
                <w:color w:val="auto"/>
              </w:rPr>
            </w:pPr>
            <w:r>
              <w:rPr>
                <w:rFonts w:ascii="Arial" w:cs="Arial" w:eastAsia="Arial" w:hAnsi="Arial"/>
                <w:sz w:val="18"/>
                <w:szCs w:val="18"/>
                <w:b w:val="1"/>
                <w:bCs w:val="1"/>
                <w:color w:val="auto"/>
                <w:w w:val="86"/>
              </w:rPr>
              <w:t>Residence Address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r>
      <w:tr>
        <w:trPr>
          <w:trHeight w:val="28"/>
        </w:trPr>
        <w:tc>
          <w:tcPr>
            <w:tcW w:w="64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r>
      <w:tr>
        <w:trPr>
          <w:trHeight w:val="202"/>
        </w:trPr>
        <w:tc>
          <w:tcPr>
            <w:tcW w:w="3180" w:type="dxa"/>
            <w:vAlign w:val="bottom"/>
            <w:tcBorders>
              <w:left w:val="single" w:sz="8" w:color="auto"/>
              <w:right w:val="single" w:sz="8" w:color="auto"/>
            </w:tcBorders>
            <w:gridSpan w:val="9"/>
          </w:tcPr>
          <w:p>
            <w:pPr>
              <w:ind w:left="40"/>
              <w:spacing w:after="0" w:line="201" w:lineRule="exact"/>
              <w:rPr>
                <w:sz w:val="20"/>
                <w:szCs w:val="20"/>
                <w:color w:val="auto"/>
              </w:rPr>
            </w:pPr>
            <w:r>
              <w:rPr>
                <w:rFonts w:ascii="Arial" w:cs="Arial" w:eastAsia="Arial" w:hAnsi="Arial"/>
                <w:sz w:val="18"/>
                <w:szCs w:val="18"/>
                <w:color w:val="auto"/>
              </w:rPr>
              <w:t>Olympic LNG Investments Ltd.</w:t>
            </w:r>
          </w:p>
        </w:tc>
        <w:tc>
          <w:tcPr>
            <w:tcW w:w="276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c/o Conyers Corporate Services</w:t>
            </w:r>
          </w:p>
        </w:tc>
        <w:tc>
          <w:tcPr>
            <w:tcW w:w="174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Bermuda</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N/A</w:t>
            </w:r>
          </w:p>
        </w:tc>
        <w:tc>
          <w:tcPr>
            <w:tcW w:w="148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Investment</w:t>
            </w: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(Bermuda) Limited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company</w:t>
            </w: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Clarendon House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2 Church Street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Hamilton, HM 11, Bermuda</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r>
      <w:tr>
        <w:trPr>
          <w:trHeight w:val="223"/>
        </w:trPr>
        <w:tc>
          <w:tcPr>
            <w:tcW w:w="3180" w:type="dxa"/>
            <w:vAlign w:val="bottom"/>
            <w:tcBorders>
              <w:left w:val="single" w:sz="8" w:color="auto"/>
              <w:bottom w:val="single" w:sz="8" w:color="auto"/>
              <w:right w:val="single" w:sz="8" w:color="auto"/>
            </w:tcBorders>
            <w:gridSpan w:val="9"/>
          </w:tcPr>
          <w:p>
            <w:pPr>
              <w:ind w:left="40"/>
              <w:spacing w:after="0"/>
              <w:rPr>
                <w:sz w:val="20"/>
                <w:szCs w:val="20"/>
                <w:color w:val="auto"/>
              </w:rPr>
            </w:pPr>
            <w:r>
              <w:rPr>
                <w:rFonts w:ascii="Arial" w:cs="Arial" w:eastAsia="Arial" w:hAnsi="Arial"/>
                <w:sz w:val="18"/>
                <w:szCs w:val="18"/>
                <w:b w:val="1"/>
                <w:bCs w:val="1"/>
                <w:i w:val="1"/>
                <w:iCs w:val="1"/>
                <w:color w:val="auto"/>
              </w:rPr>
              <w:t>Directors</w:t>
            </w: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r>
      <w:tr>
        <w:trPr>
          <w:trHeight w:val="202"/>
        </w:trPr>
        <w:tc>
          <w:tcPr>
            <w:tcW w:w="3180" w:type="dxa"/>
            <w:vAlign w:val="bottom"/>
            <w:tcBorders>
              <w:left w:val="single" w:sz="8" w:color="auto"/>
              <w:right w:val="single" w:sz="8" w:color="auto"/>
            </w:tcBorders>
            <w:gridSpan w:val="9"/>
          </w:tcPr>
          <w:p>
            <w:pPr>
              <w:ind w:left="40"/>
              <w:spacing w:after="0" w:line="201" w:lineRule="exact"/>
              <w:rPr>
                <w:sz w:val="20"/>
                <w:szCs w:val="20"/>
                <w:color w:val="auto"/>
              </w:rPr>
            </w:pPr>
            <w:r>
              <w:rPr>
                <w:rFonts w:ascii="Arial" w:cs="Arial" w:eastAsia="Arial" w:hAnsi="Arial"/>
                <w:sz w:val="18"/>
                <w:szCs w:val="18"/>
                <w:color w:val="auto"/>
              </w:rPr>
              <w:t>Prof. Constantinos Grammenos</w:t>
            </w:r>
          </w:p>
        </w:tc>
        <w:tc>
          <w:tcPr>
            <w:tcW w:w="276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w w:val="98"/>
              </w:rPr>
              <w:t>c/o Center for Shipping, Trade and</w:t>
            </w:r>
          </w:p>
        </w:tc>
        <w:tc>
          <w:tcPr>
            <w:tcW w:w="174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Greece</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w w:val="96"/>
              </w:rPr>
              <w:t>Center for Shipping, Trade</w:t>
            </w:r>
          </w:p>
        </w:tc>
        <w:tc>
          <w:tcPr>
            <w:tcW w:w="148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University</w:t>
            </w: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Finance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and Finance</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9"/>
              </w:rPr>
              <w:t>CASS BUSINESS SCHOOL CITY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CASS BUSINESS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UNIVERSITY LONDON 106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SCHOOL CITY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Bunhill Row</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UNIVERSITY LONDON</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London EC1Y 8TZ, U.K.</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106 Bunhill Row</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London EC1Y 8TZ, U.K.</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Professor</w:t>
            </w: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r>
      <w:tr>
        <w:trPr>
          <w:trHeight w:val="202"/>
        </w:trPr>
        <w:tc>
          <w:tcPr>
            <w:tcW w:w="3180" w:type="dxa"/>
            <w:vAlign w:val="bottom"/>
            <w:tcBorders>
              <w:left w:val="single" w:sz="8" w:color="auto"/>
              <w:right w:val="single" w:sz="8" w:color="auto"/>
            </w:tcBorders>
            <w:gridSpan w:val="9"/>
          </w:tcPr>
          <w:p>
            <w:pPr>
              <w:ind w:left="40"/>
              <w:spacing w:after="0" w:line="201" w:lineRule="exact"/>
              <w:rPr>
                <w:sz w:val="20"/>
                <w:szCs w:val="20"/>
                <w:color w:val="auto"/>
              </w:rPr>
            </w:pPr>
            <w:r>
              <w:rPr>
                <w:rFonts w:ascii="Arial" w:cs="Arial" w:eastAsia="Arial" w:hAnsi="Arial"/>
                <w:sz w:val="18"/>
                <w:szCs w:val="18"/>
                <w:color w:val="auto"/>
              </w:rPr>
              <w:t>Stefanos Tamvakis</w:t>
            </w:r>
          </w:p>
        </w:tc>
        <w:tc>
          <w:tcPr>
            <w:tcW w:w="276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27, Artemisiou Str,</w:t>
            </w:r>
          </w:p>
        </w:tc>
        <w:tc>
          <w:tcPr>
            <w:tcW w:w="174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Greece</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N/A</w:t>
            </w:r>
          </w:p>
        </w:tc>
        <w:tc>
          <w:tcPr>
            <w:tcW w:w="148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N/A</w:t>
            </w:r>
          </w:p>
        </w:tc>
      </w:tr>
      <w:tr>
        <w:trPr>
          <w:trHeight w:val="216"/>
        </w:trPr>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6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GR15234 Chalandri,</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Athens, Greece</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r>
      <w:tr>
        <w:trPr>
          <w:trHeight w:val="426"/>
        </w:trPr>
        <w:tc>
          <w:tcPr>
            <w:tcW w:w="64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88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32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1"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40" w:type="dxa"/>
            <w:vAlign w:val="bottom"/>
            <w:tcBorders>
              <w:top w:val="single" w:sz="8" w:color="auto"/>
              <w:lef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80" w:type="dxa"/>
            <w:vAlign w:val="bottom"/>
            <w:tcBorders>
              <w:top w:val="single" w:sz="8" w:color="auto"/>
              <w:right w:val="single" w:sz="8" w:color="auto"/>
            </w:tcBorders>
            <w:gridSpan w:val="7"/>
          </w:tcPr>
          <w:p>
            <w:pPr>
              <w:jc w:val="center"/>
              <w:ind w:right="880"/>
              <w:spacing w:after="0" w:line="202" w:lineRule="exact"/>
              <w:rPr>
                <w:sz w:val="20"/>
                <w:szCs w:val="20"/>
                <w:color w:val="auto"/>
              </w:rPr>
            </w:pPr>
            <w:r>
              <w:rPr>
                <w:rFonts w:ascii="Arial" w:cs="Arial" w:eastAsia="Arial" w:hAnsi="Arial"/>
                <w:sz w:val="18"/>
                <w:szCs w:val="18"/>
                <w:b w:val="1"/>
                <w:bCs w:val="1"/>
                <w:color w:val="auto"/>
                <w:w w:val="89"/>
              </w:rPr>
              <w:t>Reporting Person/</w:t>
            </w:r>
          </w:p>
        </w:tc>
        <w:tc>
          <w:tcPr>
            <w:tcW w:w="6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100" w:type="dxa"/>
            <w:vAlign w:val="bottom"/>
            <w:tcBorders>
              <w:top w:val="single" w:sz="8" w:color="auto"/>
              <w:right w:val="single" w:sz="8" w:color="auto"/>
            </w:tcBorders>
            <w:gridSpan w:val="5"/>
          </w:tcPr>
          <w:p>
            <w:pPr>
              <w:jc w:val="center"/>
              <w:ind w:right="720"/>
              <w:spacing w:after="0" w:line="202" w:lineRule="exact"/>
              <w:rPr>
                <w:sz w:val="20"/>
                <w:szCs w:val="20"/>
                <w:color w:val="auto"/>
              </w:rPr>
            </w:pPr>
            <w:r>
              <w:rPr>
                <w:rFonts w:ascii="Arial" w:cs="Arial" w:eastAsia="Arial" w:hAnsi="Arial"/>
                <w:sz w:val="18"/>
                <w:szCs w:val="18"/>
                <w:b w:val="1"/>
                <w:bCs w:val="1"/>
                <w:color w:val="auto"/>
                <w:w w:val="87"/>
              </w:rPr>
              <w:t>Address of</w:t>
            </w: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right w:val="single" w:sz="8" w:color="auto"/>
            </w:tcBorders>
            <w:gridSpan w:val="4"/>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Jurisdiction of</w:t>
            </w:r>
          </w:p>
        </w:tc>
        <w:tc>
          <w:tcPr>
            <w:tcW w:w="2080" w:type="dxa"/>
            <w:vAlign w:val="bottom"/>
            <w:tcBorders>
              <w:top w:val="single" w:sz="8" w:color="auto"/>
              <w:right w:val="single" w:sz="8" w:color="auto"/>
            </w:tcBorders>
            <w:gridSpan w:val="7"/>
          </w:tcPr>
          <w:p>
            <w:pPr>
              <w:jc w:val="center"/>
              <w:ind w:right="20"/>
              <w:spacing w:after="0" w:line="202" w:lineRule="exact"/>
              <w:rPr>
                <w:sz w:val="20"/>
                <w:szCs w:val="20"/>
                <w:color w:val="auto"/>
              </w:rPr>
            </w:pPr>
            <w:r>
              <w:rPr>
                <w:rFonts w:ascii="Arial" w:cs="Arial" w:eastAsia="Arial" w:hAnsi="Arial"/>
                <w:sz w:val="18"/>
                <w:szCs w:val="18"/>
                <w:b w:val="1"/>
                <w:bCs w:val="1"/>
                <w:color w:val="auto"/>
                <w:w w:val="90"/>
              </w:rPr>
              <w:t>Name/Address of</w:t>
            </w:r>
          </w:p>
        </w:tc>
        <w:tc>
          <w:tcPr>
            <w:tcW w:w="144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92"/>
              </w:rPr>
              <w:t>Principal</w:t>
            </w: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9"/>
          </w:tcPr>
          <w:p>
            <w:pPr>
              <w:jc w:val="center"/>
              <w:ind w:right="640"/>
              <w:spacing w:after="0" w:line="196" w:lineRule="exact"/>
              <w:rPr>
                <w:sz w:val="20"/>
                <w:szCs w:val="20"/>
                <w:color w:val="auto"/>
              </w:rPr>
            </w:pPr>
            <w:r>
              <w:rPr>
                <w:rFonts w:ascii="Arial" w:cs="Arial" w:eastAsia="Arial" w:hAnsi="Arial"/>
                <w:sz w:val="18"/>
                <w:szCs w:val="18"/>
                <w:b w:val="1"/>
                <w:bCs w:val="1"/>
                <w:color w:val="auto"/>
                <w:w w:val="93"/>
              </w:rPr>
              <w:t>Director/Officer/Control</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Borders>
              <w:right w:val="single" w:sz="8" w:color="auto"/>
            </w:tcBorders>
            <w:gridSpan w:val="4"/>
          </w:tcPr>
          <w:p>
            <w:pPr>
              <w:jc w:val="center"/>
              <w:ind w:right="1060"/>
              <w:spacing w:after="0" w:line="196" w:lineRule="exact"/>
              <w:rPr>
                <w:sz w:val="20"/>
                <w:szCs w:val="20"/>
                <w:color w:val="auto"/>
              </w:rPr>
            </w:pPr>
            <w:r>
              <w:rPr>
                <w:rFonts w:ascii="Arial" w:cs="Arial" w:eastAsia="Arial" w:hAnsi="Arial"/>
                <w:sz w:val="18"/>
                <w:szCs w:val="18"/>
                <w:b w:val="1"/>
                <w:bCs w:val="1"/>
                <w:color w:val="auto"/>
                <w:w w:val="92"/>
              </w:rPr>
              <w:t>Principal</w:t>
            </w:r>
          </w:p>
        </w:tc>
        <w:tc>
          <w:tcPr>
            <w:tcW w:w="320" w:type="dxa"/>
            <w:vAlign w:val="bottom"/>
          </w:tcPr>
          <w:p>
            <w:pPr>
              <w:spacing w:after="0"/>
              <w:rPr>
                <w:sz w:val="17"/>
                <w:szCs w:val="17"/>
                <w:color w:val="auto"/>
              </w:rPr>
            </w:pPr>
          </w:p>
        </w:tc>
        <w:tc>
          <w:tcPr>
            <w:tcW w:w="1460" w:type="dxa"/>
            <w:vAlign w:val="bottom"/>
            <w:tcBorders>
              <w:right w:val="single" w:sz="8" w:color="auto"/>
            </w:tcBorders>
            <w:gridSpan w:val="4"/>
          </w:tcPr>
          <w:p>
            <w:pPr>
              <w:jc w:val="center"/>
              <w:ind w:right="340"/>
              <w:spacing w:after="0" w:line="196" w:lineRule="exact"/>
              <w:rPr>
                <w:sz w:val="20"/>
                <w:szCs w:val="20"/>
                <w:color w:val="auto"/>
              </w:rPr>
            </w:pPr>
            <w:r>
              <w:rPr>
                <w:rFonts w:ascii="Arial" w:cs="Arial" w:eastAsia="Arial" w:hAnsi="Arial"/>
                <w:sz w:val="18"/>
                <w:szCs w:val="18"/>
                <w:b w:val="1"/>
                <w:bCs w:val="1"/>
                <w:color w:val="auto"/>
                <w:w w:val="92"/>
              </w:rPr>
              <w:t>Incorporation/</w:t>
            </w:r>
          </w:p>
        </w:tc>
        <w:tc>
          <w:tcPr>
            <w:tcW w:w="360" w:type="dxa"/>
            <w:vAlign w:val="bottom"/>
          </w:tcPr>
          <w:p>
            <w:pPr>
              <w:spacing w:after="0"/>
              <w:rPr>
                <w:sz w:val="17"/>
                <w:szCs w:val="17"/>
                <w:color w:val="auto"/>
              </w:rPr>
            </w:pPr>
          </w:p>
        </w:tc>
        <w:tc>
          <w:tcPr>
            <w:tcW w:w="1720" w:type="dxa"/>
            <w:vAlign w:val="bottom"/>
            <w:tcBorders>
              <w:right w:val="single" w:sz="8" w:color="auto"/>
            </w:tcBorders>
            <w:gridSpan w:val="6"/>
          </w:tcPr>
          <w:p>
            <w:pPr>
              <w:jc w:val="center"/>
              <w:ind w:right="380"/>
              <w:spacing w:after="0" w:line="196" w:lineRule="exact"/>
              <w:rPr>
                <w:sz w:val="20"/>
                <w:szCs w:val="20"/>
                <w:color w:val="auto"/>
              </w:rPr>
            </w:pPr>
            <w:r>
              <w:rPr>
                <w:rFonts w:ascii="Arial" w:cs="Arial" w:eastAsia="Arial" w:hAnsi="Arial"/>
                <w:sz w:val="18"/>
                <w:szCs w:val="18"/>
                <w:b w:val="1"/>
                <w:bCs w:val="1"/>
                <w:color w:val="auto"/>
                <w:w w:val="92"/>
              </w:rPr>
              <w:t>Employer and</w:t>
            </w:r>
          </w:p>
        </w:tc>
        <w:tc>
          <w:tcPr>
            <w:tcW w:w="38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400"/>
              <w:spacing w:after="0" w:line="196" w:lineRule="exact"/>
              <w:rPr>
                <w:sz w:val="20"/>
                <w:szCs w:val="20"/>
                <w:color w:val="auto"/>
              </w:rPr>
            </w:pPr>
            <w:r>
              <w:rPr>
                <w:rFonts w:ascii="Arial" w:cs="Arial" w:eastAsia="Arial" w:hAnsi="Arial"/>
                <w:sz w:val="18"/>
                <w:szCs w:val="18"/>
                <w:b w:val="1"/>
                <w:bCs w:val="1"/>
                <w:color w:val="auto"/>
                <w:w w:val="82"/>
              </w:rPr>
              <w:t>Business</w:t>
            </w: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5"/>
          </w:tcPr>
          <w:p>
            <w:pPr>
              <w:jc w:val="center"/>
              <w:ind w:right="680"/>
              <w:spacing w:after="0" w:line="196" w:lineRule="exact"/>
              <w:rPr>
                <w:sz w:val="20"/>
                <w:szCs w:val="20"/>
                <w:color w:val="auto"/>
              </w:rPr>
            </w:pPr>
            <w:r>
              <w:rPr>
                <w:rFonts w:ascii="Arial" w:cs="Arial" w:eastAsia="Arial" w:hAnsi="Arial"/>
                <w:sz w:val="18"/>
                <w:szCs w:val="18"/>
                <w:b w:val="1"/>
                <w:bCs w:val="1"/>
                <w:color w:val="auto"/>
                <w:w w:val="85"/>
              </w:rPr>
              <w:t>Person</w:t>
            </w:r>
          </w:p>
        </w:tc>
        <w:tc>
          <w:tcPr>
            <w:tcW w:w="6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right w:val="single" w:sz="8" w:color="auto"/>
            </w:tcBorders>
            <w:gridSpan w:val="5"/>
          </w:tcPr>
          <w:p>
            <w:pPr>
              <w:jc w:val="center"/>
              <w:ind w:right="720"/>
              <w:spacing w:after="0" w:line="196" w:lineRule="exact"/>
              <w:rPr>
                <w:sz w:val="20"/>
                <w:szCs w:val="20"/>
                <w:color w:val="auto"/>
              </w:rPr>
            </w:pPr>
            <w:r>
              <w:rPr>
                <w:rFonts w:ascii="Arial" w:cs="Arial" w:eastAsia="Arial" w:hAnsi="Arial"/>
                <w:sz w:val="18"/>
                <w:szCs w:val="18"/>
                <w:b w:val="1"/>
                <w:bCs w:val="1"/>
                <w:color w:val="auto"/>
                <w:w w:val="86"/>
              </w:rPr>
              <w:t>Office/Business or</w:t>
            </w:r>
          </w:p>
        </w:tc>
        <w:tc>
          <w:tcPr>
            <w:tcW w:w="320" w:type="dxa"/>
            <w:vAlign w:val="bottom"/>
          </w:tcPr>
          <w:p>
            <w:pPr>
              <w:spacing w:after="0"/>
              <w:rPr>
                <w:sz w:val="17"/>
                <w:szCs w:val="17"/>
                <w:color w:val="auto"/>
              </w:rPr>
            </w:pPr>
          </w:p>
        </w:tc>
        <w:tc>
          <w:tcPr>
            <w:tcW w:w="1460" w:type="dxa"/>
            <w:vAlign w:val="bottom"/>
            <w:tcBorders>
              <w:right w:val="single" w:sz="8" w:color="auto"/>
            </w:tcBorders>
            <w:gridSpan w:val="4"/>
          </w:tcPr>
          <w:p>
            <w:pPr>
              <w:jc w:val="center"/>
              <w:ind w:right="360"/>
              <w:spacing w:after="0" w:line="196" w:lineRule="exact"/>
              <w:rPr>
                <w:sz w:val="20"/>
                <w:szCs w:val="20"/>
                <w:color w:val="auto"/>
              </w:rPr>
            </w:pPr>
            <w:r>
              <w:rPr>
                <w:rFonts w:ascii="Arial" w:cs="Arial" w:eastAsia="Arial" w:hAnsi="Arial"/>
                <w:sz w:val="18"/>
                <w:szCs w:val="18"/>
                <w:b w:val="1"/>
                <w:bCs w:val="1"/>
                <w:color w:val="auto"/>
                <w:w w:val="89"/>
              </w:rPr>
              <w:t>Citizenship</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right w:val="single" w:sz="8" w:color="auto"/>
            </w:tcBorders>
            <w:gridSpan w:val="4"/>
          </w:tcPr>
          <w:p>
            <w:pPr>
              <w:jc w:val="center"/>
              <w:ind w:right="600"/>
              <w:spacing w:after="0" w:line="196" w:lineRule="exact"/>
              <w:rPr>
                <w:sz w:val="20"/>
                <w:szCs w:val="20"/>
                <w:color w:val="auto"/>
              </w:rPr>
            </w:pPr>
            <w:r>
              <w:rPr>
                <w:rFonts w:ascii="Arial" w:cs="Arial" w:eastAsia="Arial" w:hAnsi="Arial"/>
                <w:sz w:val="18"/>
                <w:szCs w:val="18"/>
                <w:b w:val="1"/>
                <w:bCs w:val="1"/>
                <w:color w:val="auto"/>
                <w:w w:val="90"/>
              </w:rPr>
              <w:t>Occupation</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9"/>
          </w:tcPr>
          <w:p>
            <w:pPr>
              <w:jc w:val="center"/>
              <w:ind w:right="640"/>
              <w:spacing w:after="0" w:line="196" w:lineRule="exact"/>
              <w:rPr>
                <w:sz w:val="20"/>
                <w:szCs w:val="20"/>
                <w:color w:val="auto"/>
              </w:rPr>
            </w:pPr>
            <w:r>
              <w:rPr>
                <w:rFonts w:ascii="Arial" w:cs="Arial" w:eastAsia="Arial" w:hAnsi="Arial"/>
                <w:sz w:val="18"/>
                <w:szCs w:val="18"/>
                <w:b w:val="1"/>
                <w:bCs w:val="1"/>
                <w:color w:val="auto"/>
                <w:w w:val="89"/>
              </w:rPr>
              <w:t>of a Reporting Person</w:t>
            </w:r>
          </w:p>
        </w:tc>
        <w:tc>
          <w:tcPr>
            <w:tcW w:w="640" w:type="dxa"/>
            <w:vAlign w:val="bottom"/>
          </w:tcPr>
          <w:p>
            <w:pPr>
              <w:spacing w:after="0"/>
              <w:rPr>
                <w:sz w:val="17"/>
                <w:szCs w:val="17"/>
                <w:color w:val="auto"/>
              </w:rPr>
            </w:pPr>
          </w:p>
        </w:tc>
        <w:tc>
          <w:tcPr>
            <w:tcW w:w="2140" w:type="dxa"/>
            <w:vAlign w:val="bottom"/>
            <w:tcBorders>
              <w:right w:val="single" w:sz="8" w:color="auto"/>
            </w:tcBorders>
            <w:gridSpan w:val="6"/>
          </w:tcPr>
          <w:p>
            <w:pPr>
              <w:jc w:val="center"/>
              <w:ind w:right="660"/>
              <w:spacing w:after="0" w:line="196" w:lineRule="exact"/>
              <w:rPr>
                <w:sz w:val="20"/>
                <w:szCs w:val="20"/>
                <w:color w:val="auto"/>
              </w:rPr>
            </w:pPr>
            <w:r>
              <w:rPr>
                <w:rFonts w:ascii="Arial" w:cs="Arial" w:eastAsia="Arial" w:hAnsi="Arial"/>
                <w:sz w:val="18"/>
                <w:szCs w:val="18"/>
                <w:b w:val="1"/>
                <w:bCs w:val="1"/>
                <w:color w:val="auto"/>
                <w:w w:val="86"/>
              </w:rPr>
              <w:t>Residence Address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28"/>
        </w:trPr>
        <w:tc>
          <w:tcPr>
            <w:tcW w:w="6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02"/>
        </w:trPr>
        <w:tc>
          <w:tcPr>
            <w:tcW w:w="1320" w:type="dxa"/>
            <w:vAlign w:val="bottom"/>
            <w:tcBorders>
              <w:lef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rPr>
              <w:t>Edward Rance</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Clarendon House</w:t>
            </w:r>
          </w:p>
        </w:tc>
        <w:tc>
          <w:tcPr>
            <w:tcW w:w="178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UK</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w w:val="90"/>
              </w:rPr>
              <w:t>Conyers Corporate Services</w:t>
            </w:r>
          </w:p>
        </w:tc>
        <w:tc>
          <w:tcPr>
            <w:tcW w:w="14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Lawyer</w:t>
            </w: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2 Church Street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(Bermuda) Limited</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Hamilton, HM 11, Bermuda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Clarendon House</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2 Church Street</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w w:val="93"/>
              </w:rPr>
              <w:t>Hamilton, HM 11, Bermuda</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r>
      <w:tr>
        <w:trPr>
          <w:trHeight w:val="202"/>
        </w:trPr>
        <w:tc>
          <w:tcPr>
            <w:tcW w:w="1320" w:type="dxa"/>
            <w:vAlign w:val="bottom"/>
            <w:tcBorders>
              <w:lef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w w:val="95"/>
              </w:rPr>
              <w:t>Michail Gialouris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7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8 Zephyrou Str. Paleo Faliro</w:t>
            </w:r>
          </w:p>
        </w:tc>
        <w:tc>
          <w:tcPr>
            <w:tcW w:w="178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Greece</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w w:val="94"/>
              </w:rPr>
              <w:t>ASOFIN Management S.A.</w:t>
            </w:r>
          </w:p>
        </w:tc>
        <w:tc>
          <w:tcPr>
            <w:tcW w:w="14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Consulting</w:t>
            </w: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17564 Athens Greece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0"/>
              </w:rPr>
              <w:t>8 Zephyrou Str. Paleo Faliro</w:t>
            </w: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company</w:t>
            </w: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17564 Athens Greece</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Managing Director</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r>
      <w:tr>
        <w:trPr>
          <w:trHeight w:val="223"/>
        </w:trPr>
        <w:tc>
          <w:tcPr>
            <w:tcW w:w="132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8"/>
                <w:szCs w:val="18"/>
                <w:b w:val="1"/>
                <w:bCs w:val="1"/>
                <w:i w:val="1"/>
                <w:iCs w:val="1"/>
                <w:color w:val="auto"/>
              </w:rPr>
              <w:t>Officers</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r>
      <w:tr>
        <w:trPr>
          <w:trHeight w:val="202"/>
        </w:trPr>
        <w:tc>
          <w:tcPr>
            <w:tcW w:w="1320" w:type="dxa"/>
            <w:vAlign w:val="bottom"/>
            <w:tcBorders>
              <w:lef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rPr>
              <w:t>President</w:t>
            </w:r>
          </w:p>
        </w:tc>
        <w:tc>
          <w:tcPr>
            <w:tcW w:w="1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Antonios S.</w:t>
            </w:r>
          </w:p>
        </w:tc>
        <w:tc>
          <w:tcPr>
            <w:tcW w:w="27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w w:val="94"/>
              </w:rPr>
              <w:t>367 Syngrou Av. Paleo Faliro 17564</w:t>
            </w:r>
          </w:p>
        </w:tc>
        <w:tc>
          <w:tcPr>
            <w:tcW w:w="178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Greece</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w w:val="94"/>
              </w:rPr>
              <w:t>ASOFIN Management S.A.</w:t>
            </w:r>
          </w:p>
        </w:tc>
        <w:tc>
          <w:tcPr>
            <w:tcW w:w="14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Consulting</w:t>
            </w: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Papadimitriou</w:t>
            </w:r>
          </w:p>
        </w:tc>
        <w:tc>
          <w:tcPr>
            <w:tcW w:w="27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Athens Greece</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company</w:t>
            </w:r>
          </w:p>
        </w:tc>
      </w:tr>
      <w:tr>
        <w:trPr>
          <w:trHeight w:val="202"/>
        </w:trPr>
        <w:tc>
          <w:tcPr>
            <w:tcW w:w="1320" w:type="dxa"/>
            <w:vAlign w:val="bottom"/>
            <w:tcBorders>
              <w:lef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rPr>
              <w:t>Vice President</w:t>
            </w:r>
          </w:p>
        </w:tc>
        <w:tc>
          <w:tcPr>
            <w:tcW w:w="1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Marianna Moschou</w:t>
            </w:r>
          </w:p>
        </w:tc>
        <w:tc>
          <w:tcPr>
            <w:tcW w:w="27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8 Zephyrou Str. Paleo Faliro</w:t>
            </w:r>
          </w:p>
        </w:tc>
        <w:tc>
          <w:tcPr>
            <w:tcW w:w="178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Greece</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Alexander S. Onassis</w:t>
            </w:r>
          </w:p>
        </w:tc>
        <w:tc>
          <w:tcPr>
            <w:tcW w:w="14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Foundation</w:t>
            </w: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17564 Athens Greece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Foundation</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Heiligkreuz 2</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FL-9490 Vaduz</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1"/>
              </w:rPr>
              <w:t>Liechtenstein Secretary and</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Director</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r>
      <w:tr>
        <w:trPr>
          <w:trHeight w:val="223"/>
        </w:trPr>
        <w:tc>
          <w:tcPr>
            <w:tcW w:w="132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8"/>
                <w:szCs w:val="18"/>
                <w:color w:val="auto"/>
              </w:rPr>
              <w:t>Treasurer</w:t>
            </w:r>
          </w:p>
        </w:tc>
        <w:tc>
          <w:tcPr>
            <w:tcW w:w="1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Michail Gialouris</w:t>
            </w:r>
          </w:p>
        </w:tc>
        <w:tc>
          <w:tcPr>
            <w:tcW w:w="27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7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4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202"/>
        </w:trPr>
        <w:tc>
          <w:tcPr>
            <w:tcW w:w="1320" w:type="dxa"/>
            <w:vAlign w:val="bottom"/>
            <w:tcBorders>
              <w:lef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rPr>
              <w:t>Secretary</w:t>
            </w:r>
          </w:p>
        </w:tc>
        <w:tc>
          <w:tcPr>
            <w:tcW w:w="1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Conyers Corporate</w:t>
            </w:r>
          </w:p>
        </w:tc>
        <w:tc>
          <w:tcPr>
            <w:tcW w:w="27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Clarendon House</w:t>
            </w:r>
          </w:p>
        </w:tc>
        <w:tc>
          <w:tcPr>
            <w:tcW w:w="178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Bermuda</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N/A</w:t>
            </w:r>
          </w:p>
        </w:tc>
        <w:tc>
          <w:tcPr>
            <w:tcW w:w="14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Local agent</w:t>
            </w: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Services (Bermuda)</w:t>
            </w:r>
          </w:p>
        </w:tc>
        <w:tc>
          <w:tcPr>
            <w:tcW w:w="27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2 Church Street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Limited</w:t>
            </w:r>
          </w:p>
        </w:tc>
        <w:tc>
          <w:tcPr>
            <w:tcW w:w="27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Hamilton, HM 11, Bermuda</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r>
      <w:tr>
        <w:trPr>
          <w:trHeight w:val="202"/>
        </w:trPr>
        <w:tc>
          <w:tcPr>
            <w:tcW w:w="3160" w:type="dxa"/>
            <w:vAlign w:val="bottom"/>
            <w:tcBorders>
              <w:left w:val="single" w:sz="8" w:color="auto"/>
              <w:right w:val="single" w:sz="8" w:color="auto"/>
            </w:tcBorders>
            <w:gridSpan w:val="10"/>
          </w:tcPr>
          <w:p>
            <w:pPr>
              <w:ind w:left="40"/>
              <w:spacing w:after="0" w:line="201" w:lineRule="exact"/>
              <w:rPr>
                <w:sz w:val="20"/>
                <w:szCs w:val="20"/>
                <w:color w:val="auto"/>
              </w:rPr>
            </w:pPr>
            <w:r>
              <w:rPr>
                <w:rFonts w:ascii="Arial" w:cs="Arial" w:eastAsia="Arial" w:hAnsi="Arial"/>
                <w:sz w:val="18"/>
                <w:szCs w:val="18"/>
                <w:color w:val="auto"/>
              </w:rPr>
              <w:t>A.S.O. MARITIMA S.A.</w:t>
            </w:r>
          </w:p>
        </w:tc>
        <w:tc>
          <w:tcPr>
            <w:tcW w:w="27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Calle Aquillino de la Guardia 8</w:t>
            </w:r>
          </w:p>
        </w:tc>
        <w:tc>
          <w:tcPr>
            <w:tcW w:w="178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Panama</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N/A</w:t>
            </w:r>
          </w:p>
        </w:tc>
        <w:tc>
          <w:tcPr>
            <w:tcW w:w="14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Holding company</w:t>
            </w: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Panama 1, Republic of Panama</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r>
      <w:tr>
        <w:trPr>
          <w:trHeight w:val="223"/>
        </w:trPr>
        <w:tc>
          <w:tcPr>
            <w:tcW w:w="132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8"/>
                <w:szCs w:val="18"/>
                <w:b w:val="1"/>
                <w:bCs w:val="1"/>
                <w:i w:val="1"/>
                <w:iCs w:val="1"/>
                <w:color w:val="auto"/>
              </w:rPr>
              <w:t>Directors</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r>
      <w:tr>
        <w:trPr>
          <w:trHeight w:val="223"/>
        </w:trPr>
        <w:tc>
          <w:tcPr>
            <w:tcW w:w="3160" w:type="dxa"/>
            <w:vAlign w:val="bottom"/>
            <w:tcBorders>
              <w:left w:val="single" w:sz="8" w:color="auto"/>
              <w:bottom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Antonios S. Papadimitriou</w:t>
            </w:r>
          </w:p>
        </w:tc>
        <w:tc>
          <w:tcPr>
            <w:tcW w:w="27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7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4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202"/>
        </w:trPr>
        <w:tc>
          <w:tcPr>
            <w:tcW w:w="3160" w:type="dxa"/>
            <w:vAlign w:val="bottom"/>
            <w:tcBorders>
              <w:left w:val="single" w:sz="8" w:color="auto"/>
              <w:right w:val="single" w:sz="8" w:color="auto"/>
            </w:tcBorders>
            <w:gridSpan w:val="10"/>
          </w:tcPr>
          <w:p>
            <w:pPr>
              <w:ind w:left="40"/>
              <w:spacing w:after="0" w:line="201" w:lineRule="exact"/>
              <w:rPr>
                <w:sz w:val="20"/>
                <w:szCs w:val="20"/>
                <w:color w:val="auto"/>
              </w:rPr>
            </w:pPr>
            <w:r>
              <w:rPr>
                <w:rFonts w:ascii="Arial" w:cs="Arial" w:eastAsia="Arial" w:hAnsi="Arial"/>
                <w:sz w:val="18"/>
                <w:szCs w:val="18"/>
                <w:color w:val="auto"/>
              </w:rPr>
              <w:t>Georgios Karageorgiou</w:t>
            </w:r>
          </w:p>
        </w:tc>
        <w:tc>
          <w:tcPr>
            <w:tcW w:w="27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8 Zephyrou Str. P. Faliro</w:t>
            </w:r>
          </w:p>
        </w:tc>
        <w:tc>
          <w:tcPr>
            <w:tcW w:w="178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Greece</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Olympic Shipping and</w:t>
            </w:r>
          </w:p>
        </w:tc>
        <w:tc>
          <w:tcPr>
            <w:tcW w:w="14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9"/>
              </w:rPr>
              <w:t>Shipmanagement</w:t>
            </w: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17564 Athens Greece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6"/>
              </w:rPr>
              <w:t>Management S.A. (Branch</w:t>
            </w: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company</w:t>
            </w: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in Greece)</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8 Zephyrou Str. P. Faliro</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17564 Athens Greece</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President/Director</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r>
      <w:tr>
        <w:trPr>
          <w:trHeight w:val="223"/>
        </w:trPr>
        <w:tc>
          <w:tcPr>
            <w:tcW w:w="132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8"/>
                <w:szCs w:val="18"/>
                <w:color w:val="auto"/>
                <w:w w:val="95"/>
              </w:rPr>
              <w:t>Michail Gialouris</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7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4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202"/>
        </w:trPr>
        <w:tc>
          <w:tcPr>
            <w:tcW w:w="3160" w:type="dxa"/>
            <w:vAlign w:val="bottom"/>
            <w:tcBorders>
              <w:left w:val="single" w:sz="8" w:color="auto"/>
              <w:right w:val="single" w:sz="8" w:color="auto"/>
            </w:tcBorders>
            <w:gridSpan w:val="10"/>
          </w:tcPr>
          <w:p>
            <w:pPr>
              <w:ind w:left="40"/>
              <w:spacing w:after="0" w:line="201" w:lineRule="exact"/>
              <w:rPr>
                <w:sz w:val="20"/>
                <w:szCs w:val="20"/>
                <w:color w:val="auto"/>
              </w:rPr>
            </w:pPr>
            <w:r>
              <w:rPr>
                <w:rFonts w:ascii="Arial" w:cs="Arial" w:eastAsia="Arial" w:hAnsi="Arial"/>
                <w:sz w:val="18"/>
                <w:szCs w:val="18"/>
                <w:color w:val="auto"/>
              </w:rPr>
              <w:t>Spyridon Floratos</w:t>
            </w:r>
          </w:p>
        </w:tc>
        <w:tc>
          <w:tcPr>
            <w:tcW w:w="27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Heiligkreuz 2, Vaduz, 9490,</w:t>
            </w:r>
          </w:p>
        </w:tc>
        <w:tc>
          <w:tcPr>
            <w:tcW w:w="178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Greece</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w w:val="98"/>
              </w:rPr>
              <w:t>ASOFIN Management AG</w:t>
            </w:r>
          </w:p>
        </w:tc>
        <w:tc>
          <w:tcPr>
            <w:tcW w:w="14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Consulting</w:t>
            </w:r>
          </w:p>
        </w:tc>
      </w:tr>
      <w:tr>
        <w:trPr>
          <w:trHeight w:val="216"/>
        </w:trPr>
        <w:tc>
          <w:tcPr>
            <w:tcW w:w="6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Liechtenstein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2"/>
              </w:rPr>
              <w:t>Heiligkreuz 2, Vaduz, 9490,</w:t>
            </w: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company</w:t>
            </w: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Liechtenstein</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r>
      <w:tr>
        <w:trPr>
          <w:trHeight w:val="426"/>
        </w:trPr>
        <w:tc>
          <w:tcPr>
            <w:tcW w:w="64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32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86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3"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20" w:type="dxa"/>
            <w:vAlign w:val="bottom"/>
            <w:tcBorders>
              <w:top w:val="single" w:sz="8" w:color="auto"/>
              <w:lef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jc w:val="center"/>
              <w:spacing w:after="0" w:line="202" w:lineRule="exact"/>
              <w:rPr>
                <w:sz w:val="20"/>
                <w:szCs w:val="20"/>
                <w:color w:val="auto"/>
              </w:rPr>
            </w:pPr>
            <w:r>
              <w:rPr>
                <w:rFonts w:ascii="Arial" w:cs="Arial" w:eastAsia="Arial" w:hAnsi="Arial"/>
                <w:sz w:val="18"/>
                <w:szCs w:val="18"/>
                <w:b w:val="1"/>
                <w:bCs w:val="1"/>
                <w:color w:val="auto"/>
                <w:w w:val="90"/>
              </w:rPr>
              <w:t>Reporting Person/</w:t>
            </w:r>
          </w:p>
        </w:tc>
        <w:tc>
          <w:tcPr>
            <w:tcW w:w="1440" w:type="dxa"/>
            <w:vAlign w:val="bottom"/>
            <w:tcBorders>
              <w:top w:val="single" w:sz="8" w:color="auto"/>
              <w:right w:val="single" w:sz="8" w:color="auto"/>
            </w:tcBorders>
            <w:gridSpan w:val="3"/>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720" w:type="dxa"/>
            <w:vAlign w:val="bottom"/>
            <w:tcBorders>
              <w:top w:val="single" w:sz="8" w:color="auto"/>
              <w:right w:val="single" w:sz="8" w:color="auto"/>
            </w:tcBorders>
            <w:gridSpan w:val="5"/>
          </w:tcPr>
          <w:p>
            <w:pPr>
              <w:jc w:val="center"/>
              <w:ind w:right="300"/>
              <w:spacing w:after="0" w:line="202" w:lineRule="exact"/>
              <w:rPr>
                <w:sz w:val="20"/>
                <w:szCs w:val="20"/>
                <w:color w:val="auto"/>
              </w:rPr>
            </w:pPr>
            <w:r>
              <w:rPr>
                <w:rFonts w:ascii="Arial" w:cs="Arial" w:eastAsia="Arial" w:hAnsi="Arial"/>
                <w:sz w:val="18"/>
                <w:szCs w:val="18"/>
                <w:b w:val="1"/>
                <w:bCs w:val="1"/>
                <w:color w:val="auto"/>
                <w:w w:val="87"/>
              </w:rPr>
              <w:t>Address of</w:t>
            </w:r>
          </w:p>
        </w:tc>
        <w:tc>
          <w:tcPr>
            <w:tcW w:w="360" w:type="dxa"/>
            <w:vAlign w:val="bottom"/>
            <w:tcBorders>
              <w:top w:val="single" w:sz="8" w:color="auto"/>
            </w:tcBorders>
          </w:tcPr>
          <w:p>
            <w:pPr>
              <w:spacing w:after="0"/>
              <w:rPr>
                <w:sz w:val="17"/>
                <w:szCs w:val="17"/>
                <w:color w:val="auto"/>
              </w:rPr>
            </w:pPr>
          </w:p>
        </w:tc>
        <w:tc>
          <w:tcPr>
            <w:tcW w:w="1500" w:type="dxa"/>
            <w:vAlign w:val="bottom"/>
            <w:tcBorders>
              <w:top w:val="single" w:sz="8" w:color="auto"/>
              <w:right w:val="single" w:sz="8" w:color="auto"/>
            </w:tcBorders>
            <w:gridSpan w:val="4"/>
          </w:tcPr>
          <w:p>
            <w:pPr>
              <w:jc w:val="center"/>
              <w:ind w:right="400"/>
              <w:spacing w:after="0" w:line="202" w:lineRule="exact"/>
              <w:rPr>
                <w:sz w:val="20"/>
                <w:szCs w:val="20"/>
                <w:color w:val="auto"/>
              </w:rPr>
            </w:pPr>
            <w:r>
              <w:rPr>
                <w:rFonts w:ascii="Arial" w:cs="Arial" w:eastAsia="Arial" w:hAnsi="Arial"/>
                <w:sz w:val="18"/>
                <w:szCs w:val="18"/>
                <w:b w:val="1"/>
                <w:bCs w:val="1"/>
                <w:color w:val="auto"/>
                <w:w w:val="88"/>
              </w:rPr>
              <w:t>Jurisdiction of</w:t>
            </w: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right w:val="single" w:sz="8" w:color="auto"/>
            </w:tcBorders>
            <w:gridSpan w:val="6"/>
          </w:tcPr>
          <w:p>
            <w:pPr>
              <w:jc w:val="center"/>
              <w:ind w:right="220"/>
              <w:spacing w:after="0" w:line="202" w:lineRule="exact"/>
              <w:rPr>
                <w:sz w:val="20"/>
                <w:szCs w:val="20"/>
                <w:color w:val="auto"/>
              </w:rPr>
            </w:pPr>
            <w:r>
              <w:rPr>
                <w:rFonts w:ascii="Arial" w:cs="Arial" w:eastAsia="Arial" w:hAnsi="Arial"/>
                <w:sz w:val="18"/>
                <w:szCs w:val="18"/>
                <w:b w:val="1"/>
                <w:bCs w:val="1"/>
                <w:color w:val="auto"/>
                <w:w w:val="89"/>
              </w:rPr>
              <w:t>Name/Address of</w:t>
            </w:r>
          </w:p>
        </w:tc>
        <w:tc>
          <w:tcPr>
            <w:tcW w:w="134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94"/>
              </w:rPr>
              <w:t>Principal</w:t>
            </w:r>
          </w:p>
        </w:tc>
      </w:tr>
      <w:tr>
        <w:trPr>
          <w:trHeight w:val="20"/>
        </w:trPr>
        <w:tc>
          <w:tcPr>
            <w:tcW w:w="1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tcPr>
          <w:p>
            <w:pPr>
              <w:spacing w:after="0" w:line="20" w:lineRule="exact"/>
              <w:rPr>
                <w:sz w:val="1"/>
                <w:szCs w:val="1"/>
                <w:color w:val="auto"/>
              </w:rPr>
            </w:pPr>
          </w:p>
        </w:tc>
      </w:tr>
      <w:tr>
        <w:trPr>
          <w:trHeight w:val="196"/>
        </w:trPr>
        <w:tc>
          <w:tcPr>
            <w:tcW w:w="1220" w:type="dxa"/>
            <w:vAlign w:val="bottom"/>
            <w:tcBorders>
              <w:left w:val="single" w:sz="8" w:color="auto"/>
            </w:tcBorders>
          </w:tcPr>
          <w:p>
            <w:pPr>
              <w:spacing w:after="0"/>
              <w:rPr>
                <w:sz w:val="17"/>
                <w:szCs w:val="17"/>
                <w:color w:val="auto"/>
              </w:rPr>
            </w:pPr>
          </w:p>
        </w:tc>
        <w:tc>
          <w:tcPr>
            <w:tcW w:w="1900" w:type="dxa"/>
            <w:vAlign w:val="bottom"/>
            <w:gridSpan w:val="8"/>
          </w:tcPr>
          <w:p>
            <w:pPr>
              <w:jc w:val="center"/>
              <w:spacing w:after="0" w:line="196" w:lineRule="exact"/>
              <w:rPr>
                <w:sz w:val="20"/>
                <w:szCs w:val="20"/>
                <w:color w:val="auto"/>
              </w:rPr>
            </w:pPr>
            <w:r>
              <w:rPr>
                <w:rFonts w:ascii="Arial" w:cs="Arial" w:eastAsia="Arial" w:hAnsi="Arial"/>
                <w:sz w:val="18"/>
                <w:szCs w:val="18"/>
                <w:b w:val="1"/>
                <w:bCs w:val="1"/>
                <w:color w:val="auto"/>
                <w:w w:val="94"/>
              </w:rPr>
              <w:t>Director/Officer/Control</w:t>
            </w:r>
          </w:p>
        </w:tc>
        <w:tc>
          <w:tcPr>
            <w:tcW w:w="12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Borders>
              <w:right w:val="single" w:sz="8" w:color="auto"/>
            </w:tcBorders>
            <w:gridSpan w:val="4"/>
          </w:tcPr>
          <w:p>
            <w:pPr>
              <w:jc w:val="center"/>
              <w:ind w:right="660"/>
              <w:spacing w:after="0" w:line="196" w:lineRule="exact"/>
              <w:rPr>
                <w:sz w:val="20"/>
                <w:szCs w:val="20"/>
                <w:color w:val="auto"/>
              </w:rPr>
            </w:pPr>
            <w:r>
              <w:rPr>
                <w:rFonts w:ascii="Arial" w:cs="Arial" w:eastAsia="Arial" w:hAnsi="Arial"/>
                <w:sz w:val="18"/>
                <w:szCs w:val="18"/>
                <w:b w:val="1"/>
                <w:bCs w:val="1"/>
                <w:color w:val="auto"/>
                <w:w w:val="92"/>
              </w:rPr>
              <w:t>Principal</w:t>
            </w:r>
          </w:p>
        </w:tc>
        <w:tc>
          <w:tcPr>
            <w:tcW w:w="1860" w:type="dxa"/>
            <w:vAlign w:val="bottom"/>
            <w:tcBorders>
              <w:right w:val="single" w:sz="8" w:color="auto"/>
            </w:tcBorders>
            <w:gridSpan w:val="5"/>
          </w:tcPr>
          <w:p>
            <w:pPr>
              <w:jc w:val="center"/>
              <w:ind w:right="40"/>
              <w:spacing w:after="0" w:line="196" w:lineRule="exact"/>
              <w:rPr>
                <w:sz w:val="20"/>
                <w:szCs w:val="20"/>
                <w:color w:val="auto"/>
              </w:rPr>
            </w:pPr>
            <w:r>
              <w:rPr>
                <w:rFonts w:ascii="Arial" w:cs="Arial" w:eastAsia="Arial" w:hAnsi="Arial"/>
                <w:sz w:val="18"/>
                <w:szCs w:val="18"/>
                <w:b w:val="1"/>
                <w:bCs w:val="1"/>
                <w:color w:val="auto"/>
                <w:w w:val="94"/>
              </w:rPr>
              <w:t>Incorporation/</w:t>
            </w:r>
          </w:p>
        </w:tc>
        <w:tc>
          <w:tcPr>
            <w:tcW w:w="180" w:type="dxa"/>
            <w:vAlign w:val="bottom"/>
          </w:tcPr>
          <w:p>
            <w:pPr>
              <w:spacing w:after="0"/>
              <w:rPr>
                <w:sz w:val="17"/>
                <w:szCs w:val="17"/>
                <w:color w:val="auto"/>
              </w:rPr>
            </w:pPr>
          </w:p>
        </w:tc>
        <w:tc>
          <w:tcPr>
            <w:tcW w:w="1540" w:type="dxa"/>
            <w:vAlign w:val="bottom"/>
            <w:tcBorders>
              <w:right w:val="single" w:sz="8" w:color="auto"/>
            </w:tcBorders>
            <w:gridSpan w:val="6"/>
          </w:tcPr>
          <w:p>
            <w:pPr>
              <w:jc w:val="center"/>
              <w:ind w:right="200"/>
              <w:spacing w:after="0" w:line="196" w:lineRule="exact"/>
              <w:rPr>
                <w:sz w:val="20"/>
                <w:szCs w:val="20"/>
                <w:color w:val="auto"/>
              </w:rPr>
            </w:pPr>
            <w:r>
              <w:rPr>
                <w:rFonts w:ascii="Arial" w:cs="Arial" w:eastAsia="Arial" w:hAnsi="Arial"/>
                <w:sz w:val="18"/>
                <w:szCs w:val="18"/>
                <w:b w:val="1"/>
                <w:bCs w:val="1"/>
                <w:color w:val="auto"/>
                <w:w w:val="92"/>
              </w:rPr>
              <w:t>Employer and</w:t>
            </w:r>
          </w:p>
        </w:tc>
        <w:tc>
          <w:tcPr>
            <w:tcW w:w="320" w:type="dxa"/>
            <w:vAlign w:val="bottom"/>
          </w:tcPr>
          <w:p>
            <w:pPr>
              <w:spacing w:after="0"/>
              <w:rPr>
                <w:sz w:val="17"/>
                <w:szCs w:val="17"/>
                <w:color w:val="auto"/>
              </w:rPr>
            </w:pPr>
          </w:p>
        </w:tc>
        <w:tc>
          <w:tcPr>
            <w:tcW w:w="1020" w:type="dxa"/>
            <w:vAlign w:val="bottom"/>
            <w:tcBorders>
              <w:right w:val="single" w:sz="8" w:color="auto"/>
            </w:tcBorders>
            <w:gridSpan w:val="2"/>
          </w:tcPr>
          <w:p>
            <w:pPr>
              <w:jc w:val="center"/>
              <w:ind w:right="360"/>
              <w:spacing w:after="0" w:line="196" w:lineRule="exact"/>
              <w:rPr>
                <w:sz w:val="20"/>
                <w:szCs w:val="20"/>
                <w:color w:val="auto"/>
              </w:rPr>
            </w:pPr>
            <w:r>
              <w:rPr>
                <w:rFonts w:ascii="Arial" w:cs="Arial" w:eastAsia="Arial" w:hAnsi="Arial"/>
                <w:sz w:val="18"/>
                <w:szCs w:val="18"/>
                <w:b w:val="1"/>
                <w:bCs w:val="1"/>
                <w:color w:val="auto"/>
                <w:w w:val="82"/>
              </w:rPr>
              <w:t>Business</w:t>
            </w:r>
          </w:p>
        </w:tc>
      </w:tr>
      <w:tr>
        <w:trPr>
          <w:trHeight w:val="20"/>
        </w:trPr>
        <w:tc>
          <w:tcPr>
            <w:tcW w:w="12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r>
      <w:tr>
        <w:trPr>
          <w:trHeight w:val="196"/>
        </w:trPr>
        <w:tc>
          <w:tcPr>
            <w:tcW w:w="12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8"/>
              </w:rPr>
              <w:t>Person</w:t>
            </w:r>
          </w:p>
        </w:tc>
        <w:tc>
          <w:tcPr>
            <w:tcW w:w="680" w:type="dxa"/>
            <w:vAlign w:val="bottom"/>
            <w:gridSpan w:val="3"/>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right w:val="single" w:sz="8" w:color="auto"/>
            </w:tcBorders>
            <w:gridSpan w:val="5"/>
          </w:tcPr>
          <w:p>
            <w:pPr>
              <w:jc w:val="center"/>
              <w:ind w:right="320"/>
              <w:spacing w:after="0" w:line="196" w:lineRule="exact"/>
              <w:rPr>
                <w:sz w:val="20"/>
                <w:szCs w:val="20"/>
                <w:color w:val="auto"/>
              </w:rPr>
            </w:pPr>
            <w:r>
              <w:rPr>
                <w:rFonts w:ascii="Arial" w:cs="Arial" w:eastAsia="Arial" w:hAnsi="Arial"/>
                <w:sz w:val="18"/>
                <w:szCs w:val="18"/>
                <w:b w:val="1"/>
                <w:bCs w:val="1"/>
                <w:color w:val="auto"/>
                <w:w w:val="87"/>
              </w:rPr>
              <w:t>Office/Business or</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gridSpan w:val="3"/>
          </w:tcPr>
          <w:p>
            <w:pPr>
              <w:jc w:val="center"/>
              <w:ind w:right="520"/>
              <w:spacing w:after="0" w:line="196" w:lineRule="exact"/>
              <w:rPr>
                <w:sz w:val="20"/>
                <w:szCs w:val="20"/>
                <w:color w:val="auto"/>
              </w:rPr>
            </w:pPr>
            <w:r>
              <w:rPr>
                <w:rFonts w:ascii="Arial" w:cs="Arial" w:eastAsia="Arial" w:hAnsi="Arial"/>
                <w:sz w:val="18"/>
                <w:szCs w:val="18"/>
                <w:b w:val="1"/>
                <w:bCs w:val="1"/>
                <w:color w:val="auto"/>
                <w:w w:val="89"/>
              </w:rPr>
              <w:t>Citizenship</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gridSpan w:val="4"/>
          </w:tcPr>
          <w:p>
            <w:pPr>
              <w:jc w:val="center"/>
              <w:ind w:right="420"/>
              <w:spacing w:after="0" w:line="196" w:lineRule="exact"/>
              <w:rPr>
                <w:sz w:val="20"/>
                <w:szCs w:val="20"/>
                <w:color w:val="auto"/>
              </w:rPr>
            </w:pPr>
            <w:r>
              <w:rPr>
                <w:rFonts w:ascii="Arial" w:cs="Arial" w:eastAsia="Arial" w:hAnsi="Arial"/>
                <w:sz w:val="18"/>
                <w:szCs w:val="18"/>
                <w:b w:val="1"/>
                <w:bCs w:val="1"/>
                <w:color w:val="auto"/>
                <w:w w:val="90"/>
              </w:rPr>
              <w:t>Occupation</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r>
      <w:tr>
        <w:trPr>
          <w:trHeight w:val="20"/>
        </w:trPr>
        <w:tc>
          <w:tcPr>
            <w:tcW w:w="1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Borders>
              <w:righ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r>
      <w:tr>
        <w:trPr>
          <w:trHeight w:val="196"/>
        </w:trPr>
        <w:tc>
          <w:tcPr>
            <w:tcW w:w="12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Borders>
              <w:right w:val="single" w:sz="8" w:color="auto"/>
            </w:tcBorders>
            <w:gridSpan w:val="8"/>
          </w:tcPr>
          <w:p>
            <w:pPr>
              <w:jc w:val="center"/>
              <w:ind w:right="1300"/>
              <w:spacing w:after="0" w:line="196" w:lineRule="exact"/>
              <w:rPr>
                <w:sz w:val="20"/>
                <w:szCs w:val="20"/>
                <w:color w:val="auto"/>
              </w:rPr>
            </w:pPr>
            <w:r>
              <w:rPr>
                <w:rFonts w:ascii="Arial" w:cs="Arial" w:eastAsia="Arial" w:hAnsi="Arial"/>
                <w:sz w:val="18"/>
                <w:szCs w:val="18"/>
                <w:b w:val="1"/>
                <w:bCs w:val="1"/>
                <w:color w:val="auto"/>
                <w:w w:val="90"/>
              </w:rPr>
              <w:t>of a Reporting Person</w:t>
            </w:r>
          </w:p>
        </w:tc>
        <w:tc>
          <w:tcPr>
            <w:tcW w:w="260" w:type="dxa"/>
            <w:vAlign w:val="bottom"/>
          </w:tcPr>
          <w:p>
            <w:pPr>
              <w:spacing w:after="0"/>
              <w:rPr>
                <w:sz w:val="17"/>
                <w:szCs w:val="17"/>
                <w:color w:val="auto"/>
              </w:rPr>
            </w:pPr>
          </w:p>
        </w:tc>
        <w:tc>
          <w:tcPr>
            <w:tcW w:w="1740" w:type="dxa"/>
            <w:vAlign w:val="bottom"/>
            <w:tcBorders>
              <w:right w:val="single" w:sz="8" w:color="auto"/>
            </w:tcBorders>
            <w:gridSpan w:val="6"/>
          </w:tcPr>
          <w:p>
            <w:pPr>
              <w:jc w:val="center"/>
              <w:ind w:right="300"/>
              <w:spacing w:after="0" w:line="196" w:lineRule="exact"/>
              <w:rPr>
                <w:sz w:val="20"/>
                <w:szCs w:val="20"/>
                <w:color w:val="auto"/>
              </w:rPr>
            </w:pPr>
            <w:r>
              <w:rPr>
                <w:rFonts w:ascii="Arial" w:cs="Arial" w:eastAsia="Arial" w:hAnsi="Arial"/>
                <w:sz w:val="18"/>
                <w:szCs w:val="18"/>
                <w:b w:val="1"/>
                <w:bCs w:val="1"/>
                <w:color w:val="auto"/>
                <w:w w:val="86"/>
              </w:rPr>
              <w:t>Residence Address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r>
      <w:tr>
        <w:trPr>
          <w:trHeight w:val="28"/>
        </w:trPr>
        <w:tc>
          <w:tcPr>
            <w:tcW w:w="12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r>
      <w:tr>
        <w:trPr>
          <w:trHeight w:val="223"/>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Officers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r>
      <w:tr>
        <w:trPr>
          <w:trHeight w:val="223"/>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President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Antonios S. Papadimitriou</w:t>
            </w:r>
          </w:p>
        </w:tc>
        <w:tc>
          <w:tcPr>
            <w:tcW w:w="20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8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17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3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202"/>
        </w:trPr>
        <w:tc>
          <w:tcPr>
            <w:tcW w:w="122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w w:val="99"/>
              </w:rPr>
              <w:t>Vice President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Georgios Karageorgiou</w:t>
            </w:r>
          </w:p>
        </w:tc>
        <w:tc>
          <w:tcPr>
            <w:tcW w:w="200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See above</w:t>
            </w:r>
          </w:p>
        </w:tc>
        <w:tc>
          <w:tcPr>
            <w:tcW w:w="186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See above</w:t>
            </w:r>
          </w:p>
        </w:tc>
        <w:tc>
          <w:tcPr>
            <w:tcW w:w="172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See above</w:t>
            </w:r>
          </w:p>
        </w:tc>
        <w:tc>
          <w:tcPr>
            <w:tcW w:w="13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See above</w:t>
            </w:r>
          </w:p>
        </w:tc>
      </w:tr>
      <w:tr>
        <w:trPr>
          <w:trHeight w:val="230"/>
        </w:trPr>
        <w:tc>
          <w:tcPr>
            <w:tcW w:w="208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Chief Executive Officer</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223"/>
        </w:trPr>
        <w:tc>
          <w:tcPr>
            <w:tcW w:w="122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r>
      <w:tr>
        <w:trPr>
          <w:trHeight w:val="223"/>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Secretary</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Michail Gialouris</w:t>
            </w:r>
          </w:p>
        </w:tc>
        <w:tc>
          <w:tcPr>
            <w:tcW w:w="20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8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17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3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223"/>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Treasurer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Spyridon Floratos</w:t>
            </w:r>
          </w:p>
        </w:tc>
        <w:tc>
          <w:tcPr>
            <w:tcW w:w="20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8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17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3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202"/>
        </w:trPr>
        <w:tc>
          <w:tcPr>
            <w:tcW w:w="4320" w:type="dxa"/>
            <w:vAlign w:val="bottom"/>
            <w:tcBorders>
              <w:left w:val="single" w:sz="8" w:color="auto"/>
              <w:right w:val="single" w:sz="8" w:color="auto"/>
            </w:tcBorders>
            <w:gridSpan w:val="10"/>
          </w:tcPr>
          <w:p>
            <w:pPr>
              <w:ind w:left="40"/>
              <w:spacing w:after="0" w:line="201" w:lineRule="exact"/>
              <w:rPr>
                <w:sz w:val="20"/>
                <w:szCs w:val="20"/>
                <w:color w:val="auto"/>
              </w:rPr>
            </w:pPr>
            <w:r>
              <w:rPr>
                <w:rFonts w:ascii="Arial" w:cs="Arial" w:eastAsia="Arial" w:hAnsi="Arial"/>
                <w:sz w:val="18"/>
                <w:szCs w:val="18"/>
                <w:color w:val="auto"/>
              </w:rPr>
              <w:t>ALEXANDER S. ONASSIS FOUNDATION</w:t>
            </w:r>
          </w:p>
        </w:tc>
        <w:tc>
          <w:tcPr>
            <w:tcW w:w="200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Heiligkreuz 6</w:t>
            </w:r>
          </w:p>
        </w:tc>
        <w:tc>
          <w:tcPr>
            <w:tcW w:w="186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Lichtenstein</w:t>
            </w:r>
          </w:p>
        </w:tc>
        <w:tc>
          <w:tcPr>
            <w:tcW w:w="172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N/A</w:t>
            </w:r>
          </w:p>
        </w:tc>
        <w:tc>
          <w:tcPr>
            <w:tcW w:w="13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Foundation</w:t>
            </w:r>
          </w:p>
        </w:tc>
      </w:tr>
      <w:tr>
        <w:trPr>
          <w:trHeight w:val="237"/>
        </w:trPr>
        <w:tc>
          <w:tcPr>
            <w:tcW w:w="122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Vaduz, Lichtenstein</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r>
      <w:tr>
        <w:trPr>
          <w:trHeight w:val="223"/>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Directors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r>
      <w:tr>
        <w:trPr>
          <w:trHeight w:val="223"/>
        </w:trPr>
        <w:tc>
          <w:tcPr>
            <w:tcW w:w="4320" w:type="dxa"/>
            <w:vAlign w:val="bottom"/>
            <w:tcBorders>
              <w:left w:val="single" w:sz="8" w:color="auto"/>
              <w:bottom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Antonios S. Papadimitriou</w:t>
            </w:r>
          </w:p>
        </w:tc>
        <w:tc>
          <w:tcPr>
            <w:tcW w:w="20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8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17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3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223"/>
        </w:trPr>
        <w:tc>
          <w:tcPr>
            <w:tcW w:w="4320" w:type="dxa"/>
            <w:vAlign w:val="bottom"/>
            <w:tcBorders>
              <w:left w:val="single" w:sz="8" w:color="auto"/>
              <w:bottom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Marianna Moschou</w:t>
            </w:r>
          </w:p>
        </w:tc>
        <w:tc>
          <w:tcPr>
            <w:tcW w:w="20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8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17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3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426"/>
        </w:trPr>
        <w:tc>
          <w:tcPr>
            <w:tcW w:w="12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1200" w:type="dxa"/>
            <w:vAlign w:val="bottom"/>
            <w:tcBorders>
              <w:bottom w:val="single" w:sz="8" w:color="BFBFBF"/>
            </w:tcBorders>
          </w:tcPr>
          <w:p>
            <w:pPr>
              <w:spacing w:after="0"/>
              <w:rPr>
                <w:sz w:val="24"/>
                <w:szCs w:val="24"/>
                <w:color w:val="auto"/>
              </w:rPr>
            </w:pPr>
          </w:p>
        </w:tc>
        <w:tc>
          <w:tcPr>
            <w:tcW w:w="26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86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32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3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00" w:type="dxa"/>
            <w:vAlign w:val="bottom"/>
            <w:tcBorders>
              <w:top w:val="single" w:sz="8" w:color="auto"/>
              <w:lef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7"/>
          </w:tcPr>
          <w:p>
            <w:pPr>
              <w:jc w:val="center"/>
              <w:ind w:right="840"/>
              <w:spacing w:after="0" w:line="202" w:lineRule="exact"/>
              <w:rPr>
                <w:sz w:val="20"/>
                <w:szCs w:val="20"/>
                <w:color w:val="auto"/>
              </w:rPr>
            </w:pPr>
            <w:r>
              <w:rPr>
                <w:rFonts w:ascii="Arial" w:cs="Arial" w:eastAsia="Arial" w:hAnsi="Arial"/>
                <w:sz w:val="18"/>
                <w:szCs w:val="18"/>
                <w:b w:val="1"/>
                <w:bCs w:val="1"/>
                <w:color w:val="auto"/>
                <w:w w:val="89"/>
              </w:rPr>
              <w:t>Reporting Person/</w:t>
            </w: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gridSpan w:val="5"/>
          </w:tcPr>
          <w:p>
            <w:pPr>
              <w:jc w:val="center"/>
              <w:ind w:right="420"/>
              <w:spacing w:after="0" w:line="202" w:lineRule="exact"/>
              <w:rPr>
                <w:sz w:val="20"/>
                <w:szCs w:val="20"/>
                <w:color w:val="auto"/>
              </w:rPr>
            </w:pPr>
            <w:r>
              <w:rPr>
                <w:rFonts w:ascii="Arial" w:cs="Arial" w:eastAsia="Arial" w:hAnsi="Arial"/>
                <w:sz w:val="18"/>
                <w:szCs w:val="18"/>
                <w:b w:val="1"/>
                <w:bCs w:val="1"/>
                <w:color w:val="auto"/>
                <w:w w:val="89"/>
              </w:rPr>
              <w:t>Address of</w:t>
            </w: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right w:val="single" w:sz="8" w:color="auto"/>
            </w:tcBorders>
            <w:gridSpan w:val="4"/>
          </w:tcPr>
          <w:p>
            <w:pPr>
              <w:jc w:val="center"/>
              <w:ind w:right="320"/>
              <w:spacing w:after="0" w:line="202" w:lineRule="exact"/>
              <w:rPr>
                <w:sz w:val="20"/>
                <w:szCs w:val="20"/>
                <w:color w:val="auto"/>
              </w:rPr>
            </w:pPr>
            <w:r>
              <w:rPr>
                <w:rFonts w:ascii="Arial" w:cs="Arial" w:eastAsia="Arial" w:hAnsi="Arial"/>
                <w:sz w:val="18"/>
                <w:szCs w:val="18"/>
                <w:b w:val="1"/>
                <w:bCs w:val="1"/>
                <w:color w:val="auto"/>
                <w:w w:val="88"/>
              </w:rPr>
              <w:t>Jurisdiction of</w:t>
            </w:r>
          </w:p>
        </w:tc>
        <w:tc>
          <w:tcPr>
            <w:tcW w:w="380" w:type="dxa"/>
            <w:vAlign w:val="bottom"/>
            <w:tcBorders>
              <w:top w:val="single" w:sz="8" w:color="auto"/>
            </w:tcBorders>
          </w:tcPr>
          <w:p>
            <w:pPr>
              <w:spacing w:after="0"/>
              <w:rPr>
                <w:sz w:val="17"/>
                <w:szCs w:val="17"/>
                <w:color w:val="auto"/>
              </w:rPr>
            </w:pPr>
          </w:p>
        </w:tc>
        <w:tc>
          <w:tcPr>
            <w:tcW w:w="1700" w:type="dxa"/>
            <w:vAlign w:val="bottom"/>
            <w:tcBorders>
              <w:top w:val="single" w:sz="8" w:color="auto"/>
              <w:right w:val="single" w:sz="8" w:color="auto"/>
            </w:tcBorders>
            <w:gridSpan w:val="6"/>
          </w:tcPr>
          <w:p>
            <w:pPr>
              <w:jc w:val="center"/>
              <w:ind w:right="380"/>
              <w:spacing w:after="0" w:line="202" w:lineRule="exact"/>
              <w:rPr>
                <w:sz w:val="20"/>
                <w:szCs w:val="20"/>
                <w:color w:val="auto"/>
              </w:rPr>
            </w:pPr>
            <w:r>
              <w:rPr>
                <w:rFonts w:ascii="Arial" w:cs="Arial" w:eastAsia="Arial" w:hAnsi="Arial"/>
                <w:sz w:val="18"/>
                <w:szCs w:val="18"/>
                <w:b w:val="1"/>
                <w:bCs w:val="1"/>
                <w:color w:val="auto"/>
                <w:w w:val="89"/>
              </w:rPr>
              <w:t>Name/Address of</w:t>
            </w:r>
          </w:p>
        </w:tc>
        <w:tc>
          <w:tcPr>
            <w:tcW w:w="2140" w:type="dxa"/>
            <w:vAlign w:val="bottom"/>
            <w:tcBorders>
              <w:top w:val="single" w:sz="8" w:color="auto"/>
              <w:right w:val="single" w:sz="8" w:color="auto"/>
            </w:tcBorders>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94"/>
              </w:rPr>
              <w:t>Principal</w:t>
            </w: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Borders>
              <w:left w:val="single" w:sz="8" w:color="auto"/>
              <w:right w:val="single" w:sz="8" w:color="auto"/>
            </w:tcBorders>
          </w:tcPr>
          <w:p>
            <w:pPr>
              <w:spacing w:after="0" w:line="20" w:lineRule="exact"/>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1900" w:type="dxa"/>
            <w:vAlign w:val="bottom"/>
            <w:gridSpan w:val="8"/>
          </w:tcPr>
          <w:p>
            <w:pPr>
              <w:jc w:val="center"/>
              <w:spacing w:after="0" w:line="196" w:lineRule="exact"/>
              <w:rPr>
                <w:sz w:val="20"/>
                <w:szCs w:val="20"/>
                <w:color w:val="auto"/>
              </w:rPr>
            </w:pPr>
            <w:r>
              <w:rPr>
                <w:rFonts w:ascii="Arial" w:cs="Arial" w:eastAsia="Arial" w:hAnsi="Arial"/>
                <w:sz w:val="18"/>
                <w:szCs w:val="18"/>
                <w:b w:val="1"/>
                <w:bCs w:val="1"/>
                <w:color w:val="auto"/>
                <w:w w:val="94"/>
              </w:rPr>
              <w:t>Director/Officer/Control</w:t>
            </w:r>
          </w:p>
        </w:tc>
        <w:tc>
          <w:tcPr>
            <w:tcW w:w="5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4"/>
              </w:rPr>
              <w:t>Principal</w:t>
            </w:r>
          </w:p>
        </w:tc>
        <w:tc>
          <w:tcPr>
            <w:tcW w:w="760" w:type="dxa"/>
            <w:vAlign w:val="bottom"/>
            <w:tcBorders>
              <w:right w:val="single" w:sz="8" w:color="auto"/>
            </w:tcBorders>
            <w:gridSpan w:val="3"/>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2"/>
              </w:rPr>
              <w:t>Incorporation/</w:t>
            </w:r>
          </w:p>
        </w:tc>
        <w:tc>
          <w:tcPr>
            <w:tcW w:w="3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right w:val="single" w:sz="8" w:color="auto"/>
            </w:tcBorders>
            <w:gridSpan w:val="5"/>
          </w:tcPr>
          <w:p>
            <w:pPr>
              <w:jc w:val="center"/>
              <w:ind w:right="500"/>
              <w:spacing w:after="0" w:line="196" w:lineRule="exact"/>
              <w:rPr>
                <w:sz w:val="20"/>
                <w:szCs w:val="20"/>
                <w:color w:val="auto"/>
              </w:rPr>
            </w:pPr>
            <w:r>
              <w:rPr>
                <w:rFonts w:ascii="Arial" w:cs="Arial" w:eastAsia="Arial" w:hAnsi="Arial"/>
                <w:sz w:val="18"/>
                <w:szCs w:val="18"/>
                <w:b w:val="1"/>
                <w:bCs w:val="1"/>
                <w:color w:val="auto"/>
                <w:w w:val="92"/>
              </w:rPr>
              <w:t>Employer and</w:t>
            </w:r>
          </w:p>
        </w:tc>
        <w:tc>
          <w:tcPr>
            <w:tcW w:w="720" w:type="dxa"/>
            <w:vAlign w:val="bottom"/>
          </w:tcPr>
          <w:p>
            <w:pPr>
              <w:spacing w:after="0"/>
              <w:rPr>
                <w:sz w:val="17"/>
                <w:szCs w:val="17"/>
                <w:color w:val="auto"/>
              </w:rPr>
            </w:pPr>
          </w:p>
        </w:tc>
        <w:tc>
          <w:tcPr>
            <w:tcW w:w="1420" w:type="dxa"/>
            <w:vAlign w:val="bottom"/>
            <w:tcBorders>
              <w:right w:val="single" w:sz="8" w:color="auto"/>
            </w:tcBorders>
            <w:gridSpan w:val="2"/>
          </w:tcPr>
          <w:p>
            <w:pPr>
              <w:jc w:val="center"/>
              <w:ind w:right="740"/>
              <w:spacing w:after="0" w:line="196" w:lineRule="exact"/>
              <w:rPr>
                <w:sz w:val="20"/>
                <w:szCs w:val="20"/>
                <w:color w:val="auto"/>
              </w:rPr>
            </w:pPr>
            <w:r>
              <w:rPr>
                <w:rFonts w:ascii="Arial" w:cs="Arial" w:eastAsia="Arial" w:hAnsi="Arial"/>
                <w:sz w:val="18"/>
                <w:szCs w:val="18"/>
                <w:b w:val="1"/>
                <w:bCs w:val="1"/>
                <w:color w:val="auto"/>
                <w:w w:val="84"/>
              </w:rPr>
              <w:t>Business</w:t>
            </w: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8"/>
              </w:rPr>
              <w:t>Person</w:t>
            </w:r>
          </w:p>
        </w:tc>
        <w:tc>
          <w:tcPr>
            <w:tcW w:w="680" w:type="dxa"/>
            <w:vAlign w:val="bottom"/>
            <w:gridSpan w:val="3"/>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7"/>
              </w:rPr>
              <w:t>Office/Business or</w:t>
            </w:r>
          </w:p>
        </w:tc>
        <w:tc>
          <w:tcPr>
            <w:tcW w:w="420" w:type="dxa"/>
            <w:vAlign w:val="bottom"/>
            <w:tcBorders>
              <w:right w:val="single" w:sz="8" w:color="auto"/>
            </w:tcBorders>
            <w:gridSpan w:val="2"/>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right w:val="single" w:sz="8" w:color="auto"/>
            </w:tcBorders>
            <w:gridSpan w:val="3"/>
          </w:tcPr>
          <w:p>
            <w:pPr>
              <w:jc w:val="center"/>
              <w:ind w:right="440"/>
              <w:spacing w:after="0" w:line="196" w:lineRule="exact"/>
              <w:rPr>
                <w:sz w:val="20"/>
                <w:szCs w:val="20"/>
                <w:color w:val="auto"/>
              </w:rPr>
            </w:pPr>
            <w:r>
              <w:rPr>
                <w:rFonts w:ascii="Arial" w:cs="Arial" w:eastAsia="Arial" w:hAnsi="Arial"/>
                <w:sz w:val="18"/>
                <w:szCs w:val="18"/>
                <w:b w:val="1"/>
                <w:bCs w:val="1"/>
                <w:color w:val="auto"/>
                <w:w w:val="89"/>
              </w:rPr>
              <w:t>Citizenship</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right w:val="single" w:sz="8" w:color="auto"/>
            </w:tcBorders>
            <w:gridSpan w:val="4"/>
          </w:tcPr>
          <w:p>
            <w:pPr>
              <w:jc w:val="center"/>
              <w:ind w:right="600"/>
              <w:spacing w:after="0" w:line="196" w:lineRule="exact"/>
              <w:rPr>
                <w:sz w:val="20"/>
                <w:szCs w:val="20"/>
                <w:color w:val="auto"/>
              </w:rPr>
            </w:pPr>
            <w:r>
              <w:rPr>
                <w:rFonts w:ascii="Arial" w:cs="Arial" w:eastAsia="Arial" w:hAnsi="Arial"/>
                <w:sz w:val="18"/>
                <w:szCs w:val="18"/>
                <w:b w:val="1"/>
                <w:bCs w:val="1"/>
                <w:color w:val="auto"/>
                <w:w w:val="90"/>
              </w:rPr>
              <w:t>Occupation</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r>
      <w:tr>
        <w:trPr>
          <w:trHeight w:val="196"/>
        </w:trPr>
        <w:tc>
          <w:tcPr>
            <w:tcW w:w="60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right w:val="single" w:sz="8" w:color="auto"/>
            </w:tcBorders>
            <w:gridSpan w:val="8"/>
          </w:tcPr>
          <w:p>
            <w:pPr>
              <w:jc w:val="center"/>
              <w:ind w:right="700"/>
              <w:spacing w:after="0" w:line="196" w:lineRule="exact"/>
              <w:rPr>
                <w:sz w:val="20"/>
                <w:szCs w:val="20"/>
                <w:color w:val="auto"/>
              </w:rPr>
            </w:pPr>
            <w:r>
              <w:rPr>
                <w:rFonts w:ascii="Arial" w:cs="Arial" w:eastAsia="Arial" w:hAnsi="Arial"/>
                <w:sz w:val="18"/>
                <w:szCs w:val="18"/>
                <w:b w:val="1"/>
                <w:bCs w:val="1"/>
                <w:color w:val="auto"/>
                <w:w w:val="89"/>
              </w:rPr>
              <w:t>of a Reporting Person</w:t>
            </w:r>
          </w:p>
        </w:tc>
        <w:tc>
          <w:tcPr>
            <w:tcW w:w="380" w:type="dxa"/>
            <w:vAlign w:val="bottom"/>
          </w:tcPr>
          <w:p>
            <w:pPr>
              <w:spacing w:after="0"/>
              <w:rPr>
                <w:sz w:val="17"/>
                <w:szCs w:val="17"/>
                <w:color w:val="auto"/>
              </w:rPr>
            </w:pPr>
          </w:p>
        </w:tc>
        <w:tc>
          <w:tcPr>
            <w:tcW w:w="1840" w:type="dxa"/>
            <w:vAlign w:val="bottom"/>
            <w:tcBorders>
              <w:right w:val="single" w:sz="8" w:color="auto"/>
            </w:tcBorders>
            <w:gridSpan w:val="6"/>
          </w:tcPr>
          <w:p>
            <w:pPr>
              <w:jc w:val="center"/>
              <w:ind w:right="400"/>
              <w:spacing w:after="0" w:line="196" w:lineRule="exact"/>
              <w:rPr>
                <w:sz w:val="20"/>
                <w:szCs w:val="20"/>
                <w:color w:val="auto"/>
              </w:rPr>
            </w:pPr>
            <w:r>
              <w:rPr>
                <w:rFonts w:ascii="Arial" w:cs="Arial" w:eastAsia="Arial" w:hAnsi="Arial"/>
                <w:sz w:val="18"/>
                <w:szCs w:val="18"/>
                <w:b w:val="1"/>
                <w:bCs w:val="1"/>
                <w:color w:val="auto"/>
                <w:w w:val="86"/>
              </w:rPr>
              <w:t>Residence Address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r>
      <w:tr>
        <w:trPr>
          <w:trHeight w:val="28"/>
        </w:trPr>
        <w:tc>
          <w:tcPr>
            <w:tcW w:w="6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23"/>
        </w:trPr>
        <w:tc>
          <w:tcPr>
            <w:tcW w:w="3080" w:type="dxa"/>
            <w:vAlign w:val="bottom"/>
            <w:tcBorders>
              <w:left w:val="single" w:sz="8" w:color="auto"/>
              <w:bottom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rPr>
              <w:t>Prof. Constantinos Grammenos</w:t>
            </w:r>
          </w:p>
        </w:tc>
        <w:tc>
          <w:tcPr>
            <w:tcW w:w="22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7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21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202"/>
        </w:trPr>
        <w:tc>
          <w:tcPr>
            <w:tcW w:w="1280" w:type="dxa"/>
            <w:vAlign w:val="bottom"/>
            <w:tcBorders>
              <w:lef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w w:val="91"/>
              </w:rPr>
              <w:t>Michael Sotirhos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545 Smith Ridge Road</w:t>
            </w:r>
          </w:p>
        </w:tc>
        <w:tc>
          <w:tcPr>
            <w:tcW w:w="172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USA</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The Blackstone Group</w:t>
            </w:r>
          </w:p>
        </w:tc>
        <w:tc>
          <w:tcPr>
            <w:tcW w:w="21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Investment and advisory</w:t>
            </w:r>
          </w:p>
        </w:tc>
      </w:tr>
      <w:tr>
        <w:trPr>
          <w:trHeight w:val="216"/>
        </w:trPr>
        <w:tc>
          <w:tcPr>
            <w:tcW w:w="6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New Canaan, Connecticut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345 Park Avenue</w:t>
            </w:r>
          </w:p>
        </w:tc>
        <w:tc>
          <w:tcPr>
            <w:tcW w:w="21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firm</w:t>
            </w:r>
          </w:p>
        </w:tc>
      </w:tr>
      <w:tr>
        <w:trPr>
          <w:trHeight w:val="230"/>
        </w:trPr>
        <w:tc>
          <w:tcPr>
            <w:tcW w:w="6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06840 USA</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NY, NY 10154 USA</w:t>
            </w: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r>
      <w:tr>
        <w:trPr>
          <w:trHeight w:val="439"/>
        </w:trPr>
        <w:tc>
          <w:tcPr>
            <w:tcW w:w="6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w w:val="99"/>
              </w:rPr>
              <w:t>Senior Managing Director</w:t>
            </w: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r>
      <w:tr>
        <w:trPr>
          <w:trHeight w:val="202"/>
        </w:trPr>
        <w:tc>
          <w:tcPr>
            <w:tcW w:w="1280" w:type="dxa"/>
            <w:vAlign w:val="bottom"/>
            <w:tcBorders>
              <w:lef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w w:val="95"/>
              </w:rPr>
              <w:t>Dennis Houston</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15 North Fazio Way</w:t>
            </w:r>
          </w:p>
        </w:tc>
        <w:tc>
          <w:tcPr>
            <w:tcW w:w="172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USA</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N/A</w:t>
            </w:r>
          </w:p>
        </w:tc>
        <w:tc>
          <w:tcPr>
            <w:tcW w:w="21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N/A</w:t>
            </w:r>
          </w:p>
        </w:tc>
      </w:tr>
      <w:tr>
        <w:trPr>
          <w:trHeight w:val="216"/>
        </w:trPr>
        <w:tc>
          <w:tcPr>
            <w:tcW w:w="6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The Woodlands, TX 77389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USA</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02"/>
        </w:trPr>
        <w:tc>
          <w:tcPr>
            <w:tcW w:w="3080" w:type="dxa"/>
            <w:vAlign w:val="bottom"/>
            <w:tcBorders>
              <w:left w:val="single" w:sz="8" w:color="auto"/>
              <w:right w:val="single" w:sz="8" w:color="auto"/>
            </w:tcBorders>
            <w:gridSpan w:val="10"/>
          </w:tcPr>
          <w:p>
            <w:pPr>
              <w:ind w:left="40"/>
              <w:spacing w:after="0" w:line="201" w:lineRule="exact"/>
              <w:rPr>
                <w:sz w:val="20"/>
                <w:szCs w:val="20"/>
                <w:color w:val="auto"/>
              </w:rPr>
            </w:pPr>
            <w:r>
              <w:rPr>
                <w:rFonts w:ascii="Arial" w:cs="Arial" w:eastAsia="Arial" w:hAnsi="Arial"/>
                <w:sz w:val="18"/>
                <w:szCs w:val="18"/>
                <w:color w:val="auto"/>
              </w:rPr>
              <w:t>Nikolaos Karamouzis</w:t>
            </w:r>
          </w:p>
        </w:tc>
        <w:tc>
          <w:tcPr>
            <w:tcW w:w="222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SMERemediumCap,</w:t>
            </w:r>
          </w:p>
        </w:tc>
        <w:tc>
          <w:tcPr>
            <w:tcW w:w="172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Greece</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N/A</w:t>
            </w:r>
          </w:p>
        </w:tc>
        <w:tc>
          <w:tcPr>
            <w:tcW w:w="21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N/A</w:t>
            </w:r>
          </w:p>
        </w:tc>
      </w:tr>
      <w:tr>
        <w:trPr>
          <w:trHeight w:val="216"/>
        </w:trPr>
        <w:tc>
          <w:tcPr>
            <w:tcW w:w="6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10 rue Antoine Jans,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L-1820 Luxembourg,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w w:val="94"/>
              </w:rPr>
              <w:t>Grand Duchy of Luxembourg</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23"/>
        </w:trPr>
        <w:tc>
          <w:tcPr>
            <w:tcW w:w="128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8"/>
                <w:szCs w:val="18"/>
                <w:b w:val="1"/>
                <w:bCs w:val="1"/>
                <w:i w:val="1"/>
                <w:iCs w:val="1"/>
                <w:color w:val="auto"/>
              </w:rPr>
              <w:t>Officers</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r>
      <w:tr>
        <w:trPr>
          <w:trHeight w:val="202"/>
        </w:trPr>
        <w:tc>
          <w:tcPr>
            <w:tcW w:w="1280" w:type="dxa"/>
            <w:vAlign w:val="bottom"/>
            <w:tcBorders>
              <w:lef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rPr>
              <w:t>President /</w:t>
            </w:r>
          </w:p>
        </w:tc>
        <w:tc>
          <w:tcPr>
            <w:tcW w:w="1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Antonios S.</w:t>
            </w:r>
          </w:p>
        </w:tc>
        <w:tc>
          <w:tcPr>
            <w:tcW w:w="222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See above</w:t>
            </w:r>
          </w:p>
        </w:tc>
        <w:tc>
          <w:tcPr>
            <w:tcW w:w="172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See above</w:t>
            </w:r>
          </w:p>
        </w:tc>
        <w:tc>
          <w:tcPr>
            <w:tcW w:w="2080" w:type="dxa"/>
            <w:vAlign w:val="bottom"/>
            <w:tcBorders>
              <w:right w:val="single" w:sz="8" w:color="auto"/>
            </w:tcBorders>
            <w:gridSpan w:val="7"/>
          </w:tcPr>
          <w:p>
            <w:pPr>
              <w:spacing w:after="0" w:line="201" w:lineRule="exact"/>
              <w:rPr>
                <w:sz w:val="20"/>
                <w:szCs w:val="20"/>
                <w:color w:val="auto"/>
              </w:rPr>
            </w:pPr>
            <w:r>
              <w:rPr>
                <w:rFonts w:ascii="Arial" w:cs="Arial" w:eastAsia="Arial" w:hAnsi="Arial"/>
                <w:sz w:val="18"/>
                <w:szCs w:val="18"/>
                <w:color w:val="auto"/>
              </w:rPr>
              <w:t>See above</w:t>
            </w:r>
          </w:p>
        </w:tc>
        <w:tc>
          <w:tcPr>
            <w:tcW w:w="214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See above</w:t>
            </w:r>
          </w:p>
        </w:tc>
      </w:tr>
      <w:tr>
        <w:trPr>
          <w:trHeight w:val="237"/>
        </w:trPr>
        <w:tc>
          <w:tcPr>
            <w:tcW w:w="128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8"/>
                <w:szCs w:val="18"/>
                <w:color w:val="auto"/>
              </w:rPr>
              <w:t>Treasurer</w:t>
            </w:r>
          </w:p>
        </w:tc>
        <w:tc>
          <w:tcPr>
            <w:tcW w:w="1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Papadimitriou</w:t>
            </w: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223"/>
        </w:trPr>
        <w:tc>
          <w:tcPr>
            <w:tcW w:w="128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8"/>
                <w:szCs w:val="18"/>
                <w:color w:val="auto"/>
              </w:rPr>
              <w:t>Secretary</w:t>
            </w:r>
          </w:p>
        </w:tc>
        <w:tc>
          <w:tcPr>
            <w:tcW w:w="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Marianna Moschou</w:t>
            </w:r>
          </w:p>
        </w:tc>
        <w:tc>
          <w:tcPr>
            <w:tcW w:w="22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7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21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223"/>
        </w:trPr>
        <w:tc>
          <w:tcPr>
            <w:tcW w:w="128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8"/>
                <w:szCs w:val="18"/>
                <w:color w:val="auto"/>
              </w:rPr>
              <w:t>Vice President</w:t>
            </w:r>
          </w:p>
        </w:tc>
        <w:tc>
          <w:tcPr>
            <w:tcW w:w="12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Dennis Houston</w:t>
            </w:r>
          </w:p>
        </w:tc>
        <w:tc>
          <w:tcPr>
            <w:tcW w:w="22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17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See above</w:t>
            </w:r>
          </w:p>
        </w:tc>
        <w:tc>
          <w:tcPr>
            <w:tcW w:w="20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See above</w:t>
            </w:r>
          </w:p>
        </w:tc>
        <w:tc>
          <w:tcPr>
            <w:tcW w:w="21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See above</w:t>
            </w:r>
          </w:p>
        </w:tc>
      </w:tr>
      <w:tr>
        <w:trPr>
          <w:trHeight w:val="668"/>
        </w:trPr>
        <w:tc>
          <w:tcPr>
            <w:tcW w:w="6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58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86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32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9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2"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Item 4. Purpose of the Transaction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of the Amended Schedule 13D is hereby amended by adding the following paragraphs: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Entry into the Merger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and subject to the terms and conditions of, the Merger Agreement, Merger Sub will be merged with and into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the Issuer (the “</w:t>
      </w:r>
      <w:r>
        <w:rPr>
          <w:rFonts w:ascii="Arial" w:cs="Arial" w:eastAsia="Arial" w:hAnsi="Arial"/>
          <w:sz w:val="21"/>
          <w:szCs w:val="21"/>
          <w:b w:val="1"/>
          <w:bCs w:val="1"/>
          <w:color w:val="auto"/>
        </w:rPr>
        <w:t>Merger</w:t>
      </w:r>
      <w:r>
        <w:rPr>
          <w:rFonts w:ascii="Arial" w:cs="Arial" w:eastAsia="Arial" w:hAnsi="Arial"/>
          <w:sz w:val="21"/>
          <w:szCs w:val="21"/>
          <w:color w:val="auto"/>
        </w:rPr>
        <w:t>”), the separate corporate existence of Merger Sub will cease and the Issuer will be the surviving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company in the Merger (the “</w:t>
      </w:r>
      <w:r>
        <w:rPr>
          <w:rFonts w:ascii="Arial" w:cs="Arial" w:eastAsia="Arial" w:hAnsi="Arial"/>
          <w:sz w:val="19"/>
          <w:szCs w:val="19"/>
          <w:b w:val="1"/>
          <w:bCs w:val="1"/>
          <w:color w:val="auto"/>
        </w:rPr>
        <w:t>Surviving Company</w:t>
      </w:r>
      <w:r>
        <w:rPr>
          <w:rFonts w:ascii="Arial" w:cs="Arial" w:eastAsia="Arial" w:hAnsi="Arial"/>
          <w:sz w:val="19"/>
          <w:szCs w:val="19"/>
          <w:color w:val="auto"/>
        </w:rPr>
        <w:t>”). Under the terms of the Merger Agreement, each common share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Shares</w:t>
      </w:r>
      <w:r>
        <w:rPr>
          <w:rFonts w:ascii="Arial" w:cs="Arial" w:eastAsia="Arial" w:hAnsi="Arial"/>
          <w:sz w:val="19"/>
          <w:szCs w:val="19"/>
          <w:color w:val="auto"/>
        </w:rPr>
        <w:t>”) issued and outstanding immediately prior to the effective time of the Merger (the “</w:t>
      </w:r>
      <w:r>
        <w:rPr>
          <w:rFonts w:ascii="Arial" w:cs="Arial" w:eastAsia="Arial" w:hAnsi="Arial"/>
          <w:sz w:val="19"/>
          <w:szCs w:val="19"/>
          <w:b w:val="1"/>
          <w:bCs w:val="1"/>
          <w:color w:val="auto"/>
        </w:rPr>
        <w:t>Effective Time</w:t>
      </w:r>
      <w:r>
        <w:rPr>
          <w:rFonts w:ascii="Arial" w:cs="Arial" w:eastAsia="Arial" w:hAnsi="Arial"/>
          <w:sz w:val="19"/>
          <w:szCs w:val="19"/>
          <w:color w:val="auto"/>
        </w:rPr>
        <w:t>”) will, by virtue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Merger, be canceled and converted into the right to receive $5.80 per Share, without interest, except for any shares that, as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immediately prior to the Effective Time of the Merger, are held by (i) the Rolling Shareholders, (ii) any of Bruce Blythe, Jean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Haramis, Monhegetti Transport Inc., Dimitris Kolias and Stray Shipping Investments (the </w:t>
      </w:r>
      <w:r>
        <w:rPr>
          <w:rFonts w:ascii="Arial" w:cs="Arial" w:eastAsia="Arial" w:hAnsi="Arial"/>
          <w:sz w:val="19"/>
          <w:szCs w:val="19"/>
          <w:b w:val="1"/>
          <w:bCs w:val="1"/>
          <w:color w:val="auto"/>
        </w:rPr>
        <w:t>“Additional Rolling Shareholders</w:t>
      </w:r>
      <w:r>
        <w:rPr>
          <w:rFonts w:ascii="Arial" w:cs="Arial" w:eastAsia="Arial" w:hAnsi="Arial"/>
          <w:sz w:val="19"/>
          <w:szCs w:val="19"/>
          <w:color w:val="auto"/>
        </w:rPr>
        <w:t>”),</w:t>
      </w:r>
    </w:p>
    <w:p>
      <w:pPr>
        <w:spacing w:after="0" w:line="25" w:lineRule="exact"/>
        <w:rPr>
          <w:sz w:val="20"/>
          <w:szCs w:val="20"/>
          <w:color w:val="auto"/>
        </w:rPr>
      </w:pPr>
    </w:p>
    <w:p>
      <w:pPr>
        <w:ind w:right="280" w:firstLine="8"/>
        <w:spacing w:after="0" w:line="236" w:lineRule="auto"/>
        <w:tabs>
          <w:tab w:leader="none" w:pos="378" w:val="left"/>
        </w:tabs>
        <w:numPr>
          <w:ilvl w:val="0"/>
          <w:numId w:val="3"/>
        </w:numPr>
        <w:rPr>
          <w:rFonts w:ascii="Arial" w:cs="Arial" w:eastAsia="Arial" w:hAnsi="Arial"/>
          <w:sz w:val="22"/>
          <w:szCs w:val="22"/>
          <w:color w:val="auto"/>
        </w:rPr>
      </w:pPr>
      <w:r>
        <w:rPr>
          <w:rFonts w:ascii="Arial" w:cs="Arial" w:eastAsia="Arial" w:hAnsi="Arial"/>
          <w:sz w:val="22"/>
          <w:szCs w:val="22"/>
          <w:color w:val="auto"/>
        </w:rPr>
        <w:t>any direct or indirect wholly owned subsidiary of the Issuer, (iv) the Issuer as treasury shares or (v) holders of Shares who have properly exercised their appraisal rights with respect to such Shares (the “</w:t>
      </w:r>
      <w:r>
        <w:rPr>
          <w:rFonts w:ascii="Arial" w:cs="Arial" w:eastAsia="Arial" w:hAnsi="Arial"/>
          <w:sz w:val="22"/>
          <w:szCs w:val="22"/>
          <w:b w:val="1"/>
          <w:bCs w:val="1"/>
          <w:color w:val="auto"/>
        </w:rPr>
        <w:t>Transaction</w:t>
      </w:r>
      <w:r>
        <w:rPr>
          <w:rFonts w:ascii="Arial" w:cs="Arial" w:eastAsia="Arial" w:hAnsi="Arial"/>
          <w:sz w:val="22"/>
          <w:szCs w:val="22"/>
          <w:color w:val="auto"/>
        </w:rPr>
        <w:t>”).</w:t>
      </w:r>
    </w:p>
    <w:p>
      <w:pPr>
        <w:spacing w:after="0" w:line="214"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Prior to the consummation of the Transaction, each Rolling Shareholder (other than Blenheim Holdings Ltd. and Olympic LNG Investments Ltd.) and each Additional Rolling Shareholder intend to contribute its Shares to BSIH such that immediately prior to the consummation of the Transaction, BSIH will directly hold 10,660,198 Shares. Blenheim Holdings Ltd. and Olympic LNG Investments Ltd. will continue to directly hold 30,800,000 Shares and 11,164,904 Shares,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Promptly after consummation of the Transaction, the Shares will be delisted from the New York Stock Exchange.</w:t>
      </w:r>
    </w:p>
    <w:p>
      <w:pPr>
        <w:spacing w:after="0" w:line="245"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information disclosed in this paragraph is qualified in its entirety by reference to the Merger Agreement, a copy of which has been filed as Exhibit 2.1 to the Form 6-K filed by the Issuer on March 3, 2021 and is incorporated herein by reference in its entirety.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Entry into the Rollover Agreement</w:t>
      </w:r>
    </w:p>
    <w:p>
      <w:pPr>
        <w:spacing w:after="0" w:line="233"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Concurrently with the execution of the Merger Agreement, the Parent, the Issuer and the Rolling Shareholders entered into the Rollover Agreement. Pursuant to the Rollover Agreement, (a) each Rolling Shareholder has agreed to vote or cause to be voted any Shares and preference shares beneficially owned by such Rolling Shareholder in favor of adopting the Merger Agreement, the Transaction and any other actions contemplated thereby for which approval of the Issuer’s shareholders is requested and (b) each Rolling Shareholder has agreed that their Shares and preference shares will remain outstanding as shares and preference shares, respectively, of the Surviving Company following consummation of the Transaction.</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In addition, at the consummation of the Transaction, the Issuer, GEPIF, Blenheim Holdings Ltd., BSIH and Olympic LNG Investments Ltd. agreed to enter into a shareholders’ agreement with respect to the governance of the Issuer following the consummation of the Transaction, a form of which is attached as Exhibit B to the Rollover Agreement (the “</w:t>
      </w:r>
      <w:r>
        <w:rPr>
          <w:rFonts w:ascii="Arial" w:cs="Arial" w:eastAsia="Arial" w:hAnsi="Arial"/>
          <w:sz w:val="19"/>
          <w:szCs w:val="19"/>
          <w:b w:val="1"/>
          <w:bCs w:val="1"/>
          <w:color w:val="auto"/>
        </w:rPr>
        <w:t>Shareholders’</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Pursuant to the Shareholders’ Agreement and following the consummation of the Transaction,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of the Issuer will be reduced to five persons, and the Rolling Shareholders that are party to the Shareholders’ Agreement will appoint a majority of the Issuer’s board of directors in accordance with the terms of the Shareholders’ Agreement. In addition, Peter G. Livanos, following consummation of the Transaction, will hold a proxy to vote the Shares of the Rolling Shareholders under the terms of the Shareholders’ Agreement and, as a result of holding such proxy, will control more than a majority of the voting stock of the Surviving Company and will control the right to appoint a majority of the board of the Surviving Company. Following consummation of the Transaction, the Issuer’s bye-laws will be amended and restated to be in the form attached as Exhibit B to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9" w:name="page10"/>
    <w:bookmarkEnd w:id="9"/>
    <w:p>
      <w:pPr>
        <w:jc w:val="both"/>
        <w:ind w:right="180" w:firstLine="648"/>
        <w:spacing w:after="0"/>
        <w:rPr>
          <w:sz w:val="20"/>
          <w:szCs w:val="20"/>
          <w:color w:val="auto"/>
        </w:rPr>
      </w:pPr>
      <w:r>
        <w:rPr>
          <w:rFonts w:ascii="Arial" w:cs="Arial" w:eastAsia="Arial" w:hAnsi="Arial"/>
          <w:sz w:val="22"/>
          <w:szCs w:val="22"/>
          <w:color w:val="auto"/>
        </w:rPr>
        <w:t>The information disclosed in this paragraph is qualified in its entirety by reference to the Rollover Agreement, a copy of which is filed as Exhibit 2.2 to the Form 6-K filed by the Issuer on March 3, 2021 and is incorporated herein by reference in its entirety.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Item 5. Interest in Securities of the Issuer</w:t>
      </w:r>
    </w:p>
    <w:p>
      <w:pPr>
        <w:spacing w:after="0" w:line="24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item 9 on Cover Pages to this Amendment No. 2. Percentages are based on 95,192,812 Shares outstanding as of February 17, 2021.</w:t>
      </w:r>
    </w:p>
    <w:p>
      <w:pPr>
        <w:spacing w:after="0" w:line="271" w:lineRule="exact"/>
        <w:rPr>
          <w:rFonts w:ascii="Arial" w:cs="Arial" w:eastAsia="Arial" w:hAnsi="Arial"/>
          <w:sz w:val="16"/>
          <w:szCs w:val="16"/>
          <w:color w:val="auto"/>
        </w:rPr>
      </w:pPr>
    </w:p>
    <w:p>
      <w:pPr>
        <w:ind w:left="1960" w:hanging="656"/>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Olympic LNG Investments Ltd. (“</w:t>
      </w:r>
      <w:r>
        <w:rPr>
          <w:rFonts w:ascii="Arial" w:cs="Arial" w:eastAsia="Arial" w:hAnsi="Arial"/>
          <w:sz w:val="18"/>
          <w:szCs w:val="18"/>
          <w:b w:val="1"/>
          <w:bCs w:val="1"/>
          <w:color w:val="auto"/>
        </w:rPr>
        <w:t>Olympic</w:t>
      </w:r>
      <w:r>
        <w:rPr>
          <w:rFonts w:ascii="Arial" w:cs="Arial" w:eastAsia="Arial" w:hAnsi="Arial"/>
          <w:sz w:val="18"/>
          <w:szCs w:val="18"/>
          <w:color w:val="auto"/>
        </w:rPr>
        <w:t>”) is the direct beneficial owner of 11,164,904 common shares.</w:t>
      </w:r>
    </w:p>
    <w:p>
      <w:pPr>
        <w:spacing w:after="0" w:line="252" w:lineRule="exact"/>
        <w:rPr>
          <w:rFonts w:ascii="Arial" w:cs="Arial" w:eastAsia="Arial" w:hAnsi="Arial"/>
          <w:sz w:val="18"/>
          <w:szCs w:val="18"/>
          <w:color w:val="auto"/>
        </w:rPr>
      </w:pPr>
    </w:p>
    <w:p>
      <w:pPr>
        <w:ind w:left="1960" w:hanging="656"/>
        <w:spacing w:after="0" w:line="266"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A.S.O. Maritima S.A. (“</w:t>
      </w:r>
      <w:r>
        <w:rPr>
          <w:rFonts w:ascii="Arial" w:cs="Arial" w:eastAsia="Arial" w:hAnsi="Arial"/>
          <w:sz w:val="18"/>
          <w:szCs w:val="18"/>
          <w:b w:val="1"/>
          <w:bCs w:val="1"/>
          <w:color w:val="auto"/>
        </w:rPr>
        <w:t>Maritima</w:t>
      </w:r>
      <w:r>
        <w:rPr>
          <w:rFonts w:ascii="Arial" w:cs="Arial" w:eastAsia="Arial" w:hAnsi="Arial"/>
          <w:sz w:val="18"/>
          <w:szCs w:val="18"/>
          <w:color w:val="auto"/>
        </w:rPr>
        <w:t>”) owns 100% of Olympic LNG Investments Ltd. Maritima does not own any Shares. By reason of Maritima’s control of Olympic, Maritima may deemed to be the beneficial owner of, and to have the power to vote and dispose of, the common shares beneficially owned by Olympic.</w:t>
      </w:r>
    </w:p>
    <w:p>
      <w:pPr>
        <w:spacing w:after="0" w:line="202" w:lineRule="exact"/>
        <w:rPr>
          <w:rFonts w:ascii="Arial" w:cs="Arial" w:eastAsia="Arial" w:hAnsi="Arial"/>
          <w:sz w:val="18"/>
          <w:szCs w:val="18"/>
          <w:color w:val="auto"/>
        </w:rPr>
      </w:pPr>
    </w:p>
    <w:p>
      <w:pPr>
        <w:ind w:left="1960" w:right="100" w:hanging="656"/>
        <w:spacing w:after="0" w:line="266"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Alexander S. Onassis Foundation (the “</w:t>
      </w:r>
      <w:r>
        <w:rPr>
          <w:rFonts w:ascii="Arial" w:cs="Arial" w:eastAsia="Arial" w:hAnsi="Arial"/>
          <w:sz w:val="18"/>
          <w:szCs w:val="18"/>
          <w:b w:val="1"/>
          <w:bCs w:val="1"/>
          <w:color w:val="auto"/>
        </w:rPr>
        <w:t>Foundation</w:t>
      </w:r>
      <w:r>
        <w:rPr>
          <w:rFonts w:ascii="Arial" w:cs="Arial" w:eastAsia="Arial" w:hAnsi="Arial"/>
          <w:sz w:val="18"/>
          <w:szCs w:val="18"/>
          <w:color w:val="auto"/>
        </w:rPr>
        <w:t>”) owns 100% of Maritima. The Foundation does not own any Shares. By reason of the Foundation’s control of Maritima, the Foundation may deemed to be the beneficial owner of, and to have the power to vote and dispose of, the common shares beneficially owned by Olympic.</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each Reporting Person has:</w:t>
      </w:r>
    </w:p>
    <w:p>
      <w:pPr>
        <w:spacing w:after="0" w:line="252" w:lineRule="exact"/>
        <w:rPr>
          <w:sz w:val="20"/>
          <w:szCs w:val="20"/>
          <w:color w:val="auto"/>
        </w:rPr>
      </w:pPr>
    </w:p>
    <w:p>
      <w:pPr>
        <w:ind w:left="1960" w:hanging="65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7 on Cover Pages to this Amendment No. 2.</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8 on Cover Pages to this Amendment No. 2.</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item 9 on Cover Pages to this Amendment No. 2.</w:t>
      </w:r>
    </w:p>
    <w:p>
      <w:pPr>
        <w:spacing w:after="0" w:line="252"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as described in this Amendment No. 2, there have been no transactions in the Shares effected during the past 60 days by any of the Reporting Persons.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Item 6. Contracts, Arrangements, Understandings or Relationships with Respect to Securities of the Issuer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of this Amendment No. 2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Item 7. Material to be Filed as 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 1 Agreement and Plan of Merger by and among GasLog Ltd., GEPIF III Crown Bidco L.P. and GEPIF III Crown MergerCo Limited, dated as of February 21, 2021 (incorporated by reference to Exhibit 2.1 to the Form 6-K filed by GasLog Ltd. on March 3, 2021).</w:t>
      </w:r>
    </w:p>
    <w:p>
      <w:pPr>
        <w:spacing w:after="0" w:line="21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Exhibit 2 Rollover Agreement by and among GasLog Ltd., GEPIF III Crown Bidco L.P. and the Rolling Shareholders (as defined herein), dated as of February 21, 2021 (incorporated by reference to Exhibit 2.2 to the Form 6-K filed by GasLog Ltd. on March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 w:name="page11"/>
    <w:bookmarkEnd w:id="10"/>
    <w:p>
      <w:pPr>
        <w:jc w:val="center"/>
        <w:ind w:right="-7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3, 2021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OLYMPIC LNG INVESTMENTS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2117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Anthony S. Papadimitriou</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Michail Gialouris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21170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Michail Gialouris</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A.S.O. MARITIMA S.A.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2117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Anthony S. Papadimitriou</w:t>
      </w:r>
    </w:p>
    <w:p>
      <w:pPr>
        <w:spacing w:after="0" w:line="23" w:lineRule="exact"/>
        <w:rPr>
          <w:sz w:val="20"/>
          <w:szCs w:val="20"/>
          <w:color w:val="auto"/>
        </w:rPr>
      </w:pPr>
    </w:p>
    <w:p>
      <w:pPr>
        <w:jc w:val="center"/>
        <w:ind w:right="8620"/>
        <w:spacing w:after="0"/>
        <w:tabs>
          <w:tab w:leader="none" w:pos="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Michail Gialouris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2117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Michail Gialouris</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S. ONASSIS FOUNDATION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2117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Anthony S. Papadimitriou</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Marianna Moschou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2117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Marianna Moschou</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sectPr>
      <w:pgSz w:w="11900" w:h="16838" w:orient="portrait"/>
      <w:cols w:equalWidth="0" w:num="1">
        <w:col w:w="10480"/>
      </w:cols>
      <w:pgMar w:left="320" w:top="355"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lowerLetter"/>
      <w:start w:val="1"/>
    </w:lvl>
    <w:lvl w:ilvl="1">
      <w:lvlJc w:val="left"/>
      <w:lvlText w:val="(%2)"/>
      <w:numFmt w:val="decimal"/>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2021-03-05T06:00:06Z</dcterms:created>
  <dcterms:modified xsi:type="dcterms:W3CDTF">2021-03-05T06:00:06Z</dcterms:modified>
</cp:coreProperties>
</file>