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28" w:lineRule="exact"/>
        <w:rPr>
          <w:sz w:val="24"/>
          <w:szCs w:val="24"/>
          <w:color w:val="auto"/>
        </w:rPr>
      </w:pPr>
    </w:p>
    <w:p>
      <w:pPr>
        <w:jc w:val="center"/>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month of September 2020</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File Number 001-35466</w:t>
      </w:r>
    </w:p>
    <w:p>
      <w:pPr>
        <w:spacing w:after="0" w:line="20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GasLog Ltd</w:t>
      </w:r>
    </w:p>
    <w:p>
      <w:pPr>
        <w:spacing w:after="0" w:line="4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 GasLog Services LNG Ltd.</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69 Akti Miaouli 18537</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Piraeus Greece</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tc>
        <w:tc>
          <w:tcPr>
            <w:tcW w:w="2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Form 20-F x   Form 40-F</w:t>
            </w: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91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1"/>
        </w:trPr>
        <w:tc>
          <w:tcPr>
            <w:tcW w:w="916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91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538"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The press release issued by GasLog Ltd. on September 17, 2020 announcing the appointment of a director is attached hereto as Exhibit 99.1.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INCORPORATION BY REFERENCE</w:t>
      </w:r>
    </w:p>
    <w:p>
      <w:pPr>
        <w:spacing w:after="0" w:line="225" w:lineRule="exact"/>
        <w:rPr>
          <w:sz w:val="20"/>
          <w:szCs w:val="20"/>
          <w:color w:val="auto"/>
        </w:rPr>
      </w:pPr>
    </w:p>
    <w:p>
      <w:pPr>
        <w:ind w:right="100" w:firstLine="376"/>
        <w:spacing w:after="0" w:line="258" w:lineRule="auto"/>
        <w:rPr>
          <w:sz w:val="20"/>
          <w:szCs w:val="20"/>
          <w:color w:val="auto"/>
        </w:rPr>
      </w:pPr>
      <w:r>
        <w:rPr>
          <w:rFonts w:ascii="Times New Roman" w:cs="Times New Roman" w:eastAsia="Times New Roman" w:hAnsi="Times New Roman"/>
          <w:sz w:val="18"/>
          <w:szCs w:val="18"/>
          <w:color w:val="auto"/>
        </w:rPr>
        <w:t>Exhibit 99.1 to this Report on Form 6-K shall be incorporated by reference into our registration statements on Form F-3 (File Nos. 333-194894, 333-230205 and 333-239797), initially filed with the Securities and Exchange Commission (the “SEC”) on March 28, 2014, March 12, 2019 and July 10, 2020,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60" w:type="dxa"/>
            <w:vAlign w:val="bottom"/>
          </w:tcPr>
          <w:p>
            <w:pPr>
              <w:jc w:val="center"/>
              <w:ind w:right="1379"/>
              <w:spacing w:after="0"/>
              <w:rPr>
                <w:sz w:val="20"/>
                <w:szCs w:val="20"/>
                <w:color w:val="auto"/>
              </w:rPr>
            </w:pPr>
            <w:r>
              <w:rPr>
                <w:rFonts w:ascii="Times New Roman" w:cs="Times New Roman" w:eastAsia="Times New Roman" w:hAnsi="Times New Roman"/>
                <w:sz w:val="18"/>
                <w:szCs w:val="18"/>
                <w:color w:val="auto"/>
                <w:w w:val="99"/>
              </w:rPr>
              <w:t>EXHIBIT LIST</w:t>
            </w:r>
          </w:p>
        </w:tc>
        <w:tc>
          <w:tcPr>
            <w:tcW w:w="40" w:type="dxa"/>
            <w:vAlign w:val="bottom"/>
          </w:tcPr>
          <w:p>
            <w:pPr>
              <w:spacing w:after="0"/>
              <w:rPr>
                <w:sz w:val="20"/>
                <w:szCs w:val="20"/>
                <w:color w:val="auto"/>
              </w:rPr>
            </w:pPr>
          </w:p>
        </w:tc>
      </w:tr>
      <w:tr>
        <w:trPr>
          <w:trHeight w:val="364"/>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24"/>
                <w:szCs w:val="24"/>
                <w:color w:val="auto"/>
              </w:rPr>
            </w:pPr>
          </w:p>
        </w:tc>
        <w:tc>
          <w:tcPr>
            <w:tcW w:w="9760" w:type="dxa"/>
            <w:vAlign w:val="bottom"/>
            <w:tcBorders>
              <w:bottom w:val="single" w:sz="8" w:color="auto"/>
            </w:tcBorders>
          </w:tcPr>
          <w:p>
            <w:pPr>
              <w:ind w:left="4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Press Release Dated September 17, 2020</w:t>
            </w:r>
          </w:p>
        </w:tc>
        <w:tc>
          <w:tcPr>
            <w:tcW w:w="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0100" w:type="dxa"/>
            <w:vAlign w:val="bottom"/>
            <w:gridSpan w:val="2"/>
          </w:tcPr>
          <w:p>
            <w:pPr>
              <w:jc w:val="right"/>
              <w:ind w:right="5499"/>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r>
      <w:tr>
        <w:trPr>
          <w:trHeight w:val="132"/>
        </w:trPr>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620" w:firstLine="3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17,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gridSpan w:val="2"/>
          </w:tcPr>
          <w:p>
            <w:pPr>
              <w:ind w:left="5620"/>
              <w:spacing w:after="0"/>
              <w:rPr>
                <w:sz w:val="20"/>
                <w:szCs w:val="20"/>
                <w:color w:val="auto"/>
              </w:rPr>
            </w:pPr>
            <w:r>
              <w:rPr>
                <w:rFonts w:ascii="Times New Roman" w:cs="Times New Roman" w:eastAsia="Times New Roman" w:hAnsi="Times New Roman"/>
                <w:sz w:val="18"/>
                <w:szCs w:val="18"/>
                <w:color w:val="auto"/>
              </w:rPr>
              <w:t>GASLOG LTD</w:t>
            </w:r>
          </w:p>
        </w:tc>
        <w:tc>
          <w:tcPr>
            <w:tcW w:w="4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Paul A. Wogan</w:t>
            </w:r>
          </w:p>
        </w:tc>
        <w:tc>
          <w:tcPr>
            <w:tcW w:w="40" w:type="dxa"/>
            <w:vAlign w:val="bottom"/>
          </w:tcPr>
          <w:p>
            <w:pPr>
              <w:spacing w:after="0"/>
              <w:rPr>
                <w:sz w:val="24"/>
                <w:szCs w:val="24"/>
                <w:color w:val="auto"/>
              </w:rPr>
            </w:pPr>
          </w:p>
        </w:tc>
      </w:tr>
      <w:tr>
        <w:trPr>
          <w:trHeight w:val="191"/>
        </w:trPr>
        <w:tc>
          <w:tcPr>
            <w:tcW w:w="660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Paul A. Wogan</w:t>
            </w:r>
          </w:p>
        </w:tc>
        <w:tc>
          <w:tcPr>
            <w:tcW w:w="40" w:type="dxa"/>
            <w:vAlign w:val="bottom"/>
          </w:tcPr>
          <w:p>
            <w:pPr>
              <w:spacing w:after="0"/>
              <w:rPr>
                <w:sz w:val="16"/>
                <w:szCs w:val="16"/>
                <w:color w:val="auto"/>
              </w:rPr>
            </w:pPr>
          </w:p>
        </w:tc>
      </w:tr>
      <w:tr>
        <w:trPr>
          <w:trHeight w:val="234"/>
        </w:trPr>
        <w:tc>
          <w:tcPr>
            <w:tcW w:w="66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66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6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GasLog Ltd. Announces Appointment of Director</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Piraeus, Greece — September 17, 2020 — </w:t>
      </w:r>
      <w:r>
        <w:rPr>
          <w:rFonts w:ascii="Times New Roman" w:cs="Times New Roman" w:eastAsia="Times New Roman" w:hAnsi="Times New Roman"/>
          <w:sz w:val="18"/>
          <w:szCs w:val="18"/>
          <w:color w:val="auto"/>
        </w:rPr>
        <w:t>GasLog Ltd. (“GasLog” or the “Company”) (NYSE: GLOG) announced today that it has appointed Kristin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Holth as Independent Director to the Company’s Board of Directors (the “Board”), effective immediately.</w:t>
      </w:r>
    </w:p>
    <w:p>
      <w:pPr>
        <w:spacing w:after="0" w:line="15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From 2017 to 2020 Kristin Holth served as Executive Vice President and Global Head of Ocean Industries in DNB Bank ASA, Norway’s largest financial services group. She has significant experience in capital markets and funding and has held numerous management positions within DNB, including Global Head of Shipping, Offshore &amp; Logistics for 4 years and General Manager &amp; Head of DNB Americas for 6 years.</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Kristin also holds several board positions, including Independent Director of Maersk Drilling since April 2020. She holds a Bachelor in Economics and Business Administration from BI Norwegian Business School.</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Peter G. Livanos, Chairman of the Board of Directors of GasLog stated, “I am very pleased to welcome Kristin to the Board. Her experience in shipping and energy capital markets and proven leadership make her an excellent addition to the GasLog Board. The board, management and I look forward to working with her for many years to 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Nelson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+1 212-223-0643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GasLog</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GasLog is an international owner, operator and manager of LNG carriers providing support to international energy companies as part of their LNG logistics chain. GasLog’s consolidated fleet consists of 35 LNG carriers. Of these vessels, 19 (15 on the water and four on order) are owned by GasLog, one has been sold to a subsidiary of Mitsui Co. Ltd. and leased back by GasLog under a long-term bareboat charter and the remaining 15 LNG carriers are owned by the Company’s subsidiary, GasLog Partners LP. GasLog’s principal executive offices are at 69 Akti Miaouli, 18537 Piraeus, Greece. Visit GasLog’s website at http://www.gaslogltd.com.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1532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2020-09-17T05:51:24Z</dcterms:created>
  <dcterms:modified xsi:type="dcterms:W3CDTF">2020-09-17T05:51:24Z</dcterms:modified>
</cp:coreProperties>
</file>