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right="340" w:firstLine="356"/>
        <w:spacing w:after="0" w:line="293" w:lineRule="auto"/>
        <w:rPr>
          <w:sz w:val="20"/>
          <w:szCs w:val="20"/>
          <w:color w:val="auto"/>
        </w:rPr>
      </w:pPr>
      <w:r>
        <w:rPr>
          <w:rFonts w:ascii="Arial" w:cs="Arial" w:eastAsia="Arial" w:hAnsi="Arial"/>
          <w:sz w:val="16"/>
          <w:szCs w:val="16"/>
          <w:color w:val="auto"/>
        </w:rPr>
        <w:t>The press release issued by GasLog Ltd. on November 2, 2017 relating to its results for the third quarter of 2017 and the related financial report are attached hereto as Exhibits 99.1 and 99.2, respectively.</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4"/>
          <w:szCs w:val="24"/>
          <w:color w:val="auto"/>
        </w:rPr>
      </w:pPr>
    </w:p>
    <w:p>
      <w:pPr>
        <w:ind w:right="60" w:firstLine="376"/>
        <w:spacing w:after="0" w:line="271"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333-194894 and 333-210169), initially filed with the Securities and Exchange Commission (the “SEC”) on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6000" w:type="dxa"/>
            <w:vAlign w:val="bottom"/>
          </w:tcPr>
          <w:p>
            <w:pPr>
              <w:ind w:left="4480"/>
              <w:spacing w:after="0"/>
              <w:rPr>
                <w:sz w:val="20"/>
                <w:szCs w:val="20"/>
                <w:color w:val="auto"/>
              </w:rPr>
            </w:pPr>
            <w:r>
              <w:rPr>
                <w:rFonts w:ascii="Arial" w:cs="Arial" w:eastAsia="Arial" w:hAnsi="Arial"/>
                <w:sz w:val="16"/>
                <w:szCs w:val="16"/>
                <w:color w:val="auto"/>
              </w:rPr>
              <w:t>EXHIBIT LIST</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Exhibit</w:t>
            </w:r>
          </w:p>
        </w:tc>
        <w:tc>
          <w:tcPr>
            <w:tcW w:w="6000" w:type="dxa"/>
            <w:vAlign w:val="bottom"/>
          </w:tcPr>
          <w:p>
            <w:pPr>
              <w:ind w:left="240"/>
              <w:spacing w:after="0"/>
              <w:rPr>
                <w:sz w:val="20"/>
                <w:szCs w:val="20"/>
                <w:color w:val="auto"/>
              </w:rPr>
            </w:pPr>
            <w:r>
              <w:rPr>
                <w:rFonts w:ascii="Arial" w:cs="Arial" w:eastAsia="Arial" w:hAnsi="Arial"/>
                <w:sz w:val="16"/>
                <w:szCs w:val="16"/>
                <w:color w:val="auto"/>
              </w:rPr>
              <w:t>Description</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99.1</w:t>
            </w:r>
          </w:p>
        </w:tc>
        <w:tc>
          <w:tcPr>
            <w:tcW w:w="6000" w:type="dxa"/>
            <w:vAlign w:val="bottom"/>
          </w:tcPr>
          <w:p>
            <w:pPr>
              <w:ind w:left="240"/>
              <w:spacing w:after="0"/>
              <w:rPr>
                <w:sz w:val="20"/>
                <w:szCs w:val="20"/>
                <w:color w:val="auto"/>
              </w:rPr>
            </w:pPr>
            <w:r>
              <w:rPr>
                <w:rFonts w:ascii="Arial" w:cs="Arial" w:eastAsia="Arial" w:hAnsi="Arial"/>
                <w:sz w:val="16"/>
                <w:szCs w:val="16"/>
                <w:color w:val="auto"/>
              </w:rPr>
              <w:t>Press Release dated November 2, 2017</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99.2</w:t>
            </w:r>
          </w:p>
        </w:tc>
        <w:tc>
          <w:tcPr>
            <w:tcW w:w="6000" w:type="dxa"/>
            <w:vAlign w:val="bottom"/>
          </w:tcPr>
          <w:p>
            <w:pPr>
              <w:ind w:left="240"/>
              <w:spacing w:after="0"/>
              <w:rPr>
                <w:sz w:val="20"/>
                <w:szCs w:val="20"/>
                <w:color w:val="auto"/>
              </w:rPr>
            </w:pPr>
            <w:r>
              <w:rPr>
                <w:rFonts w:ascii="Arial" w:cs="Arial" w:eastAsia="Arial" w:hAnsi="Arial"/>
                <w:sz w:val="16"/>
                <w:szCs w:val="16"/>
                <w:color w:val="auto"/>
              </w:rPr>
              <w:t>Financial Report for the Three and Nine Months Ended September 30, 2017</w:t>
            </w:r>
          </w:p>
        </w:tc>
      </w:tr>
      <w:tr>
        <w:trPr>
          <w:trHeight w:val="419"/>
        </w:trPr>
        <w:tc>
          <w:tcPr>
            <w:tcW w:w="7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12" w:lineRule="exact"/>
        <w:rPr>
          <w:sz w:val="24"/>
          <w:szCs w:val="24"/>
          <w:color w:val="auto"/>
        </w:rPr>
      </w:pPr>
    </w:p>
    <w:p>
      <w:pPr>
        <w:ind w:left="960"/>
        <w:spacing w:after="0"/>
        <w:rPr>
          <w:sz w:val="20"/>
          <w:szCs w:val="20"/>
          <w:color w:val="auto"/>
        </w:rPr>
      </w:pPr>
      <w:r>
        <w:rPr>
          <w:rFonts w:ascii="Arial" w:cs="Arial" w:eastAsia="Arial" w:hAnsi="Arial"/>
          <w:sz w:val="16"/>
          <w:szCs w:val="16"/>
          <w:color w:val="auto"/>
        </w:rPr>
        <w:t>Unaudited Condensed Consolidated Financial Statements</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SIGNATURES</w:t>
      </w:r>
    </w:p>
    <w:p>
      <w:pPr>
        <w:spacing w:after="0" w:line="235" w:lineRule="exact"/>
        <w:rPr>
          <w:sz w:val="24"/>
          <w:szCs w:val="24"/>
          <w:color w:val="auto"/>
        </w:rPr>
      </w:pPr>
    </w:p>
    <w:p>
      <w:pPr>
        <w:ind w:right="32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6"/>
          <w:szCs w:val="16"/>
          <w:color w:val="auto"/>
        </w:rPr>
        <w:t>GASLOG LTD.,</w:t>
      </w:r>
    </w:p>
    <w:p>
      <w:pPr>
        <w:spacing w:after="0" w:line="221" w:lineRule="exact"/>
        <w:rPr>
          <w:sz w:val="24"/>
          <w:szCs w:val="24"/>
          <w:color w:val="auto"/>
        </w:rPr>
      </w:pPr>
    </w:p>
    <w:p>
      <w:pPr>
        <w:ind w:left="6080"/>
        <w:spacing w:after="0"/>
        <w:tabs>
          <w:tab w:leader="none" w:pos="6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4121785</wp:posOffset>
            </wp:positionH>
            <wp:positionV relativeFrom="paragraph">
              <wp:posOffset>17780</wp:posOffset>
            </wp:positionV>
            <wp:extent cx="3129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2" w:lineRule="exact"/>
        <w:rPr>
          <w:sz w:val="24"/>
          <w:szCs w:val="24"/>
          <w:color w:val="auto"/>
        </w:rPr>
      </w:pPr>
    </w:p>
    <w:p>
      <w:pPr>
        <w:ind w:left="6500"/>
        <w:spacing w:after="0"/>
        <w:tabs>
          <w:tab w:leader="none" w:pos="7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Paul Wogan</w:t>
      </w:r>
    </w:p>
    <w:p>
      <w:pPr>
        <w:spacing w:after="0" w:line="22" w:lineRule="exact"/>
        <w:rPr>
          <w:sz w:val="24"/>
          <w:szCs w:val="24"/>
          <w:color w:val="auto"/>
        </w:rPr>
      </w:pPr>
    </w:p>
    <w:p>
      <w:pPr>
        <w:ind w:left="6500"/>
        <w:spacing w:after="0"/>
        <w:tabs>
          <w:tab w:leader="none" w:pos="7040" w:val="left"/>
        </w:tabs>
        <w:rPr>
          <w:sz w:val="20"/>
          <w:szCs w:val="20"/>
          <w:color w:val="auto"/>
        </w:rPr>
      </w:pPr>
      <w:r>
        <w:rPr>
          <w:rFonts w:ascii="Arial" w:cs="Arial" w:eastAsia="Arial" w:hAnsi="Arial"/>
          <w:sz w:val="16"/>
          <w:szCs w:val="16"/>
          <w:color w:val="auto"/>
        </w:rPr>
        <w:t>Title:</w:t>
        <w:tab/>
        <w:t>Chief Executive Officer</w:t>
      </w: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445" w:right="199" w:bottom="150" w:gutter="0" w:footer="0" w:header="0"/>
        </w:sectPr>
      </w:pPr>
    </w:p>
    <w:bookmarkStart w:id="1" w:name="page2"/>
    <w:bookmarkEnd w:id="1"/>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Quarter Ended September 30, 2017</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Monaco, November 2, 2017, GasLog Ltd. and its subsidiaries (“GasLog” or “Group” or “Company”) (NYSE: GLOG)</w:t>
      </w:r>
      <w:r>
        <w:rPr>
          <w:rFonts w:ascii="Arial" w:cs="Arial" w:eastAsia="Arial" w:hAnsi="Arial"/>
          <w:sz w:val="16"/>
          <w:szCs w:val="16"/>
          <w:color w:val="auto"/>
        </w:rPr>
        <w:t>, an international owner, operator and manager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quarter ended September 30, 2017.</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Completed the dropdown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to GasLog Partners LP (“GasLog Partners” or the “Partnership”) for $211.0 million on July 3, 2017.</w:t>
      </w:r>
    </w:p>
    <w:p>
      <w:pPr>
        <w:spacing w:after="0" w:line="234"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Announced and, post the quarter end, closed the dropdown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to GasLog Partners for $185.9 million.</w:t>
      </w:r>
    </w:p>
    <w:p>
      <w:pPr>
        <w:spacing w:after="0" w:line="234" w:lineRule="exact"/>
        <w:rPr>
          <w:rFonts w:ascii="Arial" w:cs="Arial" w:eastAsia="Arial" w:hAnsi="Arial"/>
          <w:sz w:val="16"/>
          <w:szCs w:val="16"/>
          <w:color w:val="auto"/>
        </w:rPr>
      </w:pPr>
    </w:p>
    <w:p>
      <w:pPr>
        <w:ind w:left="600" w:right="360" w:hanging="592"/>
        <w:spacing w:after="0" w:line="278" w:lineRule="auto"/>
        <w:tabs>
          <w:tab w:leader="none" w:pos="557"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Completion by Gastrade S.A. (“Gastrade”) of the Front-End Engineering and Design (“FEED”) study for the Alexandroupolis floating storage regasification unit (“FSRU”) project in Greece. DEPA, the government controlled natural gas company of Greece, has announced that it intends to acquire a shareholding interest in Gastrade.</w:t>
      </w:r>
    </w:p>
    <w:p>
      <w:pPr>
        <w:spacing w:after="0" w:line="184" w:lineRule="exact"/>
        <w:rPr>
          <w:rFonts w:ascii="Arial" w:cs="Arial" w:eastAsia="Arial" w:hAnsi="Arial"/>
          <w:sz w:val="16"/>
          <w:szCs w:val="16"/>
          <w:color w:val="auto"/>
        </w:rPr>
      </w:pPr>
    </w:p>
    <w:p>
      <w:pPr>
        <w:ind w:left="600" w:right="400" w:hanging="592"/>
        <w:spacing w:after="0" w:line="293" w:lineRule="auto"/>
        <w:tabs>
          <w:tab w:leader="none" w:pos="557"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Continued success of the GasLog Partners’ At-The-Market Common Equity Offering Programme (“ATM Programme”) with net proceeds of $43.9 million raised during the quarter and total net proceeds of $55.7 million raised since inception of the programme.</w:t>
      </w:r>
    </w:p>
    <w:p>
      <w:pPr>
        <w:spacing w:after="0" w:line="172"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Appointment of Richard Sadler in the position of Chief Operating Officer (“COO”) with effect from September 20, 2017.</w:t>
      </w:r>
    </w:p>
    <w:p>
      <w:pPr>
        <w:spacing w:after="0" w:line="234" w:lineRule="exact"/>
        <w:rPr>
          <w:rFonts w:ascii="Arial" w:cs="Arial" w:eastAsia="Arial" w:hAnsi="Arial"/>
          <w:sz w:val="16"/>
          <w:szCs w:val="16"/>
          <w:color w:val="auto"/>
        </w:rPr>
      </w:pPr>
    </w:p>
    <w:p>
      <w:pPr>
        <w:ind w:left="600" w:right="340" w:hanging="592"/>
        <w:spacing w:after="0" w:line="230" w:lineRule="auto"/>
        <w:tabs>
          <w:tab w:leader="none" w:pos="557"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of $131.2 million (Q3 2016: $120.7 million), Profit of $24.2 million (Q3 2016: $16.4 million loss) and Earnings per share of $0.03</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(Q3 2016: loss per share of $0.39), for the quarter ended September 30, 2017.</w:t>
      </w:r>
    </w:p>
    <w:p>
      <w:pPr>
        <w:spacing w:after="0" w:line="213" w:lineRule="exact"/>
        <w:rPr>
          <w:rFonts w:ascii="Arial" w:cs="Arial" w:eastAsia="Arial" w:hAnsi="Arial"/>
          <w:sz w:val="16"/>
          <w:szCs w:val="16"/>
          <w:color w:val="auto"/>
        </w:rPr>
      </w:pPr>
    </w:p>
    <w:p>
      <w:pPr>
        <w:ind w:left="600" w:right="220" w:hanging="592"/>
        <w:spacing w:after="0" w:line="264" w:lineRule="auto"/>
        <w:tabs>
          <w:tab w:leader="none" w:pos="557" w:val="left"/>
        </w:tabs>
        <w:numPr>
          <w:ilvl w:val="0"/>
          <w:numId w:val="1"/>
        </w:numPr>
        <w:rPr>
          <w:rFonts w:ascii="Arial" w:cs="Arial" w:eastAsia="Arial" w:hAnsi="Arial"/>
          <w:sz w:val="15"/>
          <w:szCs w:val="15"/>
          <w:color w:val="auto"/>
        </w:rPr>
      </w:pPr>
      <w:r>
        <w:rPr>
          <w:rFonts w:ascii="Arial" w:cs="Arial" w:eastAsia="Arial" w:hAnsi="Arial"/>
          <w:sz w:val="15"/>
          <w:szCs w:val="15"/>
          <w:color w:val="auto"/>
        </w:rPr>
        <w:t>EBITDA</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$89.6 million (Q3 2016: $80.8 million), Adjusted EBITDA</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$89.7 million (Q3 2016: $81.1 million), Adjusted Profit</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$21.1 million (Q3 2016: $19.5 million) and Adjusted Loss per share</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$0.00</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(Q3 2016: Adjusted Earnings per share of $0.05) for the quarter ended September 30, 2017.</w:t>
      </w:r>
    </w:p>
    <w:p>
      <w:pPr>
        <w:spacing w:after="0" w:line="115" w:lineRule="exact"/>
        <w:rPr>
          <w:rFonts w:ascii="Arial" w:cs="Arial" w:eastAsia="Arial" w:hAnsi="Arial"/>
          <w:sz w:val="15"/>
          <w:szCs w:val="15"/>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dividend of $0.14 per common share payable on November 22, 2017.</w:t>
      </w:r>
    </w:p>
    <w:p>
      <w:pPr>
        <w:spacing w:after="0" w:line="226" w:lineRule="exact"/>
        <w:rPr>
          <w:sz w:val="20"/>
          <w:szCs w:val="20"/>
          <w:color w:val="auto"/>
        </w:rPr>
      </w:pPr>
    </w:p>
    <w:p>
      <w:pPr>
        <w:ind w:left="140" w:right="36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are net of the profit attributable to the non-controlling interest of $18.9 million and the dividend on preferred stock of $2.5 million for the quarter ended September 30, 2017 ($12.6 million and $2.5 million, respectively, for the quarter ended September 30, 2016).</w:t>
      </w:r>
    </w:p>
    <w:p>
      <w:pPr>
        <w:spacing w:after="0" w:line="183" w:lineRule="exact"/>
        <w:rPr>
          <w:rFonts w:ascii="Arial" w:cs="Arial" w:eastAsia="Arial" w:hAnsi="Arial"/>
          <w:sz w:val="17"/>
          <w:szCs w:val="17"/>
          <w:color w:val="auto"/>
          <w:vertAlign w:val="superscript"/>
        </w:rPr>
      </w:pPr>
    </w:p>
    <w:p>
      <w:pPr>
        <w:jc w:val="both"/>
        <w:ind w:left="140" w:right="20" w:hanging="132"/>
        <w:spacing w:after="0" w:line="222"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definitions and reconciliations of these measures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Paul Wogan, Chief Executive Officer, stated: “GasLog achieved record revenues and EBITDA in the quarter as a result of high uptime across our chartered fleet and a gradual improvement in the earnings on our spot vessels.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During the quarter, we completed the sale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to GasLog Partners and we announced the dropdown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third dropdown this year. Post the quarter end, we closed the dropdown of the </w:t>
      </w:r>
      <w:r>
        <w:rPr>
          <w:rFonts w:ascii="Arial" w:cs="Arial" w:eastAsia="Arial" w:hAnsi="Arial"/>
          <w:sz w:val="16"/>
          <w:szCs w:val="16"/>
          <w:i w:val="1"/>
          <w:iCs w:val="1"/>
          <w:color w:val="auto"/>
        </w:rPr>
        <w:t>Solaris</w:t>
      </w:r>
      <w:r>
        <w:rPr>
          <w:rFonts w:ascii="Arial" w:cs="Arial" w:eastAsia="Arial" w:hAnsi="Arial"/>
          <w:sz w:val="16"/>
          <w:szCs w:val="16"/>
          <w:color w:val="auto"/>
        </w:rPr>
        <w:t>. These transactions demonstrate our continued ability to recycle liquidity from the Partnership to GasLog, which we can then use to grow our LNG carrier and FSRU businesses.</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continue to make good progress on the Alexandroupolis LNG Terminal in Greece, where DEPA has signed a Cooperation Agreement for its participation in the project, which is being developed by Gastrade. The Agreement also includes next steps for DEPA to participate in the share capital of Gastrade.</w:t>
      </w:r>
    </w:p>
    <w:p>
      <w:pPr>
        <w:spacing w:after="0" w:line="17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In recent weeks, a number of positive data points suggest that LNG shipping market fundamentals are improving. The increase in LNG supply from both the United States (“U.S.”) and Australia is creating greater shipping activity, as the additional supply is being matched by rising demand, particularly in Asia and Europe. In contrast to recent years, the “shoulder months” of September and October have seen strong LNG demand and increasing prices in Japan, South Korea and China. We expect that the re-emergence of significant gas price differentials between the U.S., Europe and Asia will stimulate more inter-basin trade and will result in longer average voyage distances, which is positive for LNG shipping.</w:t>
      </w:r>
    </w:p>
    <w:p>
      <w:pPr>
        <w:spacing w:after="0" w:line="19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the short-term LNG shipping market, spot rates have been consistently higher in 2017 than in 2016 as an increasing number of fixtures have led to higher utilisation, a return of round trip economics and an increase in customers looking for multi-month charters. We expect this trend to continue and strengthen as we enter the Northern Hemisphere winter.</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With five vessels currently trading in the spot market through The Cool Pool Limited (the” Cool Pool”) and with five newbuild vessels scheduled to be delivered in 2018 and 2019, GasLog has the potential to achieve growth in revenues and EBITDA as a result of organic growth and the improving market environment.”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Completion of Dropdown of the </w:t>
      </w:r>
      <w:r>
        <w:rPr>
          <w:rFonts w:ascii="Arial" w:cs="Arial" w:eastAsia="Arial" w:hAnsi="Arial"/>
          <w:sz w:val="16"/>
          <w:szCs w:val="16"/>
          <w:b w:val="1"/>
          <w:bCs w:val="1"/>
          <w:i w:val="1"/>
          <w:iCs w:val="1"/>
          <w:u w:val="single" w:color="auto"/>
          <w:color w:val="auto"/>
        </w:rPr>
        <w:t>GasLog Geneva</w:t>
      </w:r>
    </w:p>
    <w:p>
      <w:pPr>
        <w:spacing w:after="0" w:line="23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On July 3, 2017, GasLog closed the dropdown to GasLog Partners of 100% of the ownership interest in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for an aggregate purchase price of $211.0 million, which includes $1.0 million for positive net working capital balances transferred with the vessel.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Announcement and Post-Quarter-End Closing of Dropdown of the </w:t>
      </w:r>
      <w:r>
        <w:rPr>
          <w:rFonts w:ascii="Arial" w:cs="Arial" w:eastAsia="Arial" w:hAnsi="Arial"/>
          <w:sz w:val="16"/>
          <w:szCs w:val="16"/>
          <w:b w:val="1"/>
          <w:bCs w:val="1"/>
          <w:i w:val="1"/>
          <w:iCs w:val="1"/>
          <w:u w:val="single" w:color="auto"/>
          <w:color w:val="auto"/>
        </w:rPr>
        <w:t>Solaris</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On September 19, 2017, GasLog entered into a share purchase agreement for the dropdown to GasLog Partners of 100% of the ownership interest in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for an aggregate purchase price of $185.9 million, which includes $1.0 million for positive net working capital balances transferred with the entity. The acquisition closed on October 20, 2017.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ATM Programme</w:t>
      </w:r>
    </w:p>
    <w:p>
      <w:pPr>
        <w:sectPr>
          <w:pgSz w:w="11900" w:h="16838" w:orient="portrait"/>
          <w:cols w:equalWidth="0" w:num="1">
            <w:col w:w="11420"/>
          </w:cols>
          <w:pgMar w:left="240" w:top="126" w:right="239" w:bottom="0" w:gutter="0" w:footer="0" w:header="0"/>
        </w:sectPr>
      </w:pPr>
    </w:p>
    <w:bookmarkStart w:id="2" w:name="page3"/>
    <w:bookmarkEnd w:id="2"/>
    <w:p>
      <w:pPr>
        <w:spacing w:after="0" w:line="273"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w:t>
      </w:r>
    </w:p>
    <w:p>
      <w:pPr>
        <w:spacing w:after="0" w:line="189"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During the third quarter of 2017, GasLog Partners issued and received payment for 1,941,008 common units at a weighted average price of $22.96 per common unit for total gross proceeds of $44.6 million and net proceeds of $43.9 million, after broker commissions of $0.6 million and other expenses of $0.1 million.</w:t>
      </w:r>
    </w:p>
    <w:p>
      <w:pPr>
        <w:spacing w:after="0" w:line="148"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Since the commencement of the ATM Programme through September 30, 2017, GasLog Partners has issued and received payment for a total of 2,351,885 common units, with cumulative gross proceeds of $53.9 million at a weighted average price of $22.91 per unit, representing a discount of 0.6% to the volume weighted average trading price of GasLog Partners’ common units on the days on which new common units were issued. Net proceeds for the same period amounted to $52.7 million.</w:t>
      </w:r>
    </w:p>
    <w:p>
      <w:pPr>
        <w:spacing w:after="0" w:line="166"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 the period from October 1, 2017 through October 3, 2017, GasLog Partners issued and received payment for an additional 130,220 common units at a weighted average price of $23.26 per unit for gross proceeds of $3.03 million and net proceeds of $2.99 million, after broker commissions of $0.04 million. The issuance of these units fulfilled contractual commitments entered into on or before September 30, 2017.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Financing Transactions</w:t>
      </w:r>
    </w:p>
    <w:p>
      <w:pPr>
        <w:spacing w:after="0" w:line="23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July 3, 2017, GasLog repaid $41.6 million of the revolving credit facility of the credit agreement of up to $1.1 billion entered into on July 19, 2016 (the “Legacy Facility Refinancing”).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Chief Operating Officer Appointment</w:t>
      </w:r>
    </w:p>
    <w:p>
      <w:pPr>
        <w:spacing w:after="0" w:line="23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Following Graham Westgarth’s retirement from his position as Chief Operating Officer (“COO”), GasLog and GasLog Partners announced on August 21, 2017, that Richard Sadler was appointed as COO with effect from September 20,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640"/>
        <w:spacing w:after="0" w:line="329" w:lineRule="auto"/>
        <w:rPr>
          <w:sz w:val="20"/>
          <w:szCs w:val="20"/>
          <w:color w:val="auto"/>
        </w:rPr>
      </w:pPr>
      <w:r>
        <w:rPr>
          <w:rFonts w:ascii="Arial" w:cs="Arial" w:eastAsia="Arial" w:hAnsi="Arial"/>
          <w:sz w:val="15"/>
          <w:szCs w:val="15"/>
          <w:color w:val="auto"/>
        </w:rPr>
        <w:t>On September 14, 2017, the board of directors declared a dividend on the Series A Preference Shares of $0.546875 per share, or $2.5 million in aggregate, payable on October 2, 2017 to holders of record as of September 29, 2017. GasLog paid the declared dividend to the transfer agent on September 29, 2017.</w:t>
      </w:r>
    </w:p>
    <w:p>
      <w:pPr>
        <w:spacing w:after="0" w:line="14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November 1, 2017, the board of directors declared a quarterly cash dividend of $0.14 per common share, or $11.3 million in aggregate, payable on November 22, 2017 to shareholders of record as of November 13,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774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All amounts expressed in thousands of U.S. dollars except per share data)</w:t>
            </w:r>
          </w:p>
        </w:tc>
        <w:tc>
          <w:tcPr>
            <w:tcW w:w="540" w:type="dxa"/>
            <w:vAlign w:val="bottom"/>
          </w:tcPr>
          <w:p>
            <w:pPr>
              <w:spacing w:after="0"/>
              <w:rPr>
                <w:sz w:val="24"/>
                <w:szCs w:val="24"/>
                <w:color w:val="auto"/>
              </w:rPr>
            </w:pPr>
          </w:p>
        </w:tc>
        <w:tc>
          <w:tcPr>
            <w:tcW w:w="24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For the three months ended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1380" w:type="dxa"/>
            <w:vAlign w:val="bottom"/>
            <w:tcBorders>
              <w:bottom w:val="single" w:sz="8" w:color="E5FFFF"/>
            </w:tcBorders>
          </w:tcPr>
          <w:p>
            <w:pPr>
              <w:spacing w:after="0"/>
              <w:rPr>
                <w:sz w:val="18"/>
                <w:szCs w:val="18"/>
                <w:color w:val="auto"/>
              </w:rPr>
            </w:pPr>
          </w:p>
        </w:tc>
        <w:tc>
          <w:tcPr>
            <w:tcW w:w="636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E5FF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7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120,727</w:t>
            </w:r>
          </w:p>
        </w:tc>
        <w:tc>
          <w:tcPr>
            <w:tcW w:w="32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131,242</w:t>
            </w:r>
          </w:p>
        </w:tc>
        <w:tc>
          <w:tcPr>
            <w:tcW w:w="60" w:type="dxa"/>
            <w:vAlign w:val="bottom"/>
          </w:tcPr>
          <w:p>
            <w:pPr>
              <w:spacing w:after="0"/>
              <w:rPr>
                <w:sz w:val="17"/>
                <w:szCs w:val="17"/>
                <w:color w:val="auto"/>
              </w:rPr>
            </w:pPr>
          </w:p>
        </w:tc>
      </w:tr>
      <w:tr>
        <w:trPr>
          <w:trHeight w:val="216"/>
        </w:trPr>
        <w:tc>
          <w:tcPr>
            <w:tcW w:w="7740" w:type="dxa"/>
            <w:vAlign w:val="bottom"/>
            <w:gridSpan w:val="2"/>
          </w:tcPr>
          <w:p>
            <w:pPr>
              <w:spacing w:after="0" w:line="216"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80,782</w:t>
            </w:r>
          </w:p>
        </w:tc>
        <w:tc>
          <w:tcPr>
            <w:tcW w:w="320" w:type="dxa"/>
            <w:vAlign w:val="bottom"/>
          </w:tcPr>
          <w:p>
            <w:pPr>
              <w:spacing w:after="0"/>
              <w:rPr>
                <w:sz w:val="18"/>
                <w:szCs w:val="18"/>
                <w:color w:val="auto"/>
              </w:rPr>
            </w:pPr>
          </w:p>
        </w:tc>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89,603</w:t>
            </w:r>
          </w:p>
        </w:tc>
        <w:tc>
          <w:tcPr>
            <w:tcW w:w="60" w:type="dxa"/>
            <w:vAlign w:val="bottom"/>
          </w:tcPr>
          <w:p>
            <w:pPr>
              <w:spacing w:after="0"/>
              <w:rPr>
                <w:sz w:val="18"/>
                <w:szCs w:val="18"/>
                <w:color w:val="auto"/>
              </w:rPr>
            </w:pPr>
          </w:p>
        </w:tc>
      </w:tr>
      <w:tr>
        <w:trPr>
          <w:trHeight w:val="216"/>
        </w:trPr>
        <w:tc>
          <w:tcPr>
            <w:tcW w:w="7740" w:type="dxa"/>
            <w:vAlign w:val="bottom"/>
            <w:gridSpan w:val="2"/>
            <w:shd w:val="clear" w:color="auto" w:fill="E5FFFF"/>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5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81,097</w:t>
            </w:r>
          </w:p>
        </w:tc>
        <w:tc>
          <w:tcPr>
            <w:tcW w:w="320" w:type="dxa"/>
            <w:vAlign w:val="bottom"/>
            <w:shd w:val="clear" w:color="auto" w:fill="E5FFFF"/>
          </w:tcPr>
          <w:p>
            <w:pPr>
              <w:spacing w:after="0"/>
              <w:rPr>
                <w:sz w:val="18"/>
                <w:szCs w:val="18"/>
                <w:color w:val="auto"/>
              </w:rPr>
            </w:pPr>
          </w:p>
        </w:tc>
        <w:tc>
          <w:tcPr>
            <w:tcW w:w="980" w:type="dxa"/>
            <w:vAlign w:val="bottom"/>
            <w:shd w:val="clear" w:color="auto" w:fill="E5FF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89,692</w:t>
            </w:r>
          </w:p>
        </w:tc>
        <w:tc>
          <w:tcPr>
            <w:tcW w:w="60" w:type="dxa"/>
            <w:vAlign w:val="bottom"/>
          </w:tcPr>
          <w:p>
            <w:pPr>
              <w:spacing w:after="0"/>
              <w:rPr>
                <w:sz w:val="18"/>
                <w:szCs w:val="18"/>
                <w:color w:val="auto"/>
              </w:rPr>
            </w:pPr>
          </w:p>
        </w:tc>
      </w:tr>
      <w:tr>
        <w:trPr>
          <w:trHeight w:val="213"/>
        </w:trPr>
        <w:tc>
          <w:tcPr>
            <w:tcW w:w="7740" w:type="dxa"/>
            <w:vAlign w:val="bottom"/>
            <w:gridSpan w:val="2"/>
          </w:tcPr>
          <w:p>
            <w:pPr>
              <w:spacing w:after="0"/>
              <w:rPr>
                <w:sz w:val="20"/>
                <w:szCs w:val="20"/>
                <w:color w:val="auto"/>
              </w:rPr>
            </w:pPr>
            <w:r>
              <w:rPr>
                <w:rFonts w:ascii="Arial" w:cs="Arial" w:eastAsia="Arial" w:hAnsi="Arial"/>
                <w:sz w:val="16"/>
                <w:szCs w:val="16"/>
                <w:color w:val="auto"/>
              </w:rPr>
              <w:t>(Loss)/profit for the period</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(16,423)</w:t>
            </w:r>
          </w:p>
        </w:tc>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24,228</w:t>
            </w:r>
          </w:p>
        </w:tc>
        <w:tc>
          <w:tcPr>
            <w:tcW w:w="60" w:type="dxa"/>
            <w:vAlign w:val="bottom"/>
          </w:tcPr>
          <w:p>
            <w:pPr>
              <w:spacing w:after="0"/>
              <w:rPr>
                <w:sz w:val="18"/>
                <w:szCs w:val="18"/>
                <w:color w:val="auto"/>
              </w:rPr>
            </w:pPr>
          </w:p>
        </w:tc>
      </w:tr>
      <w:tr>
        <w:trPr>
          <w:trHeight w:val="219"/>
        </w:trPr>
        <w:tc>
          <w:tcPr>
            <w:tcW w:w="7740" w:type="dxa"/>
            <w:vAlign w:val="bottom"/>
            <w:gridSpan w:val="2"/>
            <w:shd w:val="clear" w:color="auto" w:fill="E5FFFF"/>
          </w:tcPr>
          <w:p>
            <w:pPr>
              <w:spacing w:after="0" w:line="219"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5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19,529</w:t>
            </w:r>
          </w:p>
        </w:tc>
        <w:tc>
          <w:tcPr>
            <w:tcW w:w="320" w:type="dxa"/>
            <w:vAlign w:val="bottom"/>
            <w:shd w:val="clear" w:color="auto" w:fill="E5FFFF"/>
          </w:tcPr>
          <w:p>
            <w:pPr>
              <w:spacing w:after="0"/>
              <w:rPr>
                <w:sz w:val="19"/>
                <w:szCs w:val="19"/>
                <w:color w:val="auto"/>
              </w:rPr>
            </w:pPr>
          </w:p>
        </w:tc>
        <w:tc>
          <w:tcPr>
            <w:tcW w:w="980" w:type="dxa"/>
            <w:vAlign w:val="bottom"/>
            <w:shd w:val="clear" w:color="auto" w:fill="E5FF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21,111</w:t>
            </w:r>
          </w:p>
        </w:tc>
        <w:tc>
          <w:tcPr>
            <w:tcW w:w="60" w:type="dxa"/>
            <w:vAlign w:val="bottom"/>
          </w:tcPr>
          <w:p>
            <w:pPr>
              <w:spacing w:after="0"/>
              <w:rPr>
                <w:sz w:val="19"/>
                <w:szCs w:val="19"/>
                <w:color w:val="auto"/>
              </w:rPr>
            </w:pPr>
          </w:p>
        </w:tc>
      </w:tr>
      <w:tr>
        <w:trPr>
          <w:trHeight w:val="213"/>
        </w:trPr>
        <w:tc>
          <w:tcPr>
            <w:tcW w:w="7740" w:type="dxa"/>
            <w:vAlign w:val="bottom"/>
            <w:gridSpan w:val="2"/>
          </w:tcPr>
          <w:p>
            <w:pPr>
              <w:spacing w:after="0"/>
              <w:rPr>
                <w:sz w:val="20"/>
                <w:szCs w:val="20"/>
                <w:color w:val="auto"/>
              </w:rPr>
            </w:pPr>
            <w:r>
              <w:rPr>
                <w:rFonts w:ascii="Arial" w:cs="Arial" w:eastAsia="Arial" w:hAnsi="Arial"/>
                <w:sz w:val="16"/>
                <w:szCs w:val="16"/>
                <w:color w:val="auto"/>
              </w:rPr>
              <w:t>(Loss)/profit attributable to the owners of GasLog</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(29,046)</w:t>
            </w:r>
          </w:p>
        </w:tc>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5,335</w:t>
            </w:r>
          </w:p>
        </w:tc>
        <w:tc>
          <w:tcPr>
            <w:tcW w:w="60" w:type="dxa"/>
            <w:vAlign w:val="bottom"/>
          </w:tcPr>
          <w:p>
            <w:pPr>
              <w:spacing w:after="0"/>
              <w:rPr>
                <w:sz w:val="18"/>
                <w:szCs w:val="18"/>
                <w:color w:val="auto"/>
              </w:rPr>
            </w:pPr>
          </w:p>
        </w:tc>
      </w:tr>
      <w:tr>
        <w:trPr>
          <w:trHeight w:val="219"/>
        </w:trPr>
        <w:tc>
          <w:tcPr>
            <w:tcW w:w="7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EPS, basic</w:t>
            </w:r>
          </w:p>
        </w:tc>
        <w:tc>
          <w:tcPr>
            <w:tcW w:w="54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(0.39)</w:t>
            </w:r>
          </w:p>
        </w:tc>
        <w:tc>
          <w:tcPr>
            <w:tcW w:w="980" w:type="dxa"/>
            <w:vAlign w:val="bottom"/>
            <w:shd w:val="clear" w:color="auto" w:fill="E5FF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0.03</w:t>
            </w:r>
          </w:p>
        </w:tc>
        <w:tc>
          <w:tcPr>
            <w:tcW w:w="60" w:type="dxa"/>
            <w:vAlign w:val="bottom"/>
          </w:tcPr>
          <w:p>
            <w:pPr>
              <w:spacing w:after="0"/>
              <w:rPr>
                <w:sz w:val="19"/>
                <w:szCs w:val="19"/>
                <w:color w:val="auto"/>
              </w:rPr>
            </w:pPr>
          </w:p>
        </w:tc>
      </w:tr>
      <w:tr>
        <w:trPr>
          <w:trHeight w:val="284"/>
        </w:trPr>
        <w:tc>
          <w:tcPr>
            <w:tcW w:w="7740" w:type="dxa"/>
            <w:vAlign w:val="bottom"/>
            <w:gridSpan w:val="2"/>
          </w:tcPr>
          <w:p>
            <w:pPr>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0.05</w:t>
            </w:r>
          </w:p>
        </w:tc>
        <w:tc>
          <w:tcPr>
            <w:tcW w:w="320" w:type="dxa"/>
            <w:vAlign w:val="bottom"/>
          </w:tcPr>
          <w:p>
            <w:pPr>
              <w:spacing w:after="0"/>
              <w:rPr>
                <w:sz w:val="24"/>
                <w:szCs w:val="24"/>
                <w:color w:val="auto"/>
              </w:rPr>
            </w:pPr>
          </w:p>
        </w:tc>
        <w:tc>
          <w:tcPr>
            <w:tcW w:w="9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(0.00)</w:t>
            </w:r>
          </w:p>
        </w:tc>
      </w:tr>
    </w:tbl>
    <w:p>
      <w:pPr>
        <w:spacing w:after="0" w:line="129" w:lineRule="exact"/>
        <w:rPr>
          <w:sz w:val="20"/>
          <w:szCs w:val="20"/>
          <w:color w:val="auto"/>
        </w:rPr>
      </w:pPr>
    </w:p>
    <w:p>
      <w:pPr>
        <w:ind w:left="140" w:hanging="132"/>
        <w:spacing w:after="0" w:line="222" w:lineRule="auto"/>
        <w:tabs>
          <w:tab w:leader="none" w:pos="166"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260"/>
        <w:spacing w:after="0" w:line="369" w:lineRule="auto"/>
        <w:rPr>
          <w:sz w:val="20"/>
          <w:szCs w:val="20"/>
          <w:color w:val="auto"/>
        </w:rPr>
      </w:pPr>
      <w:r>
        <w:rPr>
          <w:rFonts w:ascii="Arial" w:cs="Arial" w:eastAsia="Arial" w:hAnsi="Arial"/>
          <w:sz w:val="14"/>
          <w:szCs w:val="14"/>
          <w:color w:val="auto"/>
        </w:rPr>
        <w:t xml:space="preserve">There were 2,116 operating days for the quarter ended September 30, 2017, as compared to 1,925 operating days for the quarter ended September 30, 2016. The increase in operating days resulted mainly from the deliveries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September 30, 2016 and October 31, 2016, respectively.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spacing w:after="0" w:line="329" w:lineRule="auto"/>
        <w:rPr>
          <w:sz w:val="20"/>
          <w:szCs w:val="20"/>
          <w:color w:val="auto"/>
        </w:rPr>
      </w:pPr>
      <w:r>
        <w:rPr>
          <w:rFonts w:ascii="Arial" w:cs="Arial" w:eastAsia="Arial" w:hAnsi="Arial"/>
          <w:sz w:val="15"/>
          <w:szCs w:val="15"/>
          <w:color w:val="auto"/>
        </w:rPr>
        <w:t xml:space="preserve">Revenues were $131.2 million for the quarter ended September 30, 2017 ($120.7 million for the quarter ended September 30, 2016). The increase was mainly driven by the new deliveries in our fleet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and increased revenues from vessels operating in the spot market in both periods.</w:t>
      </w:r>
    </w:p>
    <w:p>
      <w:pPr>
        <w:spacing w:after="0" w:line="14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Vessel operating and supervision costs were $29.6 million for the quarter ended September 30, 2017 ($26.8 million for the quarter ended September 30, 2016). The increase was mainly driven by the new deliveries in our fleet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w:t>
      </w:r>
    </w:p>
    <w:p>
      <w:pPr>
        <w:spacing w:after="0" w:line="17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Voyage expenses and commissions were $1.9 million for the quarter ended September 30, 2017 ($4.2 million for the quarter ended September 30, 2016). The decrease resulted mainly from the movement in net allocation of the Cool Pool results.</w:t>
      </w:r>
    </w:p>
    <w:p>
      <w:pPr>
        <w:spacing w:after="0" w:line="17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Depreciation was $34.4 million for the quarter ended September 30, 2017 ($31.4 million for the quarter ended September 30, 2016). The increase resulted from the increase in the average number of vessels in our fleet.</w:t>
      </w:r>
    </w:p>
    <w:p>
      <w:pPr>
        <w:spacing w:after="0" w:line="17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General and administrative expenses were $10.0 million for the quarter ended September 30, 2017 ($9.3 million for the quarter ended September 30, 2016). The increase is mainly attributable to an increase in employee costs.</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Financial costs were $34.7 million for the quarter ended September 30, 2017 ($46.1 million for the quarter ended September 30, 2016). The decrease is mainly attributable to the write-off of $18.2 million of unamortized loan issuance costs associated with the six legacy facilities that were refinanced by the Legacy Facility Re-financing which occurred in the third quarter of 2016, partially offset by the increased average debt outstanding as a result of the debt drawdowns for the new vessels delivered in 2016 and the increased weighted average interest rate. An analysis of financial costs is set forth below.</w:t>
      </w:r>
    </w:p>
    <w:p>
      <w:pPr>
        <w:spacing w:after="0" w:line="185" w:lineRule="exact"/>
        <w:rPr>
          <w:sz w:val="20"/>
          <w:szCs w:val="20"/>
          <w:color w:val="auto"/>
        </w:rPr>
      </w:pPr>
    </w:p>
    <w:p>
      <w:pPr>
        <w:spacing w:after="0"/>
        <w:tabs>
          <w:tab w:leader="none" w:pos="78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For the three months ended</w:t>
      </w:r>
    </w:p>
    <w:p>
      <w:pPr>
        <w:sectPr>
          <w:pgSz w:w="11900" w:h="16838" w:orient="portrait"/>
          <w:cols w:equalWidth="0" w:num="1">
            <w:col w:w="11400"/>
          </w:cols>
          <w:pgMar w:left="240" w:top="130" w:right="259" w:bottom="0" w:gutter="0" w:footer="0" w:header="0"/>
        </w:sectPr>
      </w:pPr>
    </w:p>
    <w:bookmarkStart w:id="3" w:name="page4"/>
    <w:bookmarkEnd w:id="3"/>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2016</w:t>
            </w:r>
          </w:p>
        </w:tc>
        <w:tc>
          <w:tcPr>
            <w:tcW w:w="20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September 30, 2017</w:t>
            </w:r>
          </w:p>
        </w:tc>
      </w:tr>
      <w:tr>
        <w:trPr>
          <w:trHeight w:val="189"/>
        </w:trPr>
        <w:tc>
          <w:tcPr>
            <w:tcW w:w="6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200" w:type="dxa"/>
            <w:vAlign w:val="bottom"/>
            <w:tcBorders>
              <w:top w:val="single" w:sz="8" w:color="auto"/>
            </w:tcBorders>
            <w:shd w:val="clear" w:color="auto" w:fill="E5FFFF"/>
          </w:tcPr>
          <w:p>
            <w:pPr>
              <w:spacing w:after="0"/>
              <w:rPr>
                <w:sz w:val="16"/>
                <w:szCs w:val="16"/>
                <w:color w:val="auto"/>
              </w:rPr>
            </w:pPr>
          </w:p>
        </w:tc>
        <w:tc>
          <w:tcPr>
            <w:tcW w:w="1600" w:type="dxa"/>
            <w:vAlign w:val="bottom"/>
            <w:tcBorders>
              <w:top w:val="single" w:sz="8" w:color="auto"/>
            </w:tcBorders>
            <w:shd w:val="clear" w:color="auto" w:fill="E5FFFF"/>
          </w:tcPr>
          <w:p>
            <w:pPr>
              <w:spacing w:after="0"/>
              <w:rPr>
                <w:sz w:val="16"/>
                <w:szCs w:val="16"/>
                <w:color w:val="auto"/>
              </w:rPr>
            </w:pPr>
          </w:p>
        </w:tc>
        <w:tc>
          <w:tcPr>
            <w:tcW w:w="36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spacing w:after="0"/>
              <w:rPr>
                <w:sz w:val="16"/>
                <w:szCs w:val="16"/>
                <w:color w:val="auto"/>
              </w:rPr>
            </w:pPr>
          </w:p>
        </w:tc>
        <w:tc>
          <w:tcPr>
            <w:tcW w:w="1620" w:type="dxa"/>
            <w:vAlign w:val="bottom"/>
            <w:tcBorders>
              <w:top w:val="single" w:sz="8" w:color="auto"/>
            </w:tcBorders>
            <w:shd w:val="clear" w:color="auto" w:fill="E5FFFF"/>
          </w:tcPr>
          <w:p>
            <w:pPr>
              <w:spacing w:after="0"/>
              <w:rPr>
                <w:sz w:val="16"/>
                <w:szCs w:val="16"/>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20,889</w:t>
            </w:r>
          </w:p>
        </w:tc>
        <w:tc>
          <w:tcPr>
            <w:tcW w:w="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2,898</w:t>
            </w:r>
          </w:p>
        </w:tc>
      </w:tr>
      <w:tr>
        <w:trPr>
          <w:trHeight w:val="203"/>
        </w:trPr>
        <w:tc>
          <w:tcPr>
            <w:tcW w:w="682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 and realized loss on cash flow hedges</w:t>
            </w:r>
          </w:p>
        </w:tc>
        <w:tc>
          <w:tcPr>
            <w:tcW w:w="20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18,731</w:t>
            </w: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21,100</w:t>
            </w: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Interest expense on senior unsecured notes and realized loss on CCS</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3,034</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7,526</w:t>
            </w:r>
          </w:p>
        </w:tc>
      </w:tr>
      <w:tr>
        <w:trPr>
          <w:trHeight w:val="203"/>
        </w:trPr>
        <w:tc>
          <w:tcPr>
            <w:tcW w:w="6820" w:type="dxa"/>
            <w:vAlign w:val="bottom"/>
            <w:shd w:val="clear" w:color="auto" w:fill="E5FFFF"/>
          </w:tcPr>
          <w:p>
            <w:pPr>
              <w:spacing w:after="0"/>
              <w:rPr>
                <w:sz w:val="20"/>
                <w:szCs w:val="20"/>
                <w:color w:val="auto"/>
              </w:rPr>
            </w:pPr>
            <w:r>
              <w:rPr>
                <w:rFonts w:ascii="Arial" w:cs="Arial" w:eastAsia="Arial" w:hAnsi="Arial"/>
                <w:sz w:val="16"/>
                <w:szCs w:val="16"/>
                <w:color w:val="auto"/>
              </w:rPr>
              <w:t>Finance lease charge</w:t>
            </w:r>
          </w:p>
        </w:tc>
        <w:tc>
          <w:tcPr>
            <w:tcW w:w="20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2,785</w:t>
            </w: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2,731</w:t>
            </w:r>
          </w:p>
        </w:tc>
      </w:tr>
      <w:tr>
        <w:trPr>
          <w:trHeight w:val="203"/>
        </w:trPr>
        <w:tc>
          <w:tcPr>
            <w:tcW w:w="68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Other financial costs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3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r>
      <w:tr>
        <w:trPr>
          <w:trHeight w:val="196"/>
        </w:trPr>
        <w:tc>
          <w:tcPr>
            <w:tcW w:w="68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46,094</w:t>
            </w:r>
          </w:p>
        </w:tc>
        <w:tc>
          <w:tcPr>
            <w:tcW w:w="3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34,709</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Gain on swaps was $3.1 million for the quarter ended September 30, 2017 ($19.9 million loss for the quarter ended September 30, 2016). An analysis of loss/gain on swaps is set forth below. The increase in gain on swaps in the third quarter of 2017 as compared to the third quarter of 2016 is mainly attributable to the decrease of $17.2 million in recycled loss that was reclassified from equity to the statement of profit or loss relating to the cumulative loss from the period that the hedges of the interest rate swaps terminated in July 2016 were effective, an increase of $3.4 million in gain from mark-to-market valuation of our derivative financial instruments carried at fair value through profit or loss and a decrease of $2.4 million in realized loss on derivative financial instruments held for trading. The $3.2 million gain from mark-to-market valuation of our derivative financial instruments in the third quarter of 2017 derived from the fact that the London Interbank Offered Rate (“LIBOR”) yield curve, which was used to estimate the present value of the estimated future cash flows, was higher than the contracted fixed interest rates resulting in a decrease in derivative liabilities from derivative financial instruments held for trading as compared to June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820" w:type="dxa"/>
            <w:vAlign w:val="bottom"/>
            <w:gridSpan w:val="5"/>
          </w:tcPr>
          <w:p>
            <w:pPr>
              <w:jc w:val="right"/>
              <w:ind w:right="1075"/>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2016</w:t>
            </w:r>
          </w:p>
        </w:tc>
        <w:tc>
          <w:tcPr>
            <w:tcW w:w="180" w:type="dxa"/>
            <w:vAlign w:val="bottom"/>
          </w:tcPr>
          <w:p>
            <w:pPr>
              <w:spacing w:after="0"/>
              <w:rPr>
                <w:sz w:val="18"/>
                <w:szCs w:val="18"/>
                <w:color w:val="auto"/>
              </w:rPr>
            </w:pPr>
          </w:p>
        </w:tc>
        <w:tc>
          <w:tcPr>
            <w:tcW w:w="1660" w:type="dxa"/>
            <w:vAlign w:val="bottom"/>
            <w:gridSpan w:val="2"/>
          </w:tcPr>
          <w:p>
            <w:pPr>
              <w:jc w:val="right"/>
              <w:ind w:right="255"/>
              <w:spacing w:after="0"/>
              <w:rPr>
                <w:sz w:val="20"/>
                <w:szCs w:val="20"/>
                <w:color w:val="auto"/>
              </w:rPr>
            </w:pPr>
            <w:r>
              <w:rPr>
                <w:rFonts w:ascii="Arial" w:cs="Arial" w:eastAsia="Arial" w:hAnsi="Arial"/>
                <w:sz w:val="16"/>
                <w:szCs w:val="16"/>
                <w:b w:val="1"/>
                <w:bCs w:val="1"/>
                <w:color w:val="auto"/>
                <w:w w:val="92"/>
              </w:rPr>
              <w:t>September 30, 2017</w:t>
            </w:r>
          </w:p>
        </w:tc>
        <w:tc>
          <w:tcPr>
            <w:tcW w:w="0" w:type="dxa"/>
            <w:vAlign w:val="bottom"/>
          </w:tcPr>
          <w:p>
            <w:pPr>
              <w:spacing w:after="0"/>
              <w:rPr>
                <w:sz w:val="1"/>
                <w:szCs w:val="1"/>
                <w:color w:val="auto"/>
              </w:rPr>
            </w:pPr>
          </w:p>
        </w:tc>
      </w:tr>
      <w:tr>
        <w:trPr>
          <w:trHeight w:val="189"/>
        </w:trPr>
        <w:tc>
          <w:tcPr>
            <w:tcW w:w="6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Loss/(gain) on swaps</w:t>
            </w:r>
          </w:p>
        </w:tc>
        <w:tc>
          <w:tcPr>
            <w:tcW w:w="220" w:type="dxa"/>
            <w:vAlign w:val="bottom"/>
            <w:tcBorders>
              <w:top w:val="single" w:sz="8" w:color="auto"/>
            </w:tcBorders>
            <w:shd w:val="clear" w:color="auto" w:fill="E5FFFF"/>
          </w:tcPr>
          <w:p>
            <w:pPr>
              <w:spacing w:after="0"/>
              <w:rPr>
                <w:sz w:val="16"/>
                <w:szCs w:val="16"/>
                <w:color w:val="auto"/>
              </w:rPr>
            </w:pPr>
          </w:p>
        </w:tc>
        <w:tc>
          <w:tcPr>
            <w:tcW w:w="1620" w:type="dxa"/>
            <w:vAlign w:val="bottom"/>
            <w:tcBorders>
              <w:top w:val="single" w:sz="8" w:color="auto"/>
            </w:tcBorders>
            <w:shd w:val="clear" w:color="auto" w:fill="E5FFFF"/>
          </w:tcPr>
          <w:p>
            <w:pPr>
              <w:spacing w:after="0"/>
              <w:rPr>
                <w:sz w:val="16"/>
                <w:szCs w:val="16"/>
                <w:color w:val="auto"/>
              </w:rPr>
            </w:pPr>
          </w:p>
        </w:tc>
        <w:tc>
          <w:tcPr>
            <w:tcW w:w="36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640" w:type="dxa"/>
            <w:vAlign w:val="bottom"/>
            <w:tcBorders>
              <w:top w:val="single" w:sz="8" w:color="auto"/>
              <w:right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Realized loss on derivative financial instruments held for trading</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360"/>
              <w:spacing w:after="0"/>
              <w:rPr>
                <w:sz w:val="20"/>
                <w:szCs w:val="20"/>
                <w:color w:val="auto"/>
              </w:rPr>
            </w:pPr>
            <w:r>
              <w:rPr>
                <w:rFonts w:ascii="Arial" w:cs="Arial" w:eastAsia="Arial" w:hAnsi="Arial"/>
                <w:sz w:val="16"/>
                <w:szCs w:val="16"/>
                <w:color w:val="auto"/>
              </w:rPr>
              <w:t>2,509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loss/(gain) on derivative financial instruments held for trading</w:t>
            </w:r>
          </w:p>
        </w:tc>
        <w:tc>
          <w:tcPr>
            <w:tcW w:w="22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184</w:t>
            </w:r>
          </w:p>
        </w:tc>
        <w:tc>
          <w:tcPr>
            <w:tcW w:w="180" w:type="dxa"/>
            <w:vAlign w:val="bottom"/>
            <w:shd w:val="clear" w:color="auto" w:fill="E5FFFF"/>
          </w:tcPr>
          <w:p>
            <w:pPr>
              <w:spacing w:after="0"/>
              <w:rPr>
                <w:sz w:val="17"/>
                <w:szCs w:val="17"/>
                <w:color w:val="auto"/>
              </w:rPr>
            </w:pPr>
          </w:p>
        </w:tc>
        <w:tc>
          <w:tcPr>
            <w:tcW w:w="164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220" w:type="dxa"/>
            <w:vAlign w:val="bottom"/>
          </w:tcPr>
          <w:p>
            <w:pPr>
              <w:spacing w:after="0"/>
              <w:rPr>
                <w:sz w:val="17"/>
                <w:szCs w:val="17"/>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6"/>
                <w:szCs w:val="16"/>
                <w:color w:val="auto"/>
              </w:rPr>
              <w:t>17,238</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207"/>
        </w:trPr>
        <w:tc>
          <w:tcPr>
            <w:tcW w:w="68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19,931</w:t>
            </w:r>
          </w:p>
        </w:tc>
        <w:tc>
          <w:tcPr>
            <w:tcW w:w="36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There was a profit of $24.2 million for the quarter ended September 30, 2017 ($16.4 million loss for the quarter ended September 30, 2016). This increase in profit is mainly attributable to the increase in gain on swaps, the decrease in financial costs and the increase in profit from operations due to the factors mentioned above.</w:t>
      </w:r>
    </w:p>
    <w:p>
      <w:pPr>
        <w:spacing w:after="0" w:line="148"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$21.1 million for the quarter ended September 30, 2017 ($19.5 million for the quarter ended September 30, 2016) adjusted for the effects of the non-cash gain on swaps, the write-off of unamortized loan fees as well as the net foreign exchange losses.</w:t>
      </w:r>
    </w:p>
    <w:p>
      <w:pPr>
        <w:spacing w:after="0" w:line="21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Profit attributable to the owners of GasLog was $5.3 million ($29.0 million loss for the quarter ended September 30, 2016). The increase in profit attributable to the owners of GasLog resulted mainly from the respective movements in profit mentioned above, partially offset by the increased amount allocated to third parties as a result of GasLog Partners’ equity offerings in August 2016 and January 2017, its ATM Programme initiated in May 2017, and the associated dropdown of three vessels.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$89.6 million for the quarter ended September 30, 2017 ($80.8 million for the quarter ended September 30, 2016).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$89.7 million for the quarter ended September 30, 2017 ($81.1 million for the quarter ended September 30, 2016).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was $0.03 for the quarter ended September 30, 2017 (a loss of $0.39 for the quarter ended September 30, 2016).</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Adjusted Loss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$0.00 for the quarter ended September 30, 2017 (earnings of $0.05 for the quarter ended September 30, 2016).</w:t>
      </w:r>
    </w:p>
    <w:p>
      <w:pPr>
        <w:spacing w:after="0" w:line="168" w:lineRule="exact"/>
        <w:rPr>
          <w:sz w:val="20"/>
          <w:szCs w:val="20"/>
          <w:color w:val="auto"/>
        </w:rPr>
      </w:pPr>
    </w:p>
    <w:p>
      <w:pPr>
        <w:ind w:left="140" w:hanging="132"/>
        <w:spacing w:after="0" w:line="222" w:lineRule="auto"/>
        <w:tabs>
          <w:tab w:leader="none" w:pos="166"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 xml:space="preserve">GasLog’s contracted charter revenues are estimated to increase from $444.5 million for the fiscal year 2016 to $486.8 million for the fiscal year 2019, based on contracts in effect as of September 30, 2017, without including any extension options. As of September 30, 2017, the total future firm contracted revenue stood at $3.2 billion </w:t>
      </w:r>
      <w:r>
        <w:rPr>
          <w:rFonts w:ascii="Arial" w:cs="Arial" w:eastAsia="Arial" w:hAnsi="Arial"/>
          <w:sz w:val="21"/>
          <w:szCs w:val="21"/>
          <w:color w:val="auto"/>
          <w:vertAlign w:val="superscript"/>
        </w:rPr>
        <w:t>(1)</w:t>
      </w:r>
      <w:r>
        <w:rPr>
          <w:rFonts w:ascii="Arial" w:cs="Arial" w:eastAsia="Arial" w:hAnsi="Arial"/>
          <w:sz w:val="16"/>
          <w:szCs w:val="16"/>
          <w:color w:val="auto"/>
        </w:rPr>
        <w:t>, including the twelve vessels currently owned by GasLog Partners but excluding the vessels operating in the spot market.</w:t>
      </w:r>
    </w:p>
    <w:p>
      <w:pPr>
        <w:spacing w:after="0" w:line="203" w:lineRule="exact"/>
        <w:rPr>
          <w:sz w:val="20"/>
          <w:szCs w:val="20"/>
          <w:color w:val="auto"/>
        </w:rPr>
      </w:pPr>
    </w:p>
    <w:p>
      <w:pPr>
        <w:ind w:right="240" w:firstLine="8"/>
        <w:spacing w:after="0" w:line="344" w:lineRule="auto"/>
        <w:tabs>
          <w:tab w:leader="none" w:pos="127" w:val="left"/>
        </w:tabs>
        <w:numPr>
          <w:ilvl w:val="0"/>
          <w:numId w:val="5"/>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As of September 30, 2017, GasLog had $358.0 million of cash and cash equivalents, of which $223.3 million was held in time deposits and the remaining balance in current accounts. In addition, as of September 30, 2017, GasLog had $22.2 million held in time deposits with an initial duration of more than three months but less than a year that have been classified as short-term investments.</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 xml:space="preserve">As of September 30, 2017, GasLog had an aggregate of $2.6 billion of indebtedness outstanding under its credit facilities and bond agreements (net of unamortized deferred loan fees), of which $178.8 million was repayable within one year, and a $215.2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$6.2 million was repayable within one year.</w:t>
      </w:r>
    </w:p>
    <w:p>
      <w:pPr>
        <w:spacing w:after="0" w:line="184"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On July 3, 2017, GasLog repaid $41.6 million of the revolving credit facility of the Legacy Facility Refinancing. As of September 30, 2017, there was undrawn available capacity of $100.0 million under the revolving credit facility of the Legacy Facility Refinancing.</w:t>
      </w:r>
    </w:p>
    <w:p>
      <w:pPr>
        <w:spacing w:after="0" w:line="172"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As of September 30, 2017, GasLog’s principal commitments for capital expenditures are related to the five LNG carriers on order, which have a gross aggregate contract price of approximately $1.0 billion. As of September 30, 2017, the total remaining balance of the contract prices of the aforementioned newbuildings was $901.1 million which GasLog expects to be funded with the $664.0 million undrawn capacity under the financing agreement entered into on October 16, 2015, as well as cash balances, cash from operations, cash from future dropdowns, if any, and borrowings under new and existing debt agreements.</w:t>
      </w:r>
    </w:p>
    <w:p>
      <w:pPr>
        <w:spacing w:after="0" w:line="17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As of September 30, 2017, GasLog’s current assets totaled $407.8 million while current liabilities totaled $281.8 million, resulting in a positive working capital position of $126.0 million.</w:t>
      </w:r>
    </w:p>
    <w:p>
      <w:pPr>
        <w:sectPr>
          <w:pgSz w:w="11900" w:h="16945" w:orient="portrait"/>
          <w:cols w:equalWidth="0" w:num="1">
            <w:col w:w="11400"/>
          </w:cols>
          <w:pgMar w:left="240" w:top="126" w:right="259" w:bottom="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GasLog has hedged 53.4% of its expected floating interest rate exposure on its outstanding debt (excluding the finance lease liability) as of September 30, 2017.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GasLog has three newbuildings on order at Samsung Heavy Industries Co. Ltd. (“Samsung”) and two newbuildings on order at Hyundai Heavy Industries Co. Ltd.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(“Hyundai”). Our vessels presently under construction are on schedule and within budget. The expected delivery dates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Hulls</w:t>
            </w:r>
          </w:p>
        </w:tc>
        <w:tc>
          <w:tcPr>
            <w:tcW w:w="280" w:type="dxa"/>
            <w:vAlign w:val="bottom"/>
            <w:tcBorders>
              <w:bottom w:val="single" w:sz="8" w:color="E5FF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Delivery date</w:t>
            </w:r>
          </w:p>
        </w:tc>
        <w:tc>
          <w:tcPr>
            <w:tcW w:w="30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Shipyard</w:t>
            </w:r>
          </w:p>
        </w:tc>
      </w:tr>
      <w:tr>
        <w:trPr>
          <w:trHeight w:val="253"/>
        </w:trPr>
        <w:tc>
          <w:tcPr>
            <w:tcW w:w="21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Hull No. 2130</w:t>
            </w:r>
          </w:p>
        </w:tc>
        <w:tc>
          <w:tcPr>
            <w:tcW w:w="20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Q1 2018</w:t>
            </w:r>
          </w:p>
        </w:tc>
        <w:tc>
          <w:tcPr>
            <w:tcW w:w="1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Samsung</w:t>
            </w:r>
          </w:p>
        </w:tc>
      </w:tr>
      <w:tr>
        <w:trPr>
          <w:trHeight w:val="254"/>
        </w:trPr>
        <w:tc>
          <w:tcPr>
            <w:tcW w:w="21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Hull No. 2800</w:t>
            </w: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Q1 2018</w:t>
            </w:r>
          </w:p>
        </w:tc>
        <w:tc>
          <w:tcPr>
            <w:tcW w:w="1500" w:type="dxa"/>
            <w:vAlign w:val="bottom"/>
          </w:tcPr>
          <w:p>
            <w:pPr>
              <w:jc w:val="center"/>
              <w:spacing w:after="0"/>
              <w:rPr>
                <w:sz w:val="20"/>
                <w:szCs w:val="20"/>
                <w:color w:val="auto"/>
              </w:rPr>
            </w:pPr>
            <w:r>
              <w:rPr>
                <w:rFonts w:ascii="Arial" w:cs="Arial" w:eastAsia="Arial" w:hAnsi="Arial"/>
                <w:sz w:val="16"/>
                <w:szCs w:val="16"/>
                <w:color w:val="auto"/>
                <w:w w:val="95"/>
              </w:rPr>
              <w:t>Hyundai</w:t>
            </w:r>
          </w:p>
        </w:tc>
      </w:tr>
      <w:tr>
        <w:trPr>
          <w:trHeight w:val="260"/>
        </w:trPr>
        <w:tc>
          <w:tcPr>
            <w:tcW w:w="21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Hull No. 2801</w:t>
            </w:r>
          </w:p>
        </w:tc>
        <w:tc>
          <w:tcPr>
            <w:tcW w:w="20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Q1 2018</w:t>
            </w:r>
          </w:p>
        </w:tc>
        <w:tc>
          <w:tcPr>
            <w:tcW w:w="1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Hyundai</w:t>
            </w:r>
          </w:p>
        </w:tc>
      </w:tr>
      <w:tr>
        <w:trPr>
          <w:trHeight w:val="254"/>
        </w:trPr>
        <w:tc>
          <w:tcPr>
            <w:tcW w:w="21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Hull No. 2131</w:t>
            </w: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Q1 2019</w:t>
            </w:r>
          </w:p>
        </w:tc>
        <w:tc>
          <w:tcPr>
            <w:tcW w:w="1500" w:type="dxa"/>
            <w:vAlign w:val="bottom"/>
          </w:tcPr>
          <w:p>
            <w:pPr>
              <w:jc w:val="center"/>
              <w:spacing w:after="0"/>
              <w:rPr>
                <w:sz w:val="20"/>
                <w:szCs w:val="20"/>
                <w:color w:val="auto"/>
              </w:rPr>
            </w:pPr>
            <w:r>
              <w:rPr>
                <w:rFonts w:ascii="Arial" w:cs="Arial" w:eastAsia="Arial" w:hAnsi="Arial"/>
                <w:sz w:val="16"/>
                <w:szCs w:val="16"/>
                <w:color w:val="auto"/>
                <w:w w:val="88"/>
              </w:rPr>
              <w:t>Samsung</w:t>
            </w:r>
          </w:p>
        </w:tc>
      </w:tr>
      <w:tr>
        <w:trPr>
          <w:trHeight w:val="260"/>
        </w:trPr>
        <w:tc>
          <w:tcPr>
            <w:tcW w:w="21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Hull No. 2212</w:t>
            </w:r>
          </w:p>
        </w:tc>
        <w:tc>
          <w:tcPr>
            <w:tcW w:w="20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Q2 2019</w:t>
            </w:r>
          </w:p>
        </w:tc>
        <w:tc>
          <w:tcPr>
            <w:tcW w:w="1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Samsung</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GasLog wholly owned subsidiaries that will own the vessels upon delivery have contracted charters as set out below:</w:t>
      </w:r>
    </w:p>
    <w:p>
      <w:pPr>
        <w:spacing w:after="0" w:line="248" w:lineRule="exact"/>
        <w:rPr>
          <w:sz w:val="20"/>
          <w:szCs w:val="20"/>
          <w:color w:val="auto"/>
        </w:rPr>
      </w:pPr>
    </w:p>
    <w:p>
      <w:pPr>
        <w:ind w:left="660" w:hanging="328"/>
        <w:spacing w:after="0" w:line="25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9.5 year time charters for two vessels expected to be delivered in 2018 and one vessel expected to be delivered in 2019, each such time charter having been contracted by Methane Services Limited (“MSL”);</w:t>
      </w:r>
    </w:p>
    <w:p>
      <w:pPr>
        <w:spacing w:after="0" w:line="9" w:lineRule="exact"/>
        <w:rPr>
          <w:rFonts w:ascii="Arial" w:cs="Arial" w:eastAsia="Arial" w:hAnsi="Arial"/>
          <w:sz w:val="18"/>
          <w:szCs w:val="18"/>
          <w:color w:val="auto"/>
        </w:rPr>
      </w:pPr>
    </w:p>
    <w:p>
      <w:pPr>
        <w:ind w:left="660" w:right="200" w:hanging="328"/>
        <w:spacing w:after="0" w:line="25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a seven-year time charter for the remaining vessel expected to be delivered in 2018, having been contracted in July 2016 by Total Gas &amp; Power Chartering Limited (“Total”), a wholly owned subsidiary of Total plc; and</w:t>
      </w:r>
    </w:p>
    <w:p>
      <w:pPr>
        <w:spacing w:after="0" w:line="9" w:lineRule="exact"/>
        <w:rPr>
          <w:rFonts w:ascii="Arial" w:cs="Arial" w:eastAsia="Arial" w:hAnsi="Arial"/>
          <w:sz w:val="18"/>
          <w:szCs w:val="18"/>
          <w:color w:val="auto"/>
        </w:rPr>
      </w:pPr>
    </w:p>
    <w:p>
      <w:pPr>
        <w:ind w:left="660" w:right="120" w:hanging="328"/>
        <w:spacing w:after="0" w:line="263"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a seven-year time charter for the last vessel expected to be delivered in 2019, having been contracted in October 2016 by Pioneer Shipping Limited, a wholly owned subsidiary of Centrica plc. (“Centrica”).</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Such time charters to commence at or around delivery of the relevant hull, with the exception of Hull No. 2800, whose charter is expected to commence in Q1 2019.</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During the quarter and post quarter end, there has been continued momentum in the start-up of new LNG liquefaction capacity with the fourth train at Sabine Pass in the U.S. shipping its first commissioning cargoes in August 2017. Sabine Pass has now shipped approximately 200 cargoes since start up in early 2016. Post quarter end, Chevron’s Wheatstone LNG project in Australia started production with the first LNG shipment expected in the coming weeks. Dominion’s Cove Point project in the U.S. and Novatek’s Yamal LNG project in Russia are both expected to start LNG production by the end of 2017 and ramp up exports into 2018. With the addition of these two projects, over 30 million tonnes per annum (“mtpa”) of new nameplate capacity will have been added in 2017, an increase of 11% over 2016, with the majority coming online in the second half of the year.</w:t>
      </w:r>
    </w:p>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Looking longer term, final investment decisions (“FIDs”) for new liquefaction projects continue to be limited in the current environment, although a number of projects are making further progress towards FID in the U.S. and other regions. Tellurian has acquired natural gas reserves in northern Louisiana as future feedstock for their Driftwood LNG project and has also chartered an LNG vessel to trade short term LNG cargoes. In July 2017, Magnolia LNG secured $1.5 billion of conditional funding from Stonepeak, which is expected to fund a significant portion of the project’s future equity requirement. Also during the quarter, Next Decade merged with Harmony Merger Corp. to achieve a public listing on the Nasdaq and has a current market capitalisation of around $1 billion. In Mozambique, it has been reported that PTT of Thailand has committed to offtake from the Area 1 LNG project which is expected to take FID in 2018.</w:t>
      </w:r>
    </w:p>
    <w:p>
      <w:pPr>
        <w:spacing w:after="0" w:line="190" w:lineRule="exact"/>
        <w:rPr>
          <w:sz w:val="20"/>
          <w:szCs w:val="20"/>
          <w:color w:val="auto"/>
        </w:rPr>
      </w:pPr>
    </w:p>
    <w:p>
      <w:pPr>
        <w:ind w:right="80"/>
        <w:spacing w:after="0" w:line="324" w:lineRule="auto"/>
        <w:rPr>
          <w:sz w:val="20"/>
          <w:szCs w:val="20"/>
          <w:color w:val="auto"/>
        </w:rPr>
      </w:pPr>
      <w:r>
        <w:rPr>
          <w:rFonts w:ascii="Arial" w:cs="Arial" w:eastAsia="Arial" w:hAnsi="Arial"/>
          <w:sz w:val="14"/>
          <w:szCs w:val="14"/>
          <w:color w:val="auto"/>
        </w:rPr>
        <w:t>Demand for LNG in 2017 to date has continued to rise sharply, particularly in Asia and Europe, with material year-on-year increases in the world’s three largest import markets, Japan, South Korea and China, where imports have increased by 5%, 21% and 44% respectively. Rising Asian LNG demand into the Northern Hemisphere winter months has caused Asian LNG prices to rise, resulting in a reopening of both the U.S. - Asia and Europe - Asia gas price arbitrages. The same trend emerged during the 2016-2017 winter period, resulting in a greater number of U.S. cargoes travelling to Asia, which increased tonne mile demand and helped to drive LNG spot shipping rates higher.</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Longer term demand for LNG is also emerging. In August 2017, Petronet announced that it had renegotiated its LNG supply agreement with ExxonMobil with new terms including an increase of 1 mtpa to be supplied from ExxonMobil’s global portfolio. In September 2017, it was reported that PTT had entered into a contract to acquire 2.6 mtpa for 20 years from the Area 1 LNG project in Mozambique. Also in September 2017, Petrobangla, the state-owned oil company of Bangladesh, entered into a contract with Qatar to acquire 2.3 mtpa on average for a 15-year period. Finally, in August 2017, it was announced that Gunvor had committed to take up to 2.2 mtpa from the Fortuna project in Equatorial Guinea.</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 number of offtakers from LNG projects currently under development are yet to secure all of their shipping requirements and we are seeing an increased level of tender activity for both near-term and longer-term shipping requirements. These tenders for multi-month to multi-year periods are for both newbuild vessels and on-the-water vessels, with the latter being positive in terms of absorbing the recent oversupply in the spot market.</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the shorter term LNG shipping market, tri-fuel diesel electric (“TFDE”) headline rates have continued to rise as we enter the Northern Hemisphere winter, with Clarksons currently quoting headline rates of $58,000, an increase of 93% from the 2017 low and approximately 76% higher than this time last year. Whilst the recovery in spot rates to mid-cycle levels is taking longer than anticipated, we have seen significantly more fixtures in 2017 compared to the same period in 2016, greater seasonality and consistently higher rates in 2017 than in 2016. This improvement in rates, coupled with no new vessel orders in the quarter and only eight in 2017 to date, gives us confidence in a continuing market recovery.</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 number of markets that do not currently import gas are exploring LNG as an alternative to oil and coal or to replace declining domestic supply. Many countries with growing natural gas demand for power generation and other uses, such as Ivory Coast, Ghana, South Africa, Bangladesh and Myanmar, are looking at FSRUs as a quick-to-market, cost-effective solution to import LNG. Other countries with FSRUs already in place, such as Pakistan, are looking at expanding their use of FSRUs due to the successful commissioning and effective operations of the existing units. Many producers and marketers of LNG appear to be focusing their attention on FSRUs as a key enabler in creating new markets for their LNG.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GasLog will host a conference call to discuss its results for the third quarter of 2017 at 8:30 a.m. EDT (12:30 p.m. GMT) on Thursday, November 2, 2017. Paul Wogan, Chief Executive Officer, and Alastair Maxwell, Chief Financial Officer, will review the Company’s operational and financial performance for the period. Management’s presentation will be followed by a Q&amp;A session.</w:t>
      </w:r>
    </w:p>
    <w:p>
      <w:pPr>
        <w:sectPr>
          <w:pgSz w:w="11900" w:h="16838" w:orient="portrait"/>
          <w:cols w:equalWidth="0" w:num="1">
            <w:col w:w="11400"/>
          </w:cols>
          <w:pgMar w:left="240" w:top="346" w:right="259"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+1 855 282 5963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91744917</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live webcast of the conference call will also be available on the investor relations page of the Company’s website at </w:t>
      </w:r>
      <w:r>
        <w:rPr>
          <w:rFonts w:ascii="Arial" w:cs="Arial" w:eastAsia="Arial" w:hAnsi="Arial"/>
          <w:sz w:val="15"/>
          <w:szCs w:val="15"/>
          <w:u w:val="single" w:color="auto"/>
          <w:color w:val="0000FF"/>
        </w:rPr>
        <w:t>http://www.gaslogltd.com/investor-relations</w:t>
      </w:r>
      <w:r>
        <w:rPr>
          <w:rFonts w:ascii="Arial" w:cs="Arial" w:eastAsia="Arial" w:hAnsi="Arial"/>
          <w:sz w:val="15"/>
          <w:szCs w:val="15"/>
          <w:color w:val="auto"/>
        </w:rPr>
        <w:t>.</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For those unable to participate in the conference call, a replay will also be available from 2:00 p.m. EDT (6:00 p.m. GMT) on Thursday, November 2, 2017 until 11:59 p.m. EST (4:59 a.m. GMT) on Thursday, November 9, 2017.</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replay dial-in numbers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+1 855 859 2056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0235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79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4541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Replay passcode: 91744917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replay will also be available via a webcast in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color w:val="auto"/>
        </w:rPr>
        <w:t xml:space="preserve">GasLog is an international owner, operator and manager of LNG carriers providing support to international energy companies as part of their LNG logistics chain. GasLog’s consolidated owned fleet consists of 27 LNG carriers (22 ships on the water and five on order). GasLog also has an additional LNG carrier which was sold to a subsidiary of Mitsui &amp; Co. Ltd. and leased back under a long-term bareboat charter. GasLog’s consolidated fleet currently includes twelve LNG carriers in operation owned by GasLog Partners. GasLog’s principal executive offices are at Gildo Pastor Center, 7 Rue du Gabian, MC 98000, Monaco. Visit GasLog’s website at </w:t>
      </w:r>
      <w:r>
        <w:rPr>
          <w:rFonts w:ascii="Arial" w:cs="Arial" w:eastAsia="Arial" w:hAnsi="Arial"/>
          <w:sz w:val="14"/>
          <w:szCs w:val="14"/>
          <w:u w:val="single" w:color="auto"/>
          <w:color w:val="0000FF"/>
        </w:rPr>
        <w:t>http://www.gaslogltd.com</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120" w:hanging="328"/>
        <w:spacing w:after="0" w:line="266"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continued low prices for crude oil and petroleum products and volatility in gas prices;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enter into time charters with new and existing customers;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exposure to spot market and fluctuations in spot charter rates;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dividends and distributions;</w:t>
      </w:r>
    </w:p>
    <w:p>
      <w:pPr>
        <w:spacing w:after="0" w:line="18" w:lineRule="exact"/>
        <w:rPr>
          <w:rFonts w:ascii="Arial" w:cs="Arial" w:eastAsia="Arial" w:hAnsi="Arial"/>
          <w:sz w:val="16"/>
          <w:szCs w:val="16"/>
          <w:color w:val="auto"/>
        </w:rPr>
      </w:pPr>
    </w:p>
    <w:p>
      <w:pPr>
        <w:ind w:left="660" w:right="340" w:hanging="328"/>
        <w:spacing w:after="0" w:line="264"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100" w:hanging="328"/>
        <w:spacing w:after="0" w:line="264"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 or operating expenses;</w:t>
      </w: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dry-docking requirements and insurance costs;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maintain long-term relationships with major energy companies;</w:t>
      </w:r>
    </w:p>
    <w:p>
      <w:pPr>
        <w:spacing w:after="0" w:line="18" w:lineRule="exact"/>
        <w:rPr>
          <w:rFonts w:ascii="Arial" w:cs="Arial" w:eastAsia="Arial" w:hAnsi="Arial"/>
          <w:sz w:val="16"/>
          <w:szCs w:val="16"/>
          <w:color w:val="auto"/>
        </w:rPr>
      </w:pPr>
    </w:p>
    <w:p>
      <w:pPr>
        <w:ind w:left="660" w:right="80" w:hanging="328"/>
        <w:spacing w:after="0" w:line="264"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maximize the use of our ships, including the re-employment or disposal of ships no longer under time charter commitments, including the risk that our vessels may no longer have the latest technology at such time;</w:t>
      </w: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environmental and regulatory conditions, including changes in laws and regulations or actions taken by regulatory authorities;</w:t>
      </w:r>
    </w:p>
    <w:p>
      <w:pPr>
        <w:spacing w:after="0" w:line="18" w:lineRule="exact"/>
        <w:rPr>
          <w:rFonts w:ascii="Arial" w:cs="Arial" w:eastAsia="Arial" w:hAnsi="Arial"/>
          <w:sz w:val="16"/>
          <w:szCs w:val="16"/>
          <w:color w:val="auto"/>
        </w:rPr>
      </w:pPr>
    </w:p>
    <w:p>
      <w:pPr>
        <w:ind w:left="660" w:right="540" w:hanging="328"/>
        <w:spacing w:after="0" w:line="264"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labor, ship crews and management;</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620" w:hanging="291"/>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620" w:hanging="291"/>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30" w:lineRule="exact"/>
        <w:rPr>
          <w:rFonts w:ascii="Arial" w:cs="Arial" w:eastAsia="Arial" w:hAnsi="Arial"/>
          <w:sz w:val="15"/>
          <w:szCs w:val="15"/>
          <w:color w:val="auto"/>
        </w:rPr>
      </w:pPr>
    </w:p>
    <w:p>
      <w:pPr>
        <w:ind w:left="620" w:hanging="288"/>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1, 2017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ectPr>
          <w:pgSz w:w="11900" w:h="16838" w:orient="portrait"/>
          <w:cols w:equalWidth="0" w:num="1">
            <w:col w:w="11340"/>
          </w:cols>
          <w:pgMar w:left="240" w:top="346" w:right="319" w:bottom="0" w:gutter="0" w:footer="0" w:header="0"/>
        </w:sectPr>
      </w:pPr>
    </w:p>
    <w:bookmarkStart w:id="6" w:name="page7"/>
    <w:bookmarkEnd w:id="6"/>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0"/>
        <w:spacing w:after="0" w:line="329"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Jamie Buckland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27"/>
        </w:trPr>
        <w:tc>
          <w:tcPr>
            <w:tcW w:w="77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As of December 31, 2016 and September 30, 2017</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21"/>
        </w:trPr>
        <w:tc>
          <w:tcPr>
            <w:tcW w:w="7700" w:type="dxa"/>
            <w:vAlign w:val="bottom"/>
          </w:tcPr>
          <w:p>
            <w:pPr>
              <w:spacing w:after="0"/>
              <w:rPr>
                <w:sz w:val="24"/>
                <w:szCs w:val="24"/>
                <w:color w:val="auto"/>
              </w:rPr>
            </w:pPr>
          </w:p>
        </w:tc>
        <w:tc>
          <w:tcPr>
            <w:tcW w:w="19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December 31, 2016</w:t>
            </w:r>
          </w:p>
        </w:tc>
        <w:tc>
          <w:tcPr>
            <w:tcW w:w="172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 2017</w:t>
            </w:r>
          </w:p>
        </w:tc>
      </w:tr>
      <w:tr>
        <w:trPr>
          <w:trHeight w:val="189"/>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top w:val="single" w:sz="8" w:color="auto"/>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auto"/>
            </w:tcBorders>
            <w:shd w:val="clear" w:color="auto" w:fill="E5FFFF"/>
          </w:tcPr>
          <w:p>
            <w:pPr>
              <w:spacing w:after="0"/>
              <w:rPr>
                <w:sz w:val="16"/>
                <w:szCs w:val="16"/>
                <w:color w:val="auto"/>
              </w:rPr>
            </w:pPr>
          </w:p>
        </w:tc>
        <w:tc>
          <w:tcPr>
            <w:tcW w:w="142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9,511</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6,265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20,470</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12,045</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14,300</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1,824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425</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7,856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12,598</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Tangible fixed assets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3,889,047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3,799,258</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96,356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161,365</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Vessel held under finance lease</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222,004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216,264</w:t>
            </w:r>
          </w:p>
        </w:tc>
        <w:tc>
          <w:tcPr>
            <w:tcW w:w="60" w:type="dxa"/>
            <w:vAlign w:val="bottom"/>
          </w:tcPr>
          <w:p>
            <w:pPr>
              <w:spacing w:after="0"/>
              <w:rPr>
                <w:sz w:val="17"/>
                <w:szCs w:val="17"/>
                <w:color w:val="auto"/>
              </w:rPr>
            </w:pPr>
          </w:p>
        </w:tc>
      </w:tr>
      <w:tr>
        <w:trPr>
          <w:trHeight w:val="196"/>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3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4,244,908</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4,234,191</w:t>
            </w:r>
          </w:p>
        </w:tc>
        <w:tc>
          <w:tcPr>
            <w:tcW w:w="60" w:type="dxa"/>
            <w:vAlign w:val="bottom"/>
          </w:tcPr>
          <w:p>
            <w:pPr>
              <w:spacing w:after="0"/>
              <w:rPr>
                <w:sz w:val="17"/>
                <w:szCs w:val="17"/>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9,256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7,874</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3,065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3,843</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82</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2,709</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Inventories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8,461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9,142</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4,326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3,960</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Short-term investments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18,000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22,244</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Restricted cash</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227,024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358,025</w:t>
            </w:r>
          </w:p>
        </w:tc>
        <w:tc>
          <w:tcPr>
            <w:tcW w:w="60" w:type="dxa"/>
            <w:vAlign w:val="bottom"/>
          </w:tcPr>
          <w:p>
            <w:pPr>
              <w:spacing w:after="0"/>
              <w:rPr>
                <w:sz w:val="17"/>
                <w:szCs w:val="17"/>
                <w:color w:val="auto"/>
              </w:rPr>
            </w:pPr>
          </w:p>
        </w:tc>
      </w:tr>
      <w:tr>
        <w:trPr>
          <w:trHeight w:val="196"/>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3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270,256</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407,797</w:t>
            </w:r>
          </w:p>
        </w:tc>
        <w:tc>
          <w:tcPr>
            <w:tcW w:w="60" w:type="dxa"/>
            <w:vAlign w:val="bottom"/>
          </w:tcPr>
          <w:p>
            <w:pPr>
              <w:spacing w:after="0"/>
              <w:rPr>
                <w:sz w:val="17"/>
                <w:szCs w:val="17"/>
                <w:color w:val="auto"/>
              </w:rPr>
            </w:pPr>
          </w:p>
        </w:tc>
      </w:tr>
      <w:tr>
        <w:trPr>
          <w:trHeight w:val="23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4,515,164</w:t>
            </w:r>
          </w:p>
        </w:tc>
        <w:tc>
          <w:tcPr>
            <w:tcW w:w="24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4,641,988</w:t>
            </w:r>
          </w:p>
        </w:tc>
        <w:tc>
          <w:tcPr>
            <w:tcW w:w="60" w:type="dxa"/>
            <w:vAlign w:val="bottom"/>
          </w:tcPr>
          <w:p>
            <w:pPr>
              <w:spacing w:after="0"/>
              <w:rPr>
                <w:sz w:val="20"/>
                <w:szCs w:val="20"/>
                <w:color w:val="auto"/>
              </w:rPr>
            </w:pPr>
          </w:p>
        </w:tc>
      </w:tr>
      <w:tr>
        <w:trPr>
          <w:trHeight w:val="156"/>
        </w:trPr>
        <w:tc>
          <w:tcPr>
            <w:tcW w:w="770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Equity and liabilities</w:t>
            </w:r>
          </w:p>
        </w:tc>
        <w:tc>
          <w:tcPr>
            <w:tcW w:w="380" w:type="dxa"/>
            <w:vAlign w:val="bottom"/>
            <w:shd w:val="clear" w:color="auto" w:fill="E5FFFF"/>
          </w:tcPr>
          <w:p>
            <w:pPr>
              <w:spacing w:after="0"/>
              <w:rPr>
                <w:sz w:val="13"/>
                <w:szCs w:val="13"/>
                <w:color w:val="auto"/>
              </w:rPr>
            </w:pPr>
          </w:p>
        </w:tc>
        <w:tc>
          <w:tcPr>
            <w:tcW w:w="134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420" w:type="dxa"/>
            <w:vAlign w:val="bottom"/>
            <w:shd w:val="clear" w:color="auto" w:fill="E5FFFF"/>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46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Share capital</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810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810</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966,974</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925,573</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Reserves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10,160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17,776</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w:t>
            </w:r>
          </w:p>
        </w:tc>
        <w:tc>
          <w:tcPr>
            <w:tcW w:w="196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(10,861)</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(8,649)</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Accumulated deficit</w:t>
            </w:r>
          </w:p>
        </w:tc>
        <w:tc>
          <w:tcPr>
            <w:tcW w:w="1960" w:type="dxa"/>
            <w:vAlign w:val="bottom"/>
            <w:gridSpan w:val="3"/>
          </w:tcPr>
          <w:p>
            <w:pPr>
              <w:jc w:val="right"/>
              <w:ind w:right="180"/>
              <w:spacing w:after="0"/>
              <w:rPr>
                <w:sz w:val="20"/>
                <w:szCs w:val="20"/>
                <w:color w:val="auto"/>
              </w:rPr>
            </w:pPr>
            <w:r>
              <w:rPr>
                <w:rFonts w:ascii="Arial" w:cs="Arial" w:eastAsia="Arial" w:hAnsi="Arial"/>
                <w:sz w:val="16"/>
                <w:szCs w:val="16"/>
                <w:color w:val="auto"/>
              </w:rPr>
              <w:t>(21,486)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(14,914)</w:t>
            </w:r>
          </w:p>
        </w:tc>
        <w:tc>
          <w:tcPr>
            <w:tcW w:w="60" w:type="dxa"/>
            <w:vAlign w:val="bottom"/>
          </w:tcPr>
          <w:p>
            <w:pPr>
              <w:spacing w:after="0"/>
              <w:rPr>
                <w:sz w:val="17"/>
                <w:szCs w:val="17"/>
                <w:color w:val="auto"/>
              </w:rPr>
            </w:pPr>
          </w:p>
        </w:tc>
      </w:tr>
      <w:tr>
        <w:trPr>
          <w:trHeight w:val="196"/>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3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945,643</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920,642</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564,039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834,855</w:t>
            </w:r>
          </w:p>
        </w:tc>
        <w:tc>
          <w:tcPr>
            <w:tcW w:w="60" w:type="dxa"/>
            <w:vAlign w:val="bottom"/>
          </w:tcPr>
          <w:p>
            <w:pPr>
              <w:spacing w:after="0"/>
              <w:rPr>
                <w:sz w:val="17"/>
                <w:szCs w:val="17"/>
                <w:color w:val="auto"/>
              </w:rPr>
            </w:pPr>
          </w:p>
        </w:tc>
      </w:tr>
      <w:tr>
        <w:trPr>
          <w:trHeight w:val="196"/>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w:t>
            </w:r>
          </w:p>
        </w:tc>
        <w:tc>
          <w:tcPr>
            <w:tcW w:w="3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1,509,682</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1,755,497</w:t>
            </w:r>
          </w:p>
        </w:tc>
        <w:tc>
          <w:tcPr>
            <w:tcW w:w="60" w:type="dxa"/>
            <w:vAlign w:val="bottom"/>
          </w:tcPr>
          <w:p>
            <w:pPr>
              <w:spacing w:after="0"/>
              <w:rPr>
                <w:sz w:val="17"/>
                <w:szCs w:val="17"/>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7,255</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6,877</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Ship management creditors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841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1,751</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Amounts due to related parties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105</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7,854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4,472</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93,386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83,651</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Borrowings, current portion</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147,448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178,773</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5,946</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6,210</w:t>
            </w:r>
          </w:p>
        </w:tc>
        <w:tc>
          <w:tcPr>
            <w:tcW w:w="60" w:type="dxa"/>
            <w:vAlign w:val="bottom"/>
          </w:tcPr>
          <w:p>
            <w:pPr>
              <w:spacing w:after="0"/>
              <w:rPr>
                <w:sz w:val="17"/>
                <w:szCs w:val="17"/>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3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262,835</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281,831</w:t>
            </w:r>
          </w:p>
        </w:tc>
        <w:tc>
          <w:tcPr>
            <w:tcW w:w="60" w:type="dxa"/>
            <w:vAlign w:val="bottom"/>
          </w:tcPr>
          <w:p>
            <w:pPr>
              <w:spacing w:after="0"/>
              <w:rPr>
                <w:sz w:val="17"/>
                <w:szCs w:val="17"/>
                <w:color w:val="auto"/>
              </w:rPr>
            </w:pPr>
          </w:p>
        </w:tc>
      </w:tr>
      <w:tr>
        <w:trPr>
          <w:trHeight w:val="183"/>
        </w:trPr>
        <w:tc>
          <w:tcPr>
            <w:tcW w:w="770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38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42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22,485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Borrowings, non-current portion</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2,504,578</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2,394,251</w:t>
            </w:r>
          </w:p>
        </w:tc>
        <w:tc>
          <w:tcPr>
            <w:tcW w:w="60" w:type="dxa"/>
            <w:vAlign w:val="bottom"/>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1960" w:type="dxa"/>
            <w:vAlign w:val="bottom"/>
            <w:gridSpan w:val="3"/>
          </w:tcPr>
          <w:p>
            <w:pPr>
              <w:jc w:val="right"/>
              <w:ind w:right="240"/>
              <w:spacing w:after="0"/>
              <w:rPr>
                <w:sz w:val="20"/>
                <w:szCs w:val="20"/>
                <w:color w:val="auto"/>
              </w:rPr>
            </w:pPr>
            <w:r>
              <w:rPr>
                <w:rFonts w:ascii="Arial" w:cs="Arial" w:eastAsia="Arial" w:hAnsi="Arial"/>
                <w:sz w:val="16"/>
                <w:szCs w:val="16"/>
                <w:color w:val="auto"/>
              </w:rPr>
              <w:t>214,455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209,008</w:t>
            </w:r>
          </w:p>
        </w:tc>
        <w:tc>
          <w:tcPr>
            <w:tcW w:w="6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96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1,129</w:t>
            </w: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1,378</w:t>
            </w:r>
          </w:p>
        </w:tc>
        <w:tc>
          <w:tcPr>
            <w:tcW w:w="60" w:type="dxa"/>
            <w:vAlign w:val="bottom"/>
          </w:tcPr>
          <w:p>
            <w:pPr>
              <w:spacing w:after="0"/>
              <w:rPr>
                <w:sz w:val="17"/>
                <w:szCs w:val="17"/>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3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2,742,647</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2,604,660</w:t>
            </w:r>
          </w:p>
        </w:tc>
        <w:tc>
          <w:tcPr>
            <w:tcW w:w="60" w:type="dxa"/>
            <w:vAlign w:val="bottom"/>
          </w:tcPr>
          <w:p>
            <w:pPr>
              <w:spacing w:after="0"/>
              <w:rPr>
                <w:sz w:val="17"/>
                <w:szCs w:val="17"/>
                <w:color w:val="auto"/>
              </w:rPr>
            </w:pPr>
          </w:p>
        </w:tc>
      </w:tr>
      <w:tr>
        <w:trPr>
          <w:trHeight w:val="196"/>
        </w:trPr>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 and liabilities</w:t>
            </w:r>
          </w:p>
        </w:tc>
        <w:tc>
          <w:tcPr>
            <w:tcW w:w="3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4,515,164</w:t>
            </w:r>
          </w:p>
        </w:tc>
        <w:tc>
          <w:tcPr>
            <w:tcW w:w="2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4,641,988</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900" w:orient="portrait"/>
          <w:cols w:equalWidth="0" w:num="1">
            <w:col w:w="11380"/>
          </w:cols>
          <w:pgMar w:left="240" w:top="337" w:right="27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2016 and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6"/>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120,727</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339,578</w:t>
            </w:r>
          </w:p>
        </w:tc>
        <w:tc>
          <w:tcPr>
            <w:tcW w:w="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389,457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Vessel operating and supervision costs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(26,821)</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(29,569)</w:t>
            </w:r>
          </w:p>
        </w:tc>
        <w:tc>
          <w:tcPr>
            <w:tcW w:w="1500" w:type="dxa"/>
            <w:vAlign w:val="bottom"/>
            <w:gridSpan w:val="5"/>
          </w:tcPr>
          <w:p>
            <w:pPr>
              <w:jc w:val="right"/>
              <w:spacing w:after="0"/>
              <w:rPr>
                <w:sz w:val="20"/>
                <w:szCs w:val="20"/>
                <w:color w:val="auto"/>
              </w:rPr>
            </w:pPr>
            <w:r>
              <w:rPr>
                <w:rFonts w:ascii="Arial" w:cs="Arial" w:eastAsia="Arial" w:hAnsi="Arial"/>
                <w:sz w:val="16"/>
                <w:szCs w:val="16"/>
                <w:color w:val="auto"/>
              </w:rPr>
              <w:t>(83,242)</w:t>
            </w: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(86,891)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(4,184)</w:t>
            </w:r>
          </w:p>
        </w:tc>
        <w:tc>
          <w:tcPr>
            <w:tcW w:w="120" w:type="dxa"/>
            <w:vAlign w:val="bottom"/>
            <w:shd w:val="clear" w:color="auto" w:fill="E5FFFF"/>
          </w:tcPr>
          <w:p>
            <w:pPr>
              <w:spacing w:after="0"/>
              <w:rPr>
                <w:sz w:val="17"/>
                <w:szCs w:val="17"/>
                <w:color w:val="auto"/>
              </w:rPr>
            </w:pPr>
          </w:p>
        </w:tc>
        <w:tc>
          <w:tcPr>
            <w:tcW w:w="12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(1,939)</w:t>
            </w:r>
          </w:p>
        </w:tc>
        <w:tc>
          <w:tcPr>
            <w:tcW w:w="150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(12,703)</w:t>
            </w:r>
          </w:p>
        </w:tc>
        <w:tc>
          <w:tcPr>
            <w:tcW w:w="2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(6,810)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(31,373)</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(34,447)</w:t>
            </w:r>
          </w:p>
        </w:tc>
        <w:tc>
          <w:tcPr>
            <w:tcW w:w="1500" w:type="dxa"/>
            <w:vAlign w:val="bottom"/>
            <w:gridSpan w:val="5"/>
          </w:tcPr>
          <w:p>
            <w:pPr>
              <w:jc w:val="right"/>
              <w:spacing w:after="0"/>
              <w:rPr>
                <w:sz w:val="20"/>
                <w:szCs w:val="20"/>
                <w:color w:val="auto"/>
              </w:rPr>
            </w:pPr>
            <w:r>
              <w:rPr>
                <w:rFonts w:ascii="Arial" w:cs="Arial" w:eastAsia="Arial" w:hAnsi="Arial"/>
                <w:sz w:val="16"/>
                <w:szCs w:val="16"/>
                <w:color w:val="auto"/>
              </w:rPr>
              <w:t>(89,021)</w:t>
            </w:r>
          </w:p>
        </w:tc>
        <w:tc>
          <w:tcPr>
            <w:tcW w:w="200" w:type="dxa"/>
            <w:vAlign w:val="bottom"/>
          </w:tcPr>
          <w:p>
            <w:pPr>
              <w:spacing w:after="0"/>
              <w:rPr>
                <w:sz w:val="17"/>
                <w:szCs w:val="17"/>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6"/>
                <w:szCs w:val="16"/>
                <w:color w:val="auto"/>
              </w:rPr>
              <w:t>(102,606)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(9,273)</w:t>
            </w:r>
          </w:p>
        </w:tc>
        <w:tc>
          <w:tcPr>
            <w:tcW w:w="120" w:type="dxa"/>
            <w:vAlign w:val="bottom"/>
            <w:shd w:val="clear" w:color="auto" w:fill="E5FFFF"/>
          </w:tcPr>
          <w:p>
            <w:pPr>
              <w:spacing w:after="0"/>
              <w:rPr>
                <w:sz w:val="17"/>
                <w:szCs w:val="17"/>
                <w:color w:val="auto"/>
              </w:rPr>
            </w:pPr>
          </w:p>
        </w:tc>
        <w:tc>
          <w:tcPr>
            <w:tcW w:w="12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(9,988)</w:t>
            </w:r>
          </w:p>
        </w:tc>
        <w:tc>
          <w:tcPr>
            <w:tcW w:w="150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(28,362)</w:t>
            </w:r>
          </w:p>
        </w:tc>
        <w:tc>
          <w:tcPr>
            <w:tcW w:w="2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(30,213)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Profit from operations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55,299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126,250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162,937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(46,094)</w:t>
            </w:r>
          </w:p>
        </w:tc>
        <w:tc>
          <w:tcPr>
            <w:tcW w:w="120" w:type="dxa"/>
            <w:vAlign w:val="bottom"/>
            <w:shd w:val="clear" w:color="auto" w:fill="E5FFFF"/>
          </w:tcPr>
          <w:p>
            <w:pPr>
              <w:spacing w:after="0"/>
              <w:rPr>
                <w:sz w:val="17"/>
                <w:szCs w:val="17"/>
                <w:color w:val="auto"/>
              </w:rPr>
            </w:pPr>
          </w:p>
        </w:tc>
        <w:tc>
          <w:tcPr>
            <w:tcW w:w="12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(34,709)</w:t>
            </w:r>
          </w:p>
        </w:tc>
        <w:tc>
          <w:tcPr>
            <w:tcW w:w="150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(106,756)</w:t>
            </w:r>
          </w:p>
        </w:tc>
        <w:tc>
          <w:tcPr>
            <w:tcW w:w="2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(104,311)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18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644</w:t>
            </w:r>
          </w:p>
        </w:tc>
        <w:tc>
          <w:tcPr>
            <w:tcW w:w="4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519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6"/>
                <w:szCs w:val="16"/>
                <w:color w:val="auto"/>
              </w:rPr>
              <w:t>1,779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(Loss)/profit on swaps</w:t>
            </w:r>
          </w:p>
        </w:tc>
        <w:tc>
          <w:tcPr>
            <w:tcW w:w="14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(19,931)</w:t>
            </w:r>
          </w:p>
        </w:tc>
        <w:tc>
          <w:tcPr>
            <w:tcW w:w="1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3,137</w:t>
            </w:r>
          </w:p>
        </w:tc>
        <w:tc>
          <w:tcPr>
            <w:tcW w:w="40" w:type="dxa"/>
            <w:vAlign w:val="bottom"/>
            <w:shd w:val="clear" w:color="auto" w:fill="E5FFFF"/>
          </w:tcPr>
          <w:p>
            <w:pPr>
              <w:spacing w:after="0"/>
              <w:rPr>
                <w:sz w:val="17"/>
                <w:szCs w:val="17"/>
                <w:color w:val="auto"/>
              </w:rPr>
            </w:pPr>
          </w:p>
        </w:tc>
        <w:tc>
          <w:tcPr>
            <w:tcW w:w="150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(39,384)</w:t>
            </w:r>
          </w:p>
        </w:tc>
        <w:tc>
          <w:tcPr>
            <w:tcW w:w="2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(6,585)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Share of profit/(loss) of associate</w:t>
            </w:r>
          </w:p>
        </w:tc>
        <w:tc>
          <w:tcPr>
            <w:tcW w:w="1180" w:type="dxa"/>
            <w:vAlign w:val="bottom"/>
          </w:tcPr>
          <w:p>
            <w:pPr>
              <w:jc w:val="right"/>
              <w:spacing w:after="0"/>
              <w:rPr>
                <w:sz w:val="20"/>
                <w:szCs w:val="20"/>
                <w:color w:val="auto"/>
              </w:rPr>
            </w:pPr>
            <w:r>
              <w:rPr>
                <w:rFonts w:ascii="Arial" w:cs="Arial" w:eastAsia="Arial" w:hAnsi="Arial"/>
                <w:sz w:val="16"/>
                <w:szCs w:val="16"/>
                <w:color w:val="auto"/>
              </w:rPr>
              <w:t>333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(143)</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996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6"/>
                <w:szCs w:val="16"/>
                <w:color w:val="auto"/>
              </w:rPr>
              <w:t>704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(65,499)</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(31,071)</w:t>
            </w:r>
          </w:p>
        </w:tc>
        <w:tc>
          <w:tcPr>
            <w:tcW w:w="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(144,625)</w:t>
            </w:r>
          </w:p>
        </w:tc>
        <w:tc>
          <w:tcPr>
            <w:tcW w:w="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(108,413)</w:t>
            </w: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80" w:type="dxa"/>
            <w:vAlign w:val="bottom"/>
            <w:gridSpan w:val="3"/>
          </w:tcPr>
          <w:p>
            <w:pPr>
              <w:spacing w:after="0"/>
              <w:rPr>
                <w:sz w:val="20"/>
                <w:szCs w:val="20"/>
                <w:color w:val="auto"/>
              </w:rPr>
            </w:pPr>
            <w:r>
              <w:rPr>
                <w:rFonts w:ascii="Arial" w:cs="Arial" w:eastAsia="Arial" w:hAnsi="Arial"/>
                <w:sz w:val="16"/>
                <w:szCs w:val="16"/>
                <w:b w:val="1"/>
                <w:bCs w:val="1"/>
                <w:color w:val="auto"/>
              </w:rPr>
              <w:t>(Loss)/profit for the 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24,228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(18,375)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54,524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top w:val="single" w:sz="8" w:color="E5FFFF"/>
            </w:tcBorders>
            <w:gridSpan w:val="2"/>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1180" w:type="dxa"/>
            <w:vAlign w:val="bottom"/>
            <w:tcBorders>
              <w:top w:val="single" w:sz="8" w:color="auto"/>
            </w:tcBorders>
            <w:shd w:val="clear" w:color="auto" w:fill="E5FFFF"/>
          </w:tcPr>
          <w:p>
            <w:pPr>
              <w:spacing w:after="0"/>
              <w:rPr>
                <w:sz w:val="13"/>
                <w:szCs w:val="13"/>
                <w:color w:val="auto"/>
              </w:rPr>
            </w:pPr>
          </w:p>
        </w:tc>
        <w:tc>
          <w:tcPr>
            <w:tcW w:w="240" w:type="dxa"/>
            <w:vAlign w:val="bottom"/>
            <w:tcBorders>
              <w:top w:val="single" w:sz="8" w:color="E5FFFF"/>
            </w:tcBorders>
            <w:shd w:val="clear" w:color="auto" w:fill="E5FFFF"/>
          </w:tcPr>
          <w:p>
            <w:pPr>
              <w:spacing w:after="0"/>
              <w:rPr>
                <w:sz w:val="13"/>
                <w:szCs w:val="13"/>
                <w:color w:val="auto"/>
              </w:rPr>
            </w:pPr>
          </w:p>
        </w:tc>
        <w:tc>
          <w:tcPr>
            <w:tcW w:w="120" w:type="dxa"/>
            <w:vAlign w:val="bottom"/>
            <w:tcBorders>
              <w:top w:val="single" w:sz="8" w:color="E5FFFF"/>
            </w:tcBorders>
            <w:shd w:val="clear" w:color="auto" w:fill="E5FFFF"/>
          </w:tcPr>
          <w:p>
            <w:pPr>
              <w:spacing w:after="0"/>
              <w:rPr>
                <w:sz w:val="13"/>
                <w:szCs w:val="13"/>
                <w:color w:val="auto"/>
              </w:rPr>
            </w:pPr>
          </w:p>
        </w:tc>
        <w:tc>
          <w:tcPr>
            <w:tcW w:w="920" w:type="dxa"/>
            <w:vAlign w:val="bottom"/>
            <w:tcBorders>
              <w:top w:val="single" w:sz="8" w:color="auto"/>
            </w:tcBorders>
            <w:shd w:val="clear" w:color="auto" w:fill="E5FFFF"/>
          </w:tcPr>
          <w:p>
            <w:pPr>
              <w:spacing w:after="0"/>
              <w:rPr>
                <w:sz w:val="13"/>
                <w:szCs w:val="13"/>
                <w:color w:val="auto"/>
              </w:rPr>
            </w:pPr>
          </w:p>
        </w:tc>
        <w:tc>
          <w:tcPr>
            <w:tcW w:w="240" w:type="dxa"/>
            <w:vAlign w:val="bottom"/>
            <w:tcBorders>
              <w:top w:val="single" w:sz="8" w:color="auto"/>
            </w:tcBorders>
            <w:shd w:val="clear" w:color="auto" w:fill="E5FFFF"/>
          </w:tcPr>
          <w:p>
            <w:pPr>
              <w:spacing w:after="0"/>
              <w:rPr>
                <w:sz w:val="13"/>
                <w:szCs w:val="13"/>
                <w:color w:val="auto"/>
              </w:rPr>
            </w:pPr>
          </w:p>
        </w:tc>
        <w:tc>
          <w:tcPr>
            <w:tcW w:w="40" w:type="dxa"/>
            <w:vAlign w:val="bottom"/>
            <w:tcBorders>
              <w:top w:val="single" w:sz="8" w:color="E5FFFF"/>
            </w:tcBorders>
            <w:shd w:val="clear" w:color="auto" w:fill="E5FFFF"/>
          </w:tcPr>
          <w:p>
            <w:pPr>
              <w:spacing w:after="0"/>
              <w:rPr>
                <w:sz w:val="13"/>
                <w:szCs w:val="13"/>
                <w:color w:val="auto"/>
              </w:rPr>
            </w:pPr>
          </w:p>
        </w:tc>
        <w:tc>
          <w:tcPr>
            <w:tcW w:w="200" w:type="dxa"/>
            <w:vAlign w:val="bottom"/>
            <w:tcBorders>
              <w:top w:val="single" w:sz="8" w:color="E5FFFF"/>
            </w:tcBorders>
            <w:shd w:val="clear" w:color="auto" w:fill="E5FFFF"/>
          </w:tcPr>
          <w:p>
            <w:pPr>
              <w:spacing w:after="0"/>
              <w:rPr>
                <w:sz w:val="13"/>
                <w:szCs w:val="13"/>
                <w:color w:val="auto"/>
              </w:rPr>
            </w:pPr>
          </w:p>
        </w:tc>
        <w:tc>
          <w:tcPr>
            <w:tcW w:w="100" w:type="dxa"/>
            <w:vAlign w:val="bottom"/>
            <w:tcBorders>
              <w:top w:val="single" w:sz="8" w:color="E5FFFF"/>
            </w:tcBorders>
            <w:shd w:val="clear" w:color="auto" w:fill="E5FFFF"/>
          </w:tcPr>
          <w:p>
            <w:pPr>
              <w:spacing w:after="0"/>
              <w:rPr>
                <w:sz w:val="13"/>
                <w:szCs w:val="13"/>
                <w:color w:val="auto"/>
              </w:rPr>
            </w:pPr>
          </w:p>
        </w:tc>
        <w:tc>
          <w:tcPr>
            <w:tcW w:w="980" w:type="dxa"/>
            <w:vAlign w:val="bottom"/>
            <w:tcBorders>
              <w:top w:val="single" w:sz="8" w:color="auto"/>
            </w:tcBorders>
            <w:shd w:val="clear" w:color="auto" w:fill="E5FFFF"/>
          </w:tcPr>
          <w:p>
            <w:pPr>
              <w:spacing w:after="0"/>
              <w:rPr>
                <w:sz w:val="13"/>
                <w:szCs w:val="13"/>
                <w:color w:val="auto"/>
              </w:rPr>
            </w:pPr>
          </w:p>
        </w:tc>
        <w:tc>
          <w:tcPr>
            <w:tcW w:w="160" w:type="dxa"/>
            <w:vAlign w:val="bottom"/>
            <w:tcBorders>
              <w:top w:val="single" w:sz="8" w:color="auto"/>
            </w:tcBorders>
            <w:shd w:val="clear" w:color="auto" w:fill="E5FFFF"/>
          </w:tcPr>
          <w:p>
            <w:pPr>
              <w:spacing w:after="0"/>
              <w:rPr>
                <w:sz w:val="13"/>
                <w:szCs w:val="13"/>
                <w:color w:val="auto"/>
              </w:rPr>
            </w:pPr>
          </w:p>
        </w:tc>
        <w:tc>
          <w:tcPr>
            <w:tcW w:w="60" w:type="dxa"/>
            <w:vAlign w:val="bottom"/>
            <w:tcBorders>
              <w:top w:val="single" w:sz="8" w:color="E5FFFF"/>
            </w:tcBorders>
            <w:shd w:val="clear" w:color="auto" w:fill="E5FFFF"/>
          </w:tcPr>
          <w:p>
            <w:pPr>
              <w:spacing w:after="0"/>
              <w:rPr>
                <w:sz w:val="13"/>
                <w:szCs w:val="13"/>
                <w:color w:val="auto"/>
              </w:rPr>
            </w:pPr>
          </w:p>
        </w:tc>
        <w:tc>
          <w:tcPr>
            <w:tcW w:w="200" w:type="dxa"/>
            <w:vAlign w:val="bottom"/>
            <w:tcBorders>
              <w:top w:val="single" w:sz="8" w:color="E5FFFF"/>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1220" w:type="dxa"/>
            <w:vAlign w:val="bottom"/>
            <w:tcBorders>
              <w:top w:val="single" w:sz="8" w:color="auto"/>
            </w:tcBorders>
            <w:shd w:val="clear" w:color="auto" w:fill="E5FFFF"/>
          </w:tcPr>
          <w:p>
            <w:pPr>
              <w:spacing w:after="0"/>
              <w:rPr>
                <w:sz w:val="13"/>
                <w:szCs w:val="13"/>
                <w:color w:val="auto"/>
              </w:rPr>
            </w:pPr>
          </w:p>
        </w:tc>
        <w:tc>
          <w:tcPr>
            <w:tcW w:w="20" w:type="dxa"/>
            <w:vAlign w:val="bottom"/>
            <w:tcBorders>
              <w:top w:val="single" w:sz="8" w:color="auto"/>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Owners of the Group</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(29,046)</w:t>
            </w: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5,335</w:t>
            </w:r>
          </w:p>
        </w:tc>
        <w:tc>
          <w:tcPr>
            <w:tcW w:w="40" w:type="dxa"/>
            <w:vAlign w:val="bottom"/>
          </w:tcPr>
          <w:p>
            <w:pPr>
              <w:spacing w:after="0"/>
              <w:rPr>
                <w:sz w:val="17"/>
                <w:szCs w:val="17"/>
                <w:color w:val="auto"/>
              </w:rPr>
            </w:pPr>
          </w:p>
        </w:tc>
        <w:tc>
          <w:tcPr>
            <w:tcW w:w="1500" w:type="dxa"/>
            <w:vAlign w:val="bottom"/>
            <w:gridSpan w:val="5"/>
          </w:tcPr>
          <w:p>
            <w:pPr>
              <w:jc w:val="right"/>
              <w:spacing w:after="0"/>
              <w:rPr>
                <w:sz w:val="20"/>
                <w:szCs w:val="20"/>
                <w:color w:val="auto"/>
              </w:rPr>
            </w:pPr>
            <w:r>
              <w:rPr>
                <w:rFonts w:ascii="Arial" w:cs="Arial" w:eastAsia="Arial" w:hAnsi="Arial"/>
                <w:sz w:val="16"/>
                <w:szCs w:val="16"/>
                <w:color w:val="auto"/>
              </w:rPr>
              <w:t>(52,808)</w:t>
            </w:r>
          </w:p>
        </w:tc>
        <w:tc>
          <w:tcPr>
            <w:tcW w:w="200" w:type="dxa"/>
            <w:vAlign w:val="bottom"/>
          </w:tcPr>
          <w:p>
            <w:pPr>
              <w:spacing w:after="0"/>
              <w:rPr>
                <w:sz w:val="17"/>
                <w:szCs w:val="17"/>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6"/>
                <w:szCs w:val="16"/>
                <w:color w:val="auto"/>
              </w:rPr>
              <w:t>6,572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Non-controlling interest</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12,623</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18,893</w:t>
            </w: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34,433</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80"/>
              <w:spacing w:after="0"/>
              <w:rPr>
                <w:sz w:val="20"/>
                <w:szCs w:val="20"/>
                <w:color w:val="auto"/>
              </w:rPr>
            </w:pPr>
            <w:r>
              <w:rPr>
                <w:rFonts w:ascii="Arial" w:cs="Arial" w:eastAsia="Arial" w:hAnsi="Arial"/>
                <w:sz w:val="16"/>
                <w:szCs w:val="16"/>
                <w:color w:val="auto"/>
              </w:rPr>
              <w:t>47,952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(16,423)</w:t>
            </w:r>
          </w:p>
        </w:tc>
        <w:tc>
          <w:tcPr>
            <w:tcW w:w="24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24,228</w:t>
            </w:r>
          </w:p>
        </w:tc>
        <w:tc>
          <w:tcPr>
            <w:tcW w:w="4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(18,375)</w:t>
            </w:r>
          </w:p>
        </w:tc>
        <w:tc>
          <w:tcPr>
            <w:tcW w:w="6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54,524</w:t>
            </w:r>
          </w:p>
        </w:tc>
        <w:tc>
          <w:tcPr>
            <w:tcW w:w="8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1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9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2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(Loss)/earnings per share – basic and diluted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0.03</w:t>
            </w:r>
          </w:p>
        </w:tc>
        <w:tc>
          <w:tcPr>
            <w:tcW w:w="4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Arial" w:cs="Arial" w:eastAsia="Arial" w:hAnsi="Arial"/>
                <w:sz w:val="16"/>
                <w:szCs w:val="16"/>
                <w:color w:val="auto"/>
              </w:rPr>
              <w:t>(0.75)</w:t>
            </w:r>
          </w:p>
        </w:tc>
        <w:tc>
          <w:tcPr>
            <w:tcW w:w="200" w:type="dxa"/>
            <w:vAlign w:val="bottom"/>
          </w:tcPr>
          <w:p>
            <w:pPr>
              <w:spacing w:after="0"/>
              <w:rPr>
                <w:sz w:val="18"/>
                <w:szCs w:val="18"/>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899"/>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80" w:type="dxa"/>
            <w:vAlign w:val="bottom"/>
            <w:tcBorders>
              <w:bottom w:val="single" w:sz="8" w:color="808080"/>
            </w:tcBorders>
            <w:gridSpan w:val="3"/>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53"/>
        </w:trPr>
        <w:tc>
          <w:tcPr>
            <w:tcW w:w="5580" w:type="dxa"/>
            <w:vAlign w:val="bottom"/>
            <w:gridSpan w:val="3"/>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gridSpan w:val="3"/>
          </w:tcPr>
          <w:p>
            <w:pPr>
              <w:spacing w:after="0"/>
              <w:rPr>
                <w:sz w:val="20"/>
                <w:szCs w:val="20"/>
                <w:color w:val="auto"/>
              </w:rPr>
            </w:pPr>
            <w:r>
              <w:rPr>
                <w:rFonts w:ascii="Arial" w:cs="Arial" w:eastAsia="Arial" w:hAnsi="Arial"/>
                <w:sz w:val="16"/>
                <w:szCs w:val="16"/>
                <w:b w:val="1"/>
                <w:bCs w:val="1"/>
                <w:color w:val="auto"/>
              </w:rPr>
              <w:t>For the nine months ended September 30, 2016 and 2017</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right"/>
              <w:ind w:right="760"/>
              <w:spacing w:after="0"/>
              <w:rPr>
                <w:sz w:val="20"/>
                <w:szCs w:val="20"/>
                <w:color w:val="auto"/>
              </w:rPr>
            </w:pPr>
            <w:r>
              <w:rPr>
                <w:rFonts w:ascii="Arial" w:cs="Arial" w:eastAsia="Arial" w:hAnsi="Arial"/>
                <w:sz w:val="16"/>
                <w:szCs w:val="16"/>
                <w:b w:val="1"/>
                <w:bCs w:val="1"/>
                <w:color w:val="auto"/>
                <w:w w:val="98"/>
              </w:rPr>
              <w:t>For the 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gridSpan w:val="6"/>
          </w:tcPr>
          <w:p>
            <w:pPr>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3"/>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1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(Loss)/profit for the period</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(18,375)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54,524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89,021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102,606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Share of profit of associate</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(996)</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(519)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(1,779)</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106,756</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104,311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Unrealized foreign exchange loss/(gain) on cash and cash equivalents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128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(761)</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Unrealized loss/(gain) on derivative financial instruments held for trading</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9,693</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(2,034)</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23,514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2,835</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1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212,057</w:t>
            </w:r>
          </w:p>
        </w:tc>
        <w:tc>
          <w:tcPr>
            <w:tcW w:w="16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264,023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40" w:type="dxa"/>
            <w:vAlign w:val="bottom"/>
            <w:tcBorders>
              <w:bottom w:val="single" w:sz="8" w:color="auto"/>
            </w:tcBorders>
            <w:shd w:val="clear" w:color="auto" w:fill="E5FFFF"/>
          </w:tcPr>
          <w:p>
            <w:pPr>
              <w:spacing w:after="0"/>
              <w:rPr>
                <w:sz w:val="17"/>
                <w:szCs w:val="17"/>
                <w:color w:val="auto"/>
              </w:rPr>
            </w:pPr>
          </w:p>
        </w:tc>
        <w:tc>
          <w:tcPr>
            <w:tcW w:w="12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28,792</w:t>
            </w: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(5,523)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Cash provided by operations</w:t>
            </w:r>
          </w:p>
        </w:tc>
        <w:tc>
          <w:tcPr>
            <w:tcW w:w="11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240,849</w:t>
            </w:r>
          </w:p>
        </w:tc>
        <w:tc>
          <w:tcPr>
            <w:tcW w:w="16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258,500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40" w:type="dxa"/>
            <w:vAlign w:val="bottom"/>
            <w:tcBorders>
              <w:bottom w:val="single" w:sz="8" w:color="auto"/>
            </w:tcBorders>
            <w:shd w:val="clear" w:color="auto" w:fill="E5FFFF"/>
          </w:tcPr>
          <w:p>
            <w:pPr>
              <w:spacing w:after="0"/>
              <w:rPr>
                <w:sz w:val="17"/>
                <w:szCs w:val="17"/>
                <w:color w:val="auto"/>
              </w:rPr>
            </w:pPr>
          </w:p>
        </w:tc>
        <w:tc>
          <w:tcPr>
            <w:tcW w:w="12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(59,763)</w:t>
            </w: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(103,704)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1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181,086</w:t>
            </w:r>
          </w:p>
        </w:tc>
        <w:tc>
          <w:tcPr>
            <w:tcW w:w="16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154,796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2"/>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18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(576,784)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(69,567)</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1,413</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Return of contributed capital from associate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0" w:type="dxa"/>
            <w:vAlign w:val="bottom"/>
            <w:gridSpan w:val="4"/>
            <w:shd w:val="clear" w:color="auto" w:fill="E5FFFF"/>
          </w:tcPr>
          <w:p>
            <w:pPr>
              <w:jc w:val="right"/>
              <w:ind w:right="4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(14,125)</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Purchase of short-term investments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(1,500)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(37,244)</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7,500</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Financial income received</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523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1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spacing w:after="0"/>
              <w:rPr>
                <w:sz w:val="17"/>
                <w:szCs w:val="17"/>
                <w:color w:val="auto"/>
              </w:rPr>
            </w:pP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(568,711)</w:t>
            </w: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(84,993)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Proceeds from bank loans and bonds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2,113,621</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280,000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Proceeds from sale and finance leaseback</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6"/>
                <w:szCs w:val="16"/>
                <w:color w:val="auto"/>
              </w:rPr>
              <w:t>217,000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 loans and bonds repayments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(1,966,018)</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(371,987)</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Payment of loan issuance costs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(35,484)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(6,245)</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5"/>
            <w:shd w:val="clear" w:color="auto" w:fill="E5FFFF"/>
          </w:tcPr>
          <w:p>
            <w:pPr>
              <w:spacing w:after="0"/>
              <w:rPr>
                <w:sz w:val="20"/>
                <w:szCs w:val="20"/>
                <w:color w:val="auto"/>
              </w:rPr>
            </w:pPr>
            <w:r>
              <w:rPr>
                <w:rFonts w:ascii="Arial" w:cs="Arial" w:eastAsia="Arial" w:hAnsi="Arial"/>
                <w:sz w:val="16"/>
                <w:szCs w:val="16"/>
                <w:color w:val="auto"/>
                <w:w w:val="95"/>
              </w:rPr>
              <w:t>Proceeds from GasLog Partners’ common unit offerings (net of underwriting discounts and commissions)</w:t>
            </w: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52,731</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132,410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5"/>
          </w:tcPr>
          <w:p>
            <w:pPr>
              <w:spacing w:after="0"/>
              <w:rPr>
                <w:sz w:val="20"/>
                <w:szCs w:val="20"/>
                <w:color w:val="auto"/>
              </w:rPr>
            </w:pPr>
            <w:r>
              <w:rPr>
                <w:rFonts w:ascii="Arial" w:cs="Arial" w:eastAsia="Arial" w:hAnsi="Arial"/>
                <w:sz w:val="16"/>
                <w:szCs w:val="16"/>
                <w:color w:val="auto"/>
                <w:w w:val="94"/>
              </w:rPr>
              <w:t>Proceeds from GasLog Partners’ preference unit offering (net of underwriting discounts and commissions)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139,222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(245)</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Payment for NOK bond repurchase at a premium</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(2,120)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(1,459)</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Payment for cross currency swaps’ termination/modification</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(31,986)</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(20,603)</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Payment for interest rate swap’s termination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6"/>
                <w:szCs w:val="16"/>
                <w:color w:val="auto"/>
              </w:rPr>
              <w:t>(30,296)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1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ind w:right="160"/>
              <w:spacing w:after="0"/>
              <w:rPr>
                <w:sz w:val="20"/>
                <w:szCs w:val="20"/>
                <w:color w:val="auto"/>
              </w:rPr>
            </w:pPr>
            <w:r>
              <w:rPr>
                <w:rFonts w:ascii="Arial" w:cs="Arial" w:eastAsia="Arial" w:hAnsi="Arial"/>
                <w:sz w:val="16"/>
                <w:szCs w:val="16"/>
                <w:color w:val="auto"/>
              </w:rPr>
              <w:t>25,465</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-6107430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-6107430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6"/>
        </w:trPr>
        <w:tc>
          <w:tcPr>
            <w:tcW w:w="8040" w:type="dxa"/>
            <w:vAlign w:val="bottom"/>
          </w:tcPr>
          <w:p>
            <w:pPr>
              <w:spacing w:after="0"/>
              <w:rPr>
                <w:sz w:val="20"/>
                <w:szCs w:val="20"/>
                <w:color w:val="auto"/>
              </w:rPr>
            </w:pPr>
            <w:r>
              <w:rPr>
                <w:rFonts w:ascii="Arial" w:cs="Arial" w:eastAsia="Arial" w:hAnsi="Arial"/>
                <w:sz w:val="16"/>
                <w:szCs w:val="16"/>
                <w:color w:val="auto"/>
              </w:rPr>
              <w:t>Decrease in restricted cash</w:t>
            </w: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61,213</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17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(73,746)</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(88,245)</w:t>
            </w:r>
          </w:p>
        </w:tc>
        <w:tc>
          <w:tcPr>
            <w:tcW w:w="40" w:type="dxa"/>
            <w:vAlign w:val="bottom"/>
          </w:tcPr>
          <w:p>
            <w:pPr>
              <w:spacing w:after="0"/>
              <w:rPr>
                <w:sz w:val="18"/>
                <w:szCs w:val="18"/>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Payments for vessel held under finance lease</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(714)</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Payments for finance lease liability</w:t>
            </w:r>
          </w:p>
        </w:tc>
        <w:tc>
          <w:tcPr>
            <w:tcW w:w="17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(1,781)</w:t>
            </w:r>
          </w:p>
        </w:tc>
        <w:tc>
          <w:tcPr>
            <w:tcW w:w="40" w:type="dxa"/>
            <w:vAlign w:val="bottom"/>
          </w:tcPr>
          <w:p>
            <w:pPr>
              <w:spacing w:after="0"/>
              <w:rPr>
                <w:sz w:val="17"/>
                <w:szCs w:val="17"/>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341</w:t>
            </w:r>
          </w:p>
        </w:tc>
        <w:tc>
          <w:tcPr>
            <w:tcW w:w="40" w:type="dxa"/>
            <w:vAlign w:val="bottom"/>
          </w:tcPr>
          <w:p>
            <w:pPr>
              <w:spacing w:after="0"/>
              <w:rPr>
                <w:sz w:val="17"/>
                <w:szCs w:val="17"/>
                <w:color w:val="auto"/>
              </w:rPr>
            </w:pPr>
          </w:p>
        </w:tc>
      </w:tr>
      <w:tr>
        <w:trPr>
          <w:trHeight w:val="196"/>
        </w:trPr>
        <w:tc>
          <w:tcPr>
            <w:tcW w:w="8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329,421</w:t>
            </w:r>
          </w:p>
        </w:tc>
        <w:tc>
          <w:tcPr>
            <w:tcW w:w="2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60,437</w:t>
            </w:r>
          </w:p>
        </w:tc>
        <w:tc>
          <w:tcPr>
            <w:tcW w:w="40" w:type="dxa"/>
            <w:vAlign w:val="bottom"/>
          </w:tcPr>
          <w:p>
            <w:pPr>
              <w:spacing w:after="0"/>
              <w:rPr>
                <w:sz w:val="17"/>
                <w:szCs w:val="17"/>
                <w:color w:val="auto"/>
              </w:rPr>
            </w:pPr>
          </w:p>
        </w:tc>
      </w:tr>
      <w:tr>
        <w:trPr>
          <w:trHeight w:val="196"/>
        </w:trPr>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40" w:type="dxa"/>
            <w:vAlign w:val="bottom"/>
          </w:tcPr>
          <w:p>
            <w:pPr>
              <w:spacing w:after="0"/>
              <w:rPr>
                <w:sz w:val="17"/>
                <w:szCs w:val="17"/>
                <w:color w:val="auto"/>
              </w:rPr>
            </w:pPr>
          </w:p>
        </w:tc>
      </w:tr>
      <w:tr>
        <w:trPr>
          <w:trHeight w:val="196"/>
        </w:trPr>
        <w:tc>
          <w:tcPr>
            <w:tcW w:w="80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(58,332)</w:t>
            </w:r>
          </w:p>
        </w:tc>
        <w:tc>
          <w:tcPr>
            <w:tcW w:w="22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131,001</w:t>
            </w:r>
          </w:p>
        </w:tc>
        <w:tc>
          <w:tcPr>
            <w:tcW w:w="40" w:type="dxa"/>
            <w:vAlign w:val="bottom"/>
          </w:tcPr>
          <w:p>
            <w:pPr>
              <w:spacing w:after="0"/>
              <w:rPr>
                <w:sz w:val="17"/>
                <w:szCs w:val="17"/>
                <w:color w:val="auto"/>
              </w:rPr>
            </w:pPr>
          </w:p>
        </w:tc>
      </w:tr>
      <w:tr>
        <w:trPr>
          <w:trHeight w:val="196"/>
        </w:trPr>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302,988</w:t>
            </w:r>
          </w:p>
        </w:tc>
        <w:tc>
          <w:tcPr>
            <w:tcW w:w="22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227,024</w:t>
            </w:r>
          </w:p>
        </w:tc>
        <w:tc>
          <w:tcPr>
            <w:tcW w:w="40" w:type="dxa"/>
            <w:vAlign w:val="bottom"/>
          </w:tcPr>
          <w:p>
            <w:pPr>
              <w:spacing w:after="0"/>
              <w:rPr>
                <w:sz w:val="17"/>
                <w:szCs w:val="17"/>
                <w:color w:val="auto"/>
              </w:rPr>
            </w:pPr>
          </w:p>
        </w:tc>
      </w:tr>
      <w:tr>
        <w:trPr>
          <w:trHeight w:val="196"/>
        </w:trPr>
        <w:tc>
          <w:tcPr>
            <w:tcW w:w="80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244,656</w:t>
            </w:r>
          </w:p>
        </w:tc>
        <w:tc>
          <w:tcPr>
            <w:tcW w:w="220" w:type="dxa"/>
            <w:vAlign w:val="bottom"/>
            <w:tcBorders>
              <w:bottom w:val="single" w:sz="8" w:color="E5FFFF"/>
            </w:tcBorders>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358,025</w:t>
            </w:r>
          </w:p>
        </w:tc>
        <w:tc>
          <w:tcPr>
            <w:tcW w:w="40" w:type="dxa"/>
            <w:vAlign w:val="bottom"/>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39"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swaps and taxes. Adjusted EBITDA is defined as EBITDA before foreign exchange gains/losses. Adjusted Profit represents earnings before write-off and accelerated amortization of unamortized loan fees/bond fees and premium, foreign exchange gains/losses and non-cash gain/loss on swaps that includes (if any) (a) unrealized gain/loss on derivative financial instruments held for trading and (b) recycled loss of cash flow hedges reclassified to profit or loss.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w:t>
      </w:r>
    </w:p>
    <w:p>
      <w:pPr>
        <w:spacing w:after="0" w:line="4" w:lineRule="exact"/>
        <w:rPr>
          <w:sz w:val="20"/>
          <w:szCs w:val="20"/>
          <w:color w:val="auto"/>
        </w:rPr>
      </w:pPr>
    </w:p>
    <w:p>
      <w:pPr>
        <w:ind w:right="60" w:firstLine="8"/>
        <w:spacing w:after="0" w:line="269"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9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(Loss)/Profit to EBITDA and Adjusted EBITDA :</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10"/>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2900" w:type="dxa"/>
            <w:vAlign w:val="bottom"/>
            <w:gridSpan w:val="6"/>
          </w:tcPr>
          <w:p>
            <w:pPr>
              <w:jc w:val="right"/>
              <w:ind w:right="53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5"/>
          </w:tcPr>
          <w:p>
            <w:pPr>
              <w:ind w:left="10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5"/>
          </w:tcPr>
          <w:p>
            <w:pPr>
              <w:ind w:left="1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September 30,</w:t>
            </w:r>
          </w:p>
        </w:tc>
        <w:tc>
          <w:tcPr>
            <w:tcW w:w="40" w:type="dxa"/>
            <w:vAlign w:val="bottom"/>
          </w:tcPr>
          <w:p>
            <w:pPr>
              <w:spacing w:after="0"/>
              <w:rPr>
                <w:sz w:val="17"/>
                <w:szCs w:val="17"/>
                <w:color w:val="auto"/>
              </w:rPr>
            </w:pPr>
          </w:p>
        </w:tc>
      </w:tr>
      <w:tr>
        <w:trPr>
          <w:trHeight w:val="213"/>
        </w:trPr>
        <w:tc>
          <w:tcPr>
            <w:tcW w:w="538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r>
      <w:tr>
        <w:trPr>
          <w:trHeight w:val="199"/>
        </w:trPr>
        <w:tc>
          <w:tcPr>
            <w:tcW w:w="54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(Loss)/profit for the period</w:t>
            </w:r>
          </w:p>
        </w:tc>
        <w:tc>
          <w:tcPr>
            <w:tcW w:w="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(16,423)</w:t>
            </w: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24,228</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(18,375)</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54,524</w:t>
            </w:r>
          </w:p>
        </w:tc>
        <w:tc>
          <w:tcPr>
            <w:tcW w:w="40" w:type="dxa"/>
            <w:vAlign w:val="bottom"/>
          </w:tcPr>
          <w:p>
            <w:pPr>
              <w:spacing w:after="0"/>
              <w:rPr>
                <w:sz w:val="17"/>
                <w:szCs w:val="17"/>
                <w:color w:val="auto"/>
              </w:rPr>
            </w:pPr>
          </w:p>
        </w:tc>
      </w:tr>
      <w:tr>
        <w:trPr>
          <w:trHeight w:val="203"/>
        </w:trPr>
        <w:tc>
          <w:tcPr>
            <w:tcW w:w="550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31,373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34,447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89,021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102,606</w:t>
            </w:r>
          </w:p>
        </w:tc>
        <w:tc>
          <w:tcPr>
            <w:tcW w:w="40" w:type="dxa"/>
            <w:vAlign w:val="bottom"/>
          </w:tcPr>
          <w:p>
            <w:pPr>
              <w:spacing w:after="0"/>
              <w:rPr>
                <w:sz w:val="17"/>
                <w:szCs w:val="17"/>
                <w:color w:val="auto"/>
              </w:rPr>
            </w:pPr>
          </w:p>
        </w:tc>
      </w:tr>
      <w:tr>
        <w:trPr>
          <w:trHeight w:val="203"/>
        </w:trPr>
        <w:tc>
          <w:tcPr>
            <w:tcW w:w="55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8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46,094</w:t>
            </w: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34,709</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106,756</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104,311</w:t>
            </w:r>
          </w:p>
        </w:tc>
        <w:tc>
          <w:tcPr>
            <w:tcW w:w="40" w:type="dxa"/>
            <w:vAlign w:val="bottom"/>
          </w:tcPr>
          <w:p>
            <w:pPr>
              <w:spacing w:after="0"/>
              <w:rPr>
                <w:sz w:val="17"/>
                <w:szCs w:val="17"/>
                <w:color w:val="auto"/>
              </w:rPr>
            </w:pPr>
          </w:p>
        </w:tc>
      </w:tr>
      <w:tr>
        <w:trPr>
          <w:trHeight w:val="203"/>
        </w:trPr>
        <w:tc>
          <w:tcPr>
            <w:tcW w:w="5500" w:type="dxa"/>
            <w:vAlign w:val="bottom"/>
            <w:gridSpan w:val="3"/>
          </w:tcPr>
          <w:p>
            <w:pPr>
              <w:spacing w:after="0"/>
              <w:rPr>
                <w:sz w:val="20"/>
                <w:szCs w:val="20"/>
                <w:color w:val="auto"/>
              </w:rPr>
            </w:pPr>
            <w:r>
              <w:rPr>
                <w:rFonts w:ascii="Arial" w:cs="Arial" w:eastAsia="Arial" w:hAnsi="Arial"/>
                <w:sz w:val="16"/>
                <w:szCs w:val="16"/>
                <w:color w:val="auto"/>
              </w:rPr>
              <w:t>Financial income</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(644)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(519)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(1,779)</w:t>
            </w:r>
          </w:p>
        </w:tc>
        <w:tc>
          <w:tcPr>
            <w:tcW w:w="40" w:type="dxa"/>
            <w:vAlign w:val="bottom"/>
          </w:tcPr>
          <w:p>
            <w:pPr>
              <w:spacing w:after="0"/>
              <w:rPr>
                <w:sz w:val="17"/>
                <w:szCs w:val="17"/>
                <w:color w:val="auto"/>
              </w:rPr>
            </w:pPr>
          </w:p>
        </w:tc>
      </w:tr>
      <w:tr>
        <w:trPr>
          <w:trHeight w:val="203"/>
        </w:trPr>
        <w:tc>
          <w:tcPr>
            <w:tcW w:w="55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138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19,931</w:t>
            </w: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(3,137)</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39,384</w:t>
            </w: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6,585</w:t>
            </w:r>
          </w:p>
        </w:tc>
        <w:tc>
          <w:tcPr>
            <w:tcW w:w="40" w:type="dxa"/>
            <w:vAlign w:val="bottom"/>
          </w:tcPr>
          <w:p>
            <w:pPr>
              <w:spacing w:after="0"/>
              <w:rPr>
                <w:sz w:val="17"/>
                <w:szCs w:val="17"/>
                <w:color w:val="auto"/>
              </w:rPr>
            </w:pPr>
          </w:p>
        </w:tc>
      </w:tr>
      <w:tr>
        <w:trPr>
          <w:trHeight w:val="196"/>
        </w:trPr>
        <w:tc>
          <w:tcPr>
            <w:tcW w:w="550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EBITDA</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80,782</w:t>
            </w:r>
          </w:p>
        </w:tc>
        <w:tc>
          <w:tcPr>
            <w:tcW w:w="1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89,603</w:t>
            </w:r>
          </w:p>
        </w:tc>
        <w:tc>
          <w:tcPr>
            <w:tcW w:w="1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216,267</w:t>
            </w:r>
          </w:p>
        </w:tc>
        <w:tc>
          <w:tcPr>
            <w:tcW w:w="1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266,247</w:t>
            </w:r>
          </w:p>
        </w:tc>
        <w:tc>
          <w:tcPr>
            <w:tcW w:w="40" w:type="dxa"/>
            <w:vAlign w:val="bottom"/>
          </w:tcPr>
          <w:p>
            <w:pPr>
              <w:spacing w:after="0"/>
              <w:rPr>
                <w:sz w:val="17"/>
                <w:szCs w:val="17"/>
                <w:color w:val="auto"/>
              </w:rPr>
            </w:pPr>
          </w:p>
        </w:tc>
      </w:tr>
      <w:tr>
        <w:trPr>
          <w:trHeight w:val="196"/>
        </w:trPr>
        <w:tc>
          <w:tcPr>
            <w:tcW w:w="55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89</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713</w:t>
            </w: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7"/>
                <w:szCs w:val="17"/>
                <w:color w:val="auto"/>
              </w:rPr>
            </w:pPr>
          </w:p>
        </w:tc>
      </w:tr>
      <w:tr>
        <w:trPr>
          <w:trHeight w:val="196"/>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81,097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89,692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216,980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266,382</w:t>
            </w:r>
          </w:p>
        </w:tc>
        <w:tc>
          <w:tcPr>
            <w:tcW w:w="4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gridSpan w:val="2"/>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r>
        <w:trPr>
          <w:trHeight w:val="753"/>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Reconciliation of (Loss)/Profit to Adjusted Profit :</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10"/>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2900" w:type="dxa"/>
            <w:vAlign w:val="bottom"/>
            <w:gridSpan w:val="6"/>
          </w:tcPr>
          <w:p>
            <w:pPr>
              <w:jc w:val="right"/>
              <w:ind w:right="599"/>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24"/>
                <w:szCs w:val="24"/>
                <w:color w:val="auto"/>
              </w:rPr>
            </w:pPr>
          </w:p>
        </w:tc>
      </w:tr>
      <w:tr>
        <w:trPr>
          <w:trHeight w:val="203"/>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5"/>
          </w:tcPr>
          <w:p>
            <w:pPr>
              <w:ind w:left="2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w w:val="91"/>
              </w:rPr>
              <w:t>September 30,</w:t>
            </w:r>
          </w:p>
        </w:tc>
        <w:tc>
          <w:tcPr>
            <w:tcW w:w="40" w:type="dxa"/>
            <w:vAlign w:val="bottom"/>
          </w:tcPr>
          <w:p>
            <w:pPr>
              <w:spacing w:after="0"/>
              <w:rPr>
                <w:sz w:val="17"/>
                <w:szCs w:val="17"/>
                <w:color w:val="auto"/>
              </w:rPr>
            </w:pPr>
          </w:p>
        </w:tc>
      </w:tr>
      <w:tr>
        <w:trPr>
          <w:trHeight w:val="213"/>
        </w:trPr>
        <w:tc>
          <w:tcPr>
            <w:tcW w:w="538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r>
      <w:tr>
        <w:trPr>
          <w:trHeight w:val="199"/>
        </w:trPr>
        <w:tc>
          <w:tcPr>
            <w:tcW w:w="5380" w:type="dxa"/>
            <w:vAlign w:val="bottom"/>
            <w:shd w:val="clear" w:color="auto" w:fill="E5FFFF"/>
          </w:tcPr>
          <w:p>
            <w:pPr>
              <w:spacing w:after="0"/>
              <w:rPr>
                <w:sz w:val="20"/>
                <w:szCs w:val="20"/>
                <w:color w:val="auto"/>
              </w:rPr>
            </w:pPr>
            <w:r>
              <w:rPr>
                <w:rFonts w:ascii="Arial" w:cs="Arial" w:eastAsia="Arial" w:hAnsi="Arial"/>
                <w:sz w:val="16"/>
                <w:szCs w:val="16"/>
                <w:color w:val="auto"/>
              </w:rPr>
              <w:t>(Loss)/profit for the period</w:t>
            </w:r>
          </w:p>
        </w:tc>
        <w:tc>
          <w:tcPr>
            <w:tcW w:w="120" w:type="dxa"/>
            <w:vAlign w:val="bottom"/>
            <w:gridSpan w:val="2"/>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(16,423)</w:t>
            </w:r>
          </w:p>
        </w:tc>
        <w:tc>
          <w:tcPr>
            <w:tcW w:w="180" w:type="dxa"/>
            <w:vAlign w:val="bottom"/>
            <w:gridSpan w:val="2"/>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24,228</w:t>
            </w:r>
          </w:p>
        </w:tc>
        <w:tc>
          <w:tcPr>
            <w:tcW w:w="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(18,375)</w:t>
            </w:r>
          </w:p>
        </w:tc>
        <w:tc>
          <w:tcPr>
            <w:tcW w:w="180" w:type="dxa"/>
            <w:vAlign w:val="bottom"/>
            <w:gridSpan w:val="2"/>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54,524</w:t>
            </w:r>
          </w:p>
        </w:tc>
        <w:tc>
          <w:tcPr>
            <w:tcW w:w="40" w:type="dxa"/>
            <w:vAlign w:val="bottom"/>
          </w:tcPr>
          <w:p>
            <w:pPr>
              <w:spacing w:after="0"/>
              <w:rPr>
                <w:sz w:val="17"/>
                <w:szCs w:val="17"/>
                <w:color w:val="auto"/>
              </w:rPr>
            </w:pPr>
          </w:p>
        </w:tc>
      </w:tr>
      <w:tr>
        <w:trPr>
          <w:trHeight w:val="203"/>
        </w:trPr>
        <w:tc>
          <w:tcPr>
            <w:tcW w:w="5500" w:type="dxa"/>
            <w:vAlign w:val="bottom"/>
            <w:gridSpan w:val="3"/>
          </w:tcPr>
          <w:p>
            <w:pPr>
              <w:spacing w:after="0"/>
              <w:rPr>
                <w:sz w:val="20"/>
                <w:szCs w:val="20"/>
                <w:color w:val="auto"/>
              </w:rPr>
            </w:pPr>
            <w:r>
              <w:rPr>
                <w:rFonts w:ascii="Arial" w:cs="Arial" w:eastAsia="Arial" w:hAnsi="Arial"/>
                <w:sz w:val="16"/>
                <w:szCs w:val="16"/>
                <w:color w:val="auto"/>
              </w:rPr>
              <w:t>Non-cash loss/(gain) on swaps</w:t>
            </w:r>
          </w:p>
        </w:tc>
        <w:tc>
          <w:tcPr>
            <w:tcW w:w="1200" w:type="dxa"/>
            <w:vAlign w:val="bottom"/>
          </w:tcPr>
          <w:p>
            <w:pPr>
              <w:jc w:val="right"/>
              <w:spacing w:after="0"/>
              <w:rPr>
                <w:sz w:val="20"/>
                <w:szCs w:val="20"/>
                <w:color w:val="auto"/>
              </w:rPr>
            </w:pPr>
            <w:r>
              <w:rPr>
                <w:rFonts w:ascii="Arial" w:cs="Arial" w:eastAsia="Arial" w:hAnsi="Arial"/>
                <w:sz w:val="16"/>
                <w:szCs w:val="16"/>
                <w:color w:val="auto"/>
              </w:rPr>
              <w:t>17,422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(3,206)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2,334</w:t>
            </w:r>
          </w:p>
        </w:tc>
        <w:tc>
          <w:tcPr>
            <w:tcW w:w="40" w:type="dxa"/>
            <w:vAlign w:val="bottom"/>
          </w:tcPr>
          <w:p>
            <w:pPr>
              <w:spacing w:after="0"/>
              <w:rPr>
                <w:sz w:val="17"/>
                <w:szCs w:val="17"/>
                <w:color w:val="auto"/>
              </w:rPr>
            </w:pPr>
          </w:p>
        </w:tc>
      </w:tr>
      <w:tr>
        <w:trPr>
          <w:trHeight w:val="203"/>
        </w:trPr>
        <w:tc>
          <w:tcPr>
            <w:tcW w:w="55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Write-off of unamortized loan/bond fees and premium</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18,215</w:t>
            </w: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500" w:type="dxa"/>
            <w:vAlign w:val="bottom"/>
            <w:gridSpan w:val="5"/>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23,097</w:t>
            </w: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38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293</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-1562100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9"/>
        </w:trPr>
        <w:tc>
          <w:tcPr>
            <w:tcW w:w="5840" w:type="dxa"/>
            <w:vAlign w:val="bottom"/>
            <w:gridSpan w:val="4"/>
          </w:tcPr>
          <w:p>
            <w:pPr>
              <w:spacing w:after="0"/>
              <w:rPr>
                <w:sz w:val="20"/>
                <w:szCs w:val="20"/>
                <w:color w:val="auto"/>
              </w:rPr>
            </w:pPr>
            <w:r>
              <w:rPr>
                <w:rFonts w:ascii="Arial" w:cs="Arial" w:eastAsia="Arial" w:hAnsi="Arial"/>
                <w:sz w:val="16"/>
                <w:szCs w:val="16"/>
                <w:color w:val="auto"/>
              </w:rPr>
              <w:t>Foreign exchange losses, net</w:t>
            </w:r>
          </w:p>
        </w:tc>
        <w:tc>
          <w:tcPr>
            <w:tcW w:w="860" w:type="dxa"/>
            <w:vAlign w:val="bottom"/>
          </w:tcPr>
          <w:p>
            <w:pPr>
              <w:jc w:val="right"/>
              <w:spacing w:after="0"/>
              <w:rPr>
                <w:sz w:val="20"/>
                <w:szCs w:val="20"/>
                <w:color w:val="auto"/>
              </w:rPr>
            </w:pPr>
            <w:r>
              <w:rPr>
                <w:rFonts w:ascii="Arial" w:cs="Arial" w:eastAsia="Arial" w:hAnsi="Arial"/>
                <w:sz w:val="16"/>
                <w:szCs w:val="16"/>
                <w:color w:val="auto"/>
              </w:rPr>
              <w:t>315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54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340" w:type="dxa"/>
            <w:vAlign w:val="bottom"/>
            <w:tcBorders>
              <w:top w:val="single" w:sz="8" w:color="auto"/>
              <w:bottom w:val="single" w:sz="8" w:color="auto"/>
            </w:tcBorders>
            <w:shd w:val="clear" w:color="auto" w:fill="E5FFFF"/>
          </w:tcPr>
          <w:p>
            <w:pPr>
              <w:spacing w:after="0"/>
              <w:rPr>
                <w:sz w:val="17"/>
                <w:szCs w:val="17"/>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19,529</w:t>
            </w: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21,111</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38,642</w:t>
            </w: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57,286</w:t>
            </w: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5840" w:type="dxa"/>
            <w:vAlign w:val="bottom"/>
            <w:gridSpan w:val="4"/>
          </w:tcPr>
          <w:p>
            <w:pPr>
              <w:spacing w:after="0"/>
              <w:rPr>
                <w:sz w:val="20"/>
                <w:szCs w:val="20"/>
                <w:color w:val="auto"/>
              </w:rPr>
            </w:pPr>
            <w:r>
              <w:rPr>
                <w:rFonts w:ascii="Arial" w:cs="Arial" w:eastAsia="Arial" w:hAnsi="Arial"/>
                <w:sz w:val="16"/>
                <w:szCs w:val="16"/>
                <w:b w:val="1"/>
                <w:bCs w:val="1"/>
                <w:color w:val="auto"/>
                <w:w w:val="91"/>
              </w:rPr>
              <w:t>Reconciliation of (Loss)/Earnings Per Share to Adjusted Earnings/(Loss) Per Share: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840" w:type="dxa"/>
            <w:vAlign w:val="bottom"/>
            <w:gridSpan w:val="4"/>
          </w:tcPr>
          <w:p>
            <w:pPr>
              <w:spacing w:after="0"/>
              <w:rPr>
                <w:sz w:val="20"/>
                <w:szCs w:val="20"/>
                <w:color w:val="auto"/>
              </w:rPr>
            </w:pPr>
            <w:r>
              <w:rPr>
                <w:rFonts w:ascii="Arial" w:cs="Arial" w:eastAsia="Arial" w:hAnsi="Arial"/>
                <w:sz w:val="16"/>
                <w:szCs w:val="16"/>
                <w:b w:val="1"/>
                <w:bCs w:val="1"/>
                <w:color w:val="auto"/>
                <w:w w:val="90"/>
              </w:rPr>
              <w:t>(Amounts expressed in thousands of U.S. Dollars, except shares and per share data)</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1"/>
        </w:trPr>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9"/>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60" w:type="dxa"/>
            <w:vAlign w:val="bottom"/>
          </w:tcPr>
          <w:p>
            <w:pPr>
              <w:spacing w:after="0"/>
              <w:rPr>
                <w:sz w:val="24"/>
                <w:szCs w:val="24"/>
                <w:color w:val="auto"/>
              </w:rPr>
            </w:pPr>
          </w:p>
        </w:tc>
        <w:tc>
          <w:tcPr>
            <w:tcW w:w="286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24"/>
                <w:szCs w:val="24"/>
                <w:color w:val="auto"/>
              </w:rPr>
            </w:pPr>
          </w:p>
        </w:tc>
      </w:tr>
      <w:tr>
        <w:trPr>
          <w:trHeight w:val="203"/>
        </w:trPr>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7"/>
                <w:szCs w:val="17"/>
                <w:color w:val="auto"/>
              </w:rPr>
            </w:pPr>
          </w:p>
        </w:tc>
        <w:tc>
          <w:tcPr>
            <w:tcW w:w="1460" w:type="dxa"/>
            <w:vAlign w:val="bottom"/>
            <w:gridSpan w:val="4"/>
          </w:tcPr>
          <w:p>
            <w:pPr>
              <w:ind w:left="6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7"/>
                <w:szCs w:val="17"/>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r>
      <w:tr>
        <w:trPr>
          <w:trHeight w:val="213"/>
        </w:trPr>
        <w:tc>
          <w:tcPr>
            <w:tcW w:w="540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(Loss)/profit for the period attributable to owners of the Group</w:t>
            </w:r>
          </w:p>
        </w:tc>
        <w:tc>
          <w:tcPr>
            <w:tcW w:w="440" w:type="dxa"/>
            <w:vAlign w:val="bottom"/>
            <w:gridSpan w:val="3"/>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(29,046)</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5,335</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(52,808)</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6,572</w:t>
            </w:r>
          </w:p>
        </w:tc>
        <w:tc>
          <w:tcPr>
            <w:tcW w:w="40" w:type="dxa"/>
            <w:vAlign w:val="bottom"/>
          </w:tcPr>
          <w:p>
            <w:pPr>
              <w:spacing w:after="0"/>
              <w:rPr>
                <w:sz w:val="17"/>
                <w:szCs w:val="17"/>
                <w:color w:val="auto"/>
              </w:rPr>
            </w:pPr>
          </w:p>
        </w:tc>
      </w:tr>
      <w:tr>
        <w:trPr>
          <w:trHeight w:val="203"/>
        </w:trPr>
        <w:tc>
          <w:tcPr>
            <w:tcW w:w="5840" w:type="dxa"/>
            <w:vAlign w:val="bottom"/>
            <w:gridSpan w:val="4"/>
          </w:tcPr>
          <w:p>
            <w:pPr>
              <w:spacing w:after="0"/>
              <w:rPr>
                <w:sz w:val="20"/>
                <w:szCs w:val="20"/>
                <w:color w:val="auto"/>
              </w:rPr>
            </w:pPr>
            <w:r>
              <w:rPr>
                <w:rFonts w:ascii="Arial" w:cs="Arial" w:eastAsia="Arial" w:hAnsi="Arial"/>
                <w:sz w:val="16"/>
                <w:szCs w:val="16"/>
                <w:color w:val="auto"/>
              </w:rPr>
              <w:t>Plus: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110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(2,516)</w:t>
            </w:r>
          </w:p>
        </w:tc>
        <w:tc>
          <w:tcPr>
            <w:tcW w:w="40" w:type="dxa"/>
            <w:vAlign w:val="bottom"/>
            <w:shd w:val="clear" w:color="auto" w:fill="E5FFFF"/>
          </w:tcPr>
          <w:p>
            <w:pPr>
              <w:spacing w:after="0"/>
              <w:rPr>
                <w:sz w:val="17"/>
                <w:szCs w:val="17"/>
                <w:color w:val="auto"/>
              </w:rPr>
            </w:pPr>
          </w:p>
        </w:tc>
        <w:tc>
          <w:tcPr>
            <w:tcW w:w="1500" w:type="dxa"/>
            <w:vAlign w:val="bottom"/>
            <w:gridSpan w:val="4"/>
            <w:shd w:val="clear" w:color="auto" w:fill="E5FFFF"/>
          </w:tcPr>
          <w:p>
            <w:pPr>
              <w:jc w:val="right"/>
              <w:ind w:right="119"/>
              <w:spacing w:after="0"/>
              <w:rPr>
                <w:sz w:val="20"/>
                <w:szCs w:val="20"/>
                <w:color w:val="auto"/>
              </w:rPr>
            </w:pPr>
            <w:r>
              <w:rPr>
                <w:rFonts w:ascii="Arial" w:cs="Arial" w:eastAsia="Arial" w:hAnsi="Arial"/>
                <w:sz w:val="16"/>
                <w:szCs w:val="16"/>
                <w:color w:val="auto"/>
              </w:rPr>
              <w:t>(2,516)</w:t>
            </w:r>
          </w:p>
        </w:tc>
        <w:tc>
          <w:tcPr>
            <w:tcW w:w="20" w:type="dxa"/>
            <w:vAlign w:val="bottom"/>
            <w:shd w:val="clear" w:color="auto" w:fill="E5FFFF"/>
          </w:tcPr>
          <w:p>
            <w:pPr>
              <w:spacing w:after="0"/>
              <w:rPr>
                <w:sz w:val="17"/>
                <w:szCs w:val="17"/>
                <w:color w:val="auto"/>
              </w:rPr>
            </w:pPr>
          </w:p>
        </w:tc>
        <w:tc>
          <w:tcPr>
            <w:tcW w:w="1480" w:type="dxa"/>
            <w:vAlign w:val="bottom"/>
            <w:gridSpan w:val="4"/>
            <w:shd w:val="clear" w:color="auto" w:fill="E5FFFF"/>
          </w:tcPr>
          <w:p>
            <w:pPr>
              <w:jc w:val="right"/>
              <w:ind w:right="59"/>
              <w:spacing w:after="0"/>
              <w:rPr>
                <w:sz w:val="20"/>
                <w:szCs w:val="20"/>
                <w:color w:val="auto"/>
              </w:rPr>
            </w:pPr>
            <w:r>
              <w:rPr>
                <w:rFonts w:ascii="Arial" w:cs="Arial" w:eastAsia="Arial" w:hAnsi="Arial"/>
                <w:sz w:val="16"/>
                <w:szCs w:val="16"/>
                <w:color w:val="auto"/>
              </w:rPr>
              <w:t>(7,547)</w:t>
            </w:r>
          </w:p>
        </w:tc>
        <w:tc>
          <w:tcPr>
            <w:tcW w:w="4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(7,548)</w:t>
            </w:r>
          </w:p>
        </w:tc>
        <w:tc>
          <w:tcPr>
            <w:tcW w:w="40" w:type="dxa"/>
            <w:vAlign w:val="bottom"/>
          </w:tcPr>
          <w:p>
            <w:pPr>
              <w:spacing w:after="0"/>
              <w:rPr>
                <w:sz w:val="17"/>
                <w:szCs w:val="17"/>
                <w:color w:val="auto"/>
              </w:rPr>
            </w:pPr>
          </w:p>
        </w:tc>
      </w:tr>
      <w:tr>
        <w:trPr>
          <w:trHeight w:val="173"/>
        </w:trPr>
        <w:tc>
          <w:tcPr>
            <w:tcW w:w="5500" w:type="dxa"/>
            <w:vAlign w:val="bottom"/>
            <w:gridSpan w:val="3"/>
          </w:tcPr>
          <w:p>
            <w:pPr>
              <w:spacing w:after="0" w:line="173" w:lineRule="exact"/>
              <w:rPr>
                <w:sz w:val="20"/>
                <w:szCs w:val="20"/>
                <w:color w:val="auto"/>
              </w:rPr>
            </w:pPr>
            <w:r>
              <w:rPr>
                <w:rFonts w:ascii="Arial" w:cs="Arial" w:eastAsia="Arial" w:hAnsi="Arial"/>
                <w:sz w:val="16"/>
                <w:szCs w:val="16"/>
                <w:color w:val="auto"/>
              </w:rPr>
              <w:t>(Loss)/profit for the period available to owners of the Group used in EPS</w:t>
            </w: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5840" w:type="dxa"/>
            <w:vAlign w:val="bottom"/>
            <w:gridSpan w:val="4"/>
          </w:tcPr>
          <w:p>
            <w:pPr>
              <w:ind w:left="180"/>
              <w:spacing w:after="0"/>
              <w:rPr>
                <w:sz w:val="20"/>
                <w:szCs w:val="20"/>
                <w:color w:val="auto"/>
              </w:rPr>
            </w:pPr>
            <w:r>
              <w:rPr>
                <w:rFonts w:ascii="Arial" w:cs="Arial" w:eastAsia="Arial" w:hAnsi="Arial"/>
                <w:sz w:val="16"/>
                <w:szCs w:val="16"/>
                <w:color w:val="auto"/>
              </w:rPr>
              <w:t>calculation</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(31,562)</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2,819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4"/>
          </w:tcPr>
          <w:p>
            <w:pPr>
              <w:jc w:val="right"/>
              <w:ind w:right="59"/>
              <w:spacing w:after="0"/>
              <w:rPr>
                <w:sz w:val="20"/>
                <w:szCs w:val="20"/>
                <w:color w:val="auto"/>
              </w:rPr>
            </w:pPr>
            <w:r>
              <w:rPr>
                <w:rFonts w:ascii="Arial" w:cs="Arial" w:eastAsia="Arial" w:hAnsi="Arial"/>
                <w:sz w:val="16"/>
                <w:szCs w:val="16"/>
                <w:color w:val="auto"/>
              </w:rPr>
              <w:t>(60,355)</w:t>
            </w:r>
          </w:p>
        </w:tc>
        <w:tc>
          <w:tcPr>
            <w:tcW w:w="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(976)</w:t>
            </w:r>
          </w:p>
        </w:tc>
        <w:tc>
          <w:tcPr>
            <w:tcW w:w="40" w:type="dxa"/>
            <w:vAlign w:val="bottom"/>
          </w:tcPr>
          <w:p>
            <w:pPr>
              <w:spacing w:after="0"/>
              <w:rPr>
                <w:sz w:val="18"/>
                <w:szCs w:val="18"/>
                <w:color w:val="auto"/>
              </w:rPr>
            </w:pPr>
          </w:p>
        </w:tc>
      </w:tr>
      <w:tr>
        <w:trPr>
          <w:trHeight w:val="199"/>
        </w:trPr>
        <w:tc>
          <w:tcPr>
            <w:tcW w:w="550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340" w:type="dxa"/>
            <w:vAlign w:val="bottom"/>
            <w:tcBorders>
              <w:top w:val="single" w:sz="8" w:color="auto"/>
              <w:bottom w:val="single" w:sz="8" w:color="auto"/>
            </w:tcBorders>
            <w:shd w:val="clear" w:color="auto" w:fill="E5FF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80,553,238</w:t>
            </w:r>
          </w:p>
        </w:tc>
        <w:tc>
          <w:tcPr>
            <w:tcW w:w="2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80,631,298</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80,528,389</w:t>
            </w:r>
          </w:p>
        </w:tc>
        <w:tc>
          <w:tcPr>
            <w:tcW w:w="2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80,605,848</w:t>
            </w:r>
          </w:p>
        </w:tc>
        <w:tc>
          <w:tcPr>
            <w:tcW w:w="40" w:type="dxa"/>
            <w:vAlign w:val="bottom"/>
          </w:tcPr>
          <w:p>
            <w:pPr>
              <w:spacing w:after="0"/>
              <w:rPr>
                <w:sz w:val="17"/>
                <w:szCs w:val="17"/>
                <w:color w:val="auto"/>
              </w:rPr>
            </w:pPr>
          </w:p>
        </w:tc>
      </w:tr>
      <w:tr>
        <w:trPr>
          <w:trHeight w:val="236"/>
        </w:trPr>
        <w:tc>
          <w:tcPr>
            <w:tcW w:w="550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(Loss)/earnings per share</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(0.39)</w:t>
            </w:r>
          </w:p>
        </w:tc>
        <w:tc>
          <w:tcPr>
            <w:tcW w:w="200" w:type="dxa"/>
            <w:vAlign w:val="bottom"/>
            <w:tcBorders>
              <w:bottom w:val="single" w:sz="8" w:color="E5FFFF"/>
            </w:tcBorders>
          </w:tcPr>
          <w:p>
            <w:pPr>
              <w:spacing w:after="0"/>
              <w:rPr>
                <w:sz w:val="20"/>
                <w:szCs w:val="20"/>
                <w:color w:val="auto"/>
              </w:rPr>
            </w:pPr>
          </w:p>
        </w:tc>
        <w:tc>
          <w:tcPr>
            <w:tcW w:w="4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0.03</w:t>
            </w:r>
          </w:p>
        </w:tc>
        <w:tc>
          <w:tcPr>
            <w:tcW w:w="20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(0.75)</w:t>
            </w:r>
          </w:p>
        </w:tc>
        <w:tc>
          <w:tcPr>
            <w:tcW w:w="200" w:type="dxa"/>
            <w:vAlign w:val="bottom"/>
            <w:tcBorders>
              <w:bottom w:val="single" w:sz="8" w:color="E5FFFF"/>
            </w:tcBorders>
          </w:tcPr>
          <w:p>
            <w:pPr>
              <w:spacing w:after="0"/>
              <w:rPr>
                <w:sz w:val="20"/>
                <w:szCs w:val="20"/>
                <w:color w:val="auto"/>
              </w:rPr>
            </w:pPr>
          </w:p>
        </w:tc>
        <w:tc>
          <w:tcPr>
            <w:tcW w:w="40" w:type="dxa"/>
            <w:vAlign w:val="bottom"/>
            <w:tcBorders>
              <w:bottom w:val="single" w:sz="8" w:color="E5FFFF"/>
            </w:tcBorders>
          </w:tcPr>
          <w:p>
            <w:pPr>
              <w:spacing w:after="0"/>
              <w:rPr>
                <w:sz w:val="20"/>
                <w:szCs w:val="20"/>
                <w:color w:val="auto"/>
              </w:rPr>
            </w:pPr>
          </w:p>
        </w:tc>
        <w:tc>
          <w:tcPr>
            <w:tcW w:w="4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(0.01)</w:t>
            </w:r>
          </w:p>
        </w:tc>
        <w:tc>
          <w:tcPr>
            <w:tcW w:w="40" w:type="dxa"/>
            <w:vAlign w:val="bottom"/>
          </w:tcPr>
          <w:p>
            <w:pPr>
              <w:spacing w:after="0"/>
              <w:rPr>
                <w:sz w:val="20"/>
                <w:szCs w:val="20"/>
                <w:color w:val="auto"/>
              </w:rPr>
            </w:pPr>
          </w:p>
        </w:tc>
      </w:tr>
      <w:tr>
        <w:trPr>
          <w:trHeight w:val="146"/>
        </w:trPr>
        <w:tc>
          <w:tcPr>
            <w:tcW w:w="5500" w:type="dxa"/>
            <w:vAlign w:val="bottom"/>
            <w:gridSpan w:val="3"/>
            <w:shd w:val="clear" w:color="auto" w:fill="E5FFFF"/>
          </w:tcPr>
          <w:p>
            <w:pPr>
              <w:spacing w:after="0" w:line="146" w:lineRule="exact"/>
              <w:rPr>
                <w:sz w:val="20"/>
                <w:szCs w:val="20"/>
                <w:color w:val="auto"/>
              </w:rPr>
            </w:pPr>
            <w:r>
              <w:rPr>
                <w:rFonts w:ascii="Arial" w:cs="Arial" w:eastAsia="Arial" w:hAnsi="Arial"/>
                <w:sz w:val="16"/>
                <w:szCs w:val="16"/>
                <w:color w:val="auto"/>
              </w:rPr>
              <w:t>(Loss)/profit for the period available to owners of the Group used in EPS</w:t>
            </w:r>
          </w:p>
        </w:tc>
        <w:tc>
          <w:tcPr>
            <w:tcW w:w="340" w:type="dxa"/>
            <w:vAlign w:val="bottom"/>
            <w:shd w:val="clear" w:color="auto" w:fill="E5FFFF"/>
          </w:tcPr>
          <w:p>
            <w:pPr>
              <w:spacing w:after="0"/>
              <w:rPr>
                <w:sz w:val="12"/>
                <w:szCs w:val="12"/>
                <w:color w:val="auto"/>
              </w:rPr>
            </w:pPr>
          </w:p>
        </w:tc>
        <w:tc>
          <w:tcPr>
            <w:tcW w:w="86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1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r>
      <w:tr>
        <w:trPr>
          <w:trHeight w:val="212"/>
        </w:trPr>
        <w:tc>
          <w:tcPr>
            <w:tcW w:w="5840" w:type="dxa"/>
            <w:vAlign w:val="bottom"/>
            <w:gridSpan w:val="4"/>
            <w:shd w:val="clear" w:color="auto" w:fill="E5FFFF"/>
          </w:tcPr>
          <w:p>
            <w:pPr>
              <w:ind w:left="180"/>
              <w:spacing w:after="0"/>
              <w:rPr>
                <w:sz w:val="20"/>
                <w:szCs w:val="20"/>
                <w:color w:val="auto"/>
              </w:rPr>
            </w:pPr>
            <w:r>
              <w:rPr>
                <w:rFonts w:ascii="Arial" w:cs="Arial" w:eastAsia="Arial" w:hAnsi="Arial"/>
                <w:sz w:val="16"/>
                <w:szCs w:val="16"/>
                <w:color w:val="auto"/>
              </w:rPr>
              <w:t>calculation</w:t>
            </w:r>
          </w:p>
        </w:tc>
        <w:tc>
          <w:tcPr>
            <w:tcW w:w="110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(31,562)</w:t>
            </w:r>
          </w:p>
        </w:tc>
        <w:tc>
          <w:tcPr>
            <w:tcW w:w="40" w:type="dxa"/>
            <w:vAlign w:val="bottom"/>
            <w:shd w:val="clear" w:color="auto" w:fill="E5FFFF"/>
          </w:tcPr>
          <w:p>
            <w:pPr>
              <w:spacing w:after="0"/>
              <w:rPr>
                <w:sz w:val="18"/>
                <w:szCs w:val="18"/>
                <w:color w:val="auto"/>
              </w:rPr>
            </w:pPr>
          </w:p>
        </w:tc>
        <w:tc>
          <w:tcPr>
            <w:tcW w:w="13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2,819</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80" w:type="dxa"/>
            <w:vAlign w:val="bottom"/>
            <w:gridSpan w:val="4"/>
            <w:shd w:val="clear" w:color="auto" w:fill="E5FFFF"/>
          </w:tcPr>
          <w:p>
            <w:pPr>
              <w:jc w:val="right"/>
              <w:ind w:right="59"/>
              <w:spacing w:after="0"/>
              <w:rPr>
                <w:sz w:val="20"/>
                <w:szCs w:val="20"/>
                <w:color w:val="auto"/>
              </w:rPr>
            </w:pPr>
            <w:r>
              <w:rPr>
                <w:rFonts w:ascii="Arial" w:cs="Arial" w:eastAsia="Arial" w:hAnsi="Arial"/>
                <w:sz w:val="16"/>
                <w:szCs w:val="16"/>
                <w:color w:val="auto"/>
              </w:rPr>
              <w:t>(60,355)</w:t>
            </w:r>
          </w:p>
        </w:tc>
        <w:tc>
          <w:tcPr>
            <w:tcW w:w="40" w:type="dxa"/>
            <w:vAlign w:val="bottom"/>
            <w:shd w:val="clear" w:color="auto" w:fill="E5FFFF"/>
          </w:tcPr>
          <w:p>
            <w:pPr>
              <w:spacing w:after="0"/>
              <w:rPr>
                <w:sz w:val="18"/>
                <w:szCs w:val="18"/>
                <w:color w:val="auto"/>
              </w:rPr>
            </w:pPr>
          </w:p>
        </w:tc>
        <w:tc>
          <w:tcPr>
            <w:tcW w:w="140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(976)</w:t>
            </w:r>
          </w:p>
        </w:tc>
        <w:tc>
          <w:tcPr>
            <w:tcW w:w="40" w:type="dxa"/>
            <w:vAlign w:val="bottom"/>
          </w:tcPr>
          <w:p>
            <w:pPr>
              <w:spacing w:after="0"/>
              <w:rPr>
                <w:sz w:val="18"/>
                <w:szCs w:val="18"/>
                <w:color w:val="auto"/>
              </w:rPr>
            </w:pPr>
          </w:p>
        </w:tc>
      </w:tr>
      <w:tr>
        <w:trPr>
          <w:trHeight w:val="203"/>
        </w:trPr>
        <w:tc>
          <w:tcPr>
            <w:tcW w:w="5840" w:type="dxa"/>
            <w:vAlign w:val="bottom"/>
            <w:gridSpan w:val="4"/>
          </w:tcPr>
          <w:p>
            <w:pPr>
              <w:spacing w:after="0"/>
              <w:rPr>
                <w:sz w:val="20"/>
                <w:szCs w:val="20"/>
                <w:color w:val="auto"/>
              </w:rPr>
            </w:pPr>
            <w:r>
              <w:rPr>
                <w:rFonts w:ascii="Arial" w:cs="Arial" w:eastAsia="Arial" w:hAnsi="Arial"/>
                <w:sz w:val="16"/>
                <w:szCs w:val="16"/>
                <w:color w:val="auto"/>
              </w:rPr>
              <w:t>Plus: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Non-cash loss/(gain) on swaps</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17,422</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500" w:type="dxa"/>
            <w:vAlign w:val="bottom"/>
            <w:gridSpan w:val="4"/>
            <w:shd w:val="clear" w:color="auto" w:fill="E5FFFF"/>
          </w:tcPr>
          <w:p>
            <w:pPr>
              <w:jc w:val="right"/>
              <w:ind w:right="119"/>
              <w:spacing w:after="0"/>
              <w:rPr>
                <w:sz w:val="20"/>
                <w:szCs w:val="20"/>
                <w:color w:val="auto"/>
              </w:rPr>
            </w:pPr>
            <w:r>
              <w:rPr>
                <w:rFonts w:ascii="Arial" w:cs="Arial" w:eastAsia="Arial" w:hAnsi="Arial"/>
                <w:sz w:val="16"/>
                <w:szCs w:val="16"/>
                <w:color w:val="auto"/>
              </w:rPr>
              <w:t>(3,206</w:t>
            </w:r>
            <w:r>
              <w:rPr>
                <w:rFonts w:ascii="Arial" w:cs="Arial" w:eastAsia="Arial" w:hAnsi="Arial"/>
                <w:sz w:val="16"/>
                <w:szCs w:val="16"/>
                <w:b w:val="1"/>
                <w:bCs w:val="1"/>
                <w:color w:val="auto"/>
              </w:rPr>
              <w:t>)</w:t>
            </w:r>
          </w:p>
        </w:tc>
        <w:tc>
          <w:tcPr>
            <w:tcW w:w="2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33,207</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2,334</w:t>
            </w:r>
          </w:p>
        </w:tc>
        <w:tc>
          <w:tcPr>
            <w:tcW w:w="40" w:type="dxa"/>
            <w:vAlign w:val="bottom"/>
          </w:tcPr>
          <w:p>
            <w:pPr>
              <w:spacing w:after="0"/>
              <w:rPr>
                <w:sz w:val="17"/>
                <w:szCs w:val="17"/>
                <w:color w:val="auto"/>
              </w:rPr>
            </w:pPr>
          </w:p>
        </w:tc>
      </w:tr>
      <w:tr>
        <w:trPr>
          <w:trHeight w:val="203"/>
        </w:trPr>
        <w:tc>
          <w:tcPr>
            <w:tcW w:w="5840" w:type="dxa"/>
            <w:vAlign w:val="bottom"/>
            <w:gridSpan w:val="4"/>
          </w:tcPr>
          <w:p>
            <w:pPr>
              <w:spacing w:after="0"/>
              <w:rPr>
                <w:sz w:val="20"/>
                <w:szCs w:val="20"/>
                <w:color w:val="auto"/>
              </w:rPr>
            </w:pPr>
            <w:r>
              <w:rPr>
                <w:rFonts w:ascii="Arial" w:cs="Arial" w:eastAsia="Arial" w:hAnsi="Arial"/>
                <w:sz w:val="16"/>
                <w:szCs w:val="16"/>
                <w:color w:val="auto"/>
              </w:rPr>
              <w:t>Write-off of unamortized loan/bond fees and premium</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18,215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23,097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293</w:t>
            </w:r>
          </w:p>
        </w:tc>
        <w:tc>
          <w:tcPr>
            <w:tcW w:w="40" w:type="dxa"/>
            <w:vAlign w:val="bottom"/>
          </w:tcPr>
          <w:p>
            <w:pPr>
              <w:spacing w:after="0"/>
              <w:rPr>
                <w:sz w:val="17"/>
                <w:szCs w:val="17"/>
                <w:color w:val="auto"/>
              </w:rPr>
            </w:pPr>
          </w:p>
        </w:tc>
      </w:tr>
      <w:tr>
        <w:trPr>
          <w:trHeight w:val="203"/>
        </w:trPr>
        <w:tc>
          <w:tcPr>
            <w:tcW w:w="58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Foreign exchange losses, net</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315</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89</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713</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7"/>
                <w:szCs w:val="17"/>
                <w:color w:val="auto"/>
              </w:rPr>
            </w:pPr>
          </w:p>
        </w:tc>
      </w:tr>
      <w:tr>
        <w:trPr>
          <w:trHeight w:val="196"/>
        </w:trPr>
        <w:tc>
          <w:tcPr>
            <w:tcW w:w="550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color w:val="auto"/>
              </w:rPr>
              <w:t>Adjusted profit/(loss) attributable to owners of the Group</w:t>
            </w: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4,390</w:t>
            </w:r>
          </w:p>
        </w:tc>
        <w:tc>
          <w:tcPr>
            <w:tcW w:w="20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(3,338)</w:t>
            </w:r>
          </w:p>
        </w:tc>
        <w:tc>
          <w:tcPr>
            <w:tcW w:w="20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5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3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80,553,238</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80,631,298</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80,528,389</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60" w:type="dxa"/>
            <w:vAlign w:val="bottom"/>
            <w:tcBorders>
              <w:bottom w:val="single" w:sz="8" w:color="auto"/>
            </w:tcBorders>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80,605,848</w:t>
            </w:r>
          </w:p>
        </w:tc>
        <w:tc>
          <w:tcPr>
            <w:tcW w:w="40" w:type="dxa"/>
            <w:vAlign w:val="bottom"/>
          </w:tcPr>
          <w:p>
            <w:pPr>
              <w:spacing w:after="0"/>
              <w:rPr>
                <w:sz w:val="17"/>
                <w:szCs w:val="17"/>
                <w:color w:val="auto"/>
              </w:rPr>
            </w:pPr>
          </w:p>
        </w:tc>
      </w:tr>
      <w:tr>
        <w:trPr>
          <w:trHeight w:val="210"/>
        </w:trPr>
        <w:tc>
          <w:tcPr>
            <w:tcW w:w="5840" w:type="dxa"/>
            <w:vAlign w:val="bottom"/>
            <w:gridSpan w:val="4"/>
          </w:tcPr>
          <w:p>
            <w:pPr>
              <w:spacing w:after="0"/>
              <w:rPr>
                <w:sz w:val="20"/>
                <w:szCs w:val="20"/>
                <w:color w:val="auto"/>
              </w:rPr>
            </w:pPr>
            <w:r>
              <w:rPr>
                <w:rFonts w:ascii="Arial" w:cs="Arial" w:eastAsia="Arial" w:hAnsi="Arial"/>
                <w:sz w:val="16"/>
                <w:szCs w:val="16"/>
                <w:b w:val="1"/>
                <w:bCs w:val="1"/>
                <w:color w:val="auto"/>
              </w:rPr>
              <w:t>Adjusted earnings/(loss) per share</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0.05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(0.04</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0.02</w:t>
            </w:r>
          </w:p>
        </w:tc>
        <w:tc>
          <w:tcPr>
            <w:tcW w:w="4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5840" w:type="dxa"/>
            <w:vAlign w:val="bottom"/>
            <w:gridSpan w:val="4"/>
          </w:tcPr>
          <w:p>
            <w:pPr>
              <w:ind w:left="5640"/>
              <w:spacing w:after="0"/>
              <w:rPr>
                <w:sz w:val="20"/>
                <w:szCs w:val="20"/>
                <w:color w:val="auto"/>
              </w:rPr>
            </w:pPr>
            <w:r>
              <w:rPr>
                <w:rFonts w:ascii="Arial" w:cs="Arial" w:eastAsia="Arial" w:hAnsi="Arial"/>
                <w:sz w:val="14"/>
                <w:szCs w:val="14"/>
                <w:color w:val="auto"/>
              </w:rPr>
              <w:t>15</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right="20"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nine-month periods ended September 30, 2016 and September 30, 2017.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 2017.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40" w:hanging="328"/>
        <w:spacing w:after="0" w:line="266"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5"/>
          <w:szCs w:val="15"/>
          <w:color w:val="auto"/>
        </w:rPr>
        <w:t>general liquefied natural gas (“LNG”) shipping market conditions and trends, including spot and long-term charter rates, ship values, factors affecting supply and demand of LNG and LNG shipping and technological advancements and opportunities for the profitable operation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42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60" w:right="16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 or operating expenses;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number of off-hire days, dry-docking requirements and insurance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currencies and interest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6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maximize the use of our ships, including the re-employment or disposal of ships not under time charter commitments, including the risk that our vessels may no longer have the latest technology at such time;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620" w:hanging="328"/>
        <w:spacing w:after="0" w:line="25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91"/>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liability from future litigation;</w:t>
      </w:r>
    </w:p>
    <w:p>
      <w:pPr>
        <w:spacing w:after="0" w:line="9" w:lineRule="exact"/>
        <w:rPr>
          <w:rFonts w:ascii="Arial" w:cs="Arial" w:eastAsia="Arial" w:hAnsi="Arial"/>
          <w:sz w:val="18"/>
          <w:szCs w:val="18"/>
          <w:color w:val="auto"/>
        </w:rPr>
      </w:pPr>
    </w:p>
    <w:p>
      <w:pPr>
        <w:ind w:left="620" w:hanging="29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Company’s Annual Report on Form 20-F filed with the SEC on March 1, 2017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10"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6" w:lineRule="exact"/>
        <w:rPr>
          <w:sz w:val="20"/>
          <w:szCs w:val="20"/>
          <w:color w:val="auto"/>
        </w:rPr>
      </w:pPr>
    </w:p>
    <w:p>
      <w:pPr>
        <w:jc w:val="both"/>
        <w:ind w:right="740" w:firstLine="356"/>
        <w:spacing w:after="0" w:line="369" w:lineRule="auto"/>
        <w:rPr>
          <w:sz w:val="20"/>
          <w:szCs w:val="20"/>
          <w:color w:val="auto"/>
        </w:rPr>
      </w:pPr>
      <w:r>
        <w:rPr>
          <w:rFonts w:ascii="Arial" w:cs="Arial" w:eastAsia="Arial" w:hAnsi="Arial"/>
          <w:sz w:val="14"/>
          <w:szCs w:val="14"/>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20" w:firstLine="356"/>
        <w:spacing w:after="0" w:line="288" w:lineRule="auto"/>
        <w:rPr>
          <w:sz w:val="20"/>
          <w:szCs w:val="20"/>
          <w:color w:val="auto"/>
        </w:rPr>
      </w:pPr>
      <w:r>
        <w:rPr>
          <w:rFonts w:ascii="Arial" w:cs="Arial" w:eastAsia="Arial" w:hAnsi="Arial"/>
          <w:sz w:val="15"/>
          <w:szCs w:val="15"/>
          <w:color w:val="auto"/>
        </w:rPr>
        <w:t>We are an international owner, operator and manager of LNG carriers. Our wholly owned fleet as of November 2, 2017 consists of 15 LNG carriers, including ten ships in operation, three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twelve LNG carriers. In addition, GasLog has leased back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23 LNG carriers including ten of our wholly owned ships in operation, eleven of the ships contributed or sold to the Partnership (one is managed by a subsidiary of Royal Dutch Shell plc (“Shell”)), the bareboat vessel and one additional LNG carrier in which we have a 25% interest. We are also supervising the construction of our newbuildings.</w:t>
      </w:r>
    </w:p>
    <w:p>
      <w:pPr>
        <w:sectPr>
          <w:pgSz w:w="11900" w:h="16838" w:orient="portrait"/>
          <w:cols w:equalWidth="0" w:num="1">
            <w:col w:w="11420"/>
          </w:cols>
          <w:pgMar w:left="240" w:top="126" w:right="239" w:bottom="132" w:gutter="0" w:footer="0" w:header="0"/>
        </w:sectPr>
      </w:pPr>
    </w:p>
    <w:bookmarkStart w:id="11" w:name="page12"/>
    <w:bookmarkEnd w:id="11"/>
    <w:p>
      <w:pPr>
        <w:ind w:right="60" w:firstLine="383"/>
        <w:spacing w:after="0" w:line="267" w:lineRule="auto"/>
        <w:rPr>
          <w:sz w:val="20"/>
          <w:szCs w:val="20"/>
          <w:color w:val="auto"/>
        </w:rPr>
      </w:pPr>
      <w:r>
        <w:rPr>
          <w:rFonts w:ascii="Arial" w:cs="Arial" w:eastAsia="Arial" w:hAnsi="Arial"/>
          <w:sz w:val="16"/>
          <w:szCs w:val="16"/>
          <w:color w:val="auto"/>
        </w:rPr>
        <w:t>We have secured multi-year time charter contracts for five of our operating ships, the twelve ships owned by the Partnership, the bareboat vessel and our five newbuildings on order. As of September 30, 2017, these contracts are expected to provide total contracted revenue of approximately $3.2 billion during their initial terms which expire between 2018 and 2029. Contracted revenue calculations assume: (a) 365 revenue days per annum, with 30 off-hire days when the ship undergoes scheduled dry-docking, (b) all LNG carriers on order are delivered on schedule, and (c) no exercise of any option to extend the term of charters. Five of our ships are currently operating in the spot/short-term market. GasLog has entered into a pool agreement (the “Pool Agreement”) with Dynagas Ltd. (“Dynagas”) and Golar LNG Ltd. (“Golar”) establishing The Cool Pool Limited (the “Cool Pool”) to market our and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w:t>
      </w:r>
    </w:p>
    <w:p>
      <w:pPr>
        <w:spacing w:after="0" w:line="19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 xml:space="preserve">We also have a 25% interest in an additional ship,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72" w:lineRule="exact"/>
        <w:rPr>
          <w:sz w:val="20"/>
          <w:szCs w:val="20"/>
          <w:color w:val="auto"/>
        </w:rPr>
      </w:pPr>
    </w:p>
    <w:p>
      <w:pPr>
        <w:ind w:right="2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Completion of Dropdown of the </w:t>
      </w:r>
      <w:r>
        <w:rPr>
          <w:rFonts w:ascii="Arial" w:cs="Arial" w:eastAsia="Arial" w:hAnsi="Arial"/>
          <w:sz w:val="16"/>
          <w:szCs w:val="16"/>
          <w:b w:val="1"/>
          <w:bCs w:val="1"/>
          <w:i w:val="1"/>
          <w:iCs w:val="1"/>
          <w:u w:val="single" w:color="auto"/>
          <w:color w:val="auto"/>
        </w:rPr>
        <w:t>GasLog Geneva</w:t>
      </w:r>
    </w:p>
    <w:p>
      <w:pPr>
        <w:spacing w:after="0" w:line="239" w:lineRule="exact"/>
        <w:rPr>
          <w:sz w:val="20"/>
          <w:szCs w:val="20"/>
          <w:color w:val="auto"/>
        </w:rPr>
      </w:pPr>
    </w:p>
    <w:p>
      <w:pPr>
        <w:ind w:right="140" w:firstLine="383"/>
        <w:spacing w:after="0" w:line="329" w:lineRule="auto"/>
        <w:rPr>
          <w:sz w:val="20"/>
          <w:szCs w:val="20"/>
          <w:color w:val="auto"/>
        </w:rPr>
      </w:pPr>
      <w:r>
        <w:rPr>
          <w:rFonts w:ascii="Arial" w:cs="Arial" w:eastAsia="Arial" w:hAnsi="Arial"/>
          <w:sz w:val="15"/>
          <w:szCs w:val="15"/>
          <w:color w:val="auto"/>
        </w:rPr>
        <w:t xml:space="preserve">On July 3, 2017, GasLog closed the dropdown to GasLog Partners of 100% of the ownership interest in GAS-thirteen Ltd., the entity that owns the </w:t>
      </w:r>
      <w:r>
        <w:rPr>
          <w:rFonts w:ascii="Arial" w:cs="Arial" w:eastAsia="Arial" w:hAnsi="Arial"/>
          <w:sz w:val="15"/>
          <w:szCs w:val="15"/>
          <w:i w:val="1"/>
          <w:iCs w:val="1"/>
          <w:color w:val="auto"/>
        </w:rPr>
        <w:t>GasLog Geneva</w:t>
      </w:r>
      <w:r>
        <w:rPr>
          <w:rFonts w:ascii="Arial" w:cs="Arial" w:eastAsia="Arial" w:hAnsi="Arial"/>
          <w:sz w:val="15"/>
          <w:szCs w:val="15"/>
          <w:color w:val="auto"/>
        </w:rPr>
        <w:t>, for an aggregate purchase price of $211.0 million, which includes $1.0 million for positive net working capital balances transferred with the vessel.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Announcement and Post-Quarter-End Closing of Dropdown of the </w:t>
      </w:r>
      <w:r>
        <w:rPr>
          <w:rFonts w:ascii="Arial" w:cs="Arial" w:eastAsia="Arial" w:hAnsi="Arial"/>
          <w:sz w:val="16"/>
          <w:szCs w:val="16"/>
          <w:b w:val="1"/>
          <w:bCs w:val="1"/>
          <w:i w:val="1"/>
          <w:iCs w:val="1"/>
          <w:u w:val="single" w:color="auto"/>
          <w:color w:val="auto"/>
        </w:rPr>
        <w:t>Solaris</w:t>
      </w:r>
    </w:p>
    <w:p>
      <w:pPr>
        <w:spacing w:after="0" w:line="239" w:lineRule="exact"/>
        <w:rPr>
          <w:sz w:val="20"/>
          <w:szCs w:val="20"/>
          <w:color w:val="auto"/>
        </w:rPr>
      </w:pPr>
    </w:p>
    <w:p>
      <w:pPr>
        <w:jc w:val="both"/>
        <w:ind w:right="40" w:firstLine="383"/>
        <w:spacing w:after="0" w:line="278" w:lineRule="auto"/>
        <w:rPr>
          <w:sz w:val="20"/>
          <w:szCs w:val="20"/>
          <w:color w:val="auto"/>
        </w:rPr>
      </w:pPr>
      <w:r>
        <w:rPr>
          <w:rFonts w:ascii="Arial" w:cs="Arial" w:eastAsia="Arial" w:hAnsi="Arial"/>
          <w:sz w:val="16"/>
          <w:szCs w:val="16"/>
          <w:color w:val="auto"/>
        </w:rPr>
        <w:t xml:space="preserve">On September 19, 2017, GasLog entered into a share purchase agreement for the dropdown to GasLog Partners of 100% of the ownership interest in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for an aggregate purchase price of $185.9 million, which includes $1.0 million for positive net working capital balances transferred with the entity. The acquisition closed on October 20, 2017.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At-The-Market Common Equity Offering Programme (“ATM Programme”)</w:t>
      </w:r>
    </w:p>
    <w:p>
      <w:pPr>
        <w:spacing w:after="0" w:line="239" w:lineRule="exact"/>
        <w:rPr>
          <w:sz w:val="20"/>
          <w:szCs w:val="20"/>
          <w:color w:val="auto"/>
        </w:rPr>
      </w:pPr>
    </w:p>
    <w:p>
      <w:pPr>
        <w:ind w:right="20" w:firstLine="383"/>
        <w:spacing w:after="0" w:line="273"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w:t>
      </w:r>
    </w:p>
    <w:p>
      <w:pPr>
        <w:spacing w:after="0" w:line="189" w:lineRule="exact"/>
        <w:rPr>
          <w:sz w:val="20"/>
          <w:szCs w:val="20"/>
          <w:color w:val="auto"/>
        </w:rPr>
      </w:pPr>
    </w:p>
    <w:p>
      <w:pPr>
        <w:jc w:val="both"/>
        <w:ind w:right="200" w:firstLine="383"/>
        <w:spacing w:after="0" w:line="278" w:lineRule="auto"/>
        <w:rPr>
          <w:sz w:val="20"/>
          <w:szCs w:val="20"/>
          <w:color w:val="auto"/>
        </w:rPr>
      </w:pPr>
      <w:r>
        <w:rPr>
          <w:rFonts w:ascii="Arial" w:cs="Arial" w:eastAsia="Arial" w:hAnsi="Arial"/>
          <w:sz w:val="16"/>
          <w:szCs w:val="16"/>
          <w:color w:val="auto"/>
        </w:rPr>
        <w:t>From establishment of the ATM Programme through September 30, 2017, GasLog Partners had issued and received payment for 2,351,885 units at a weighted average price of $22.91 per common unit for total gross proceeds of $53.9 million and net proceeds of $52.7 million, after broker commissions of $0.7 million and other expenses of $0.4 million.</w:t>
      </w:r>
    </w:p>
    <w:p>
      <w:pPr>
        <w:spacing w:after="0" w:line="184" w:lineRule="exact"/>
        <w:rPr>
          <w:sz w:val="20"/>
          <w:szCs w:val="20"/>
          <w:color w:val="auto"/>
        </w:rPr>
      </w:pPr>
    </w:p>
    <w:p>
      <w:pPr>
        <w:ind w:right="140" w:firstLine="383"/>
        <w:spacing w:after="0" w:line="329" w:lineRule="auto"/>
        <w:rPr>
          <w:sz w:val="20"/>
          <w:szCs w:val="20"/>
          <w:color w:val="auto"/>
        </w:rPr>
      </w:pPr>
      <w:r>
        <w:rPr>
          <w:rFonts w:ascii="Arial" w:cs="Arial" w:eastAsia="Arial" w:hAnsi="Arial"/>
          <w:sz w:val="15"/>
          <w:szCs w:val="15"/>
          <w:color w:val="auto"/>
        </w:rPr>
        <w:t>During the third quarter of 2017 GasLog Partners had issued and received payment for 1,941,008 common units at a weighted average price of $22.96 per common unit for total gross proceeds of $44.6 million and net proceeds of $43.9 million, after broker commissions of $0.6 million and other expenses of $0.1 million.</w:t>
      </w:r>
    </w:p>
    <w:p>
      <w:pPr>
        <w:spacing w:after="0" w:line="148" w:lineRule="exact"/>
        <w:rPr>
          <w:sz w:val="20"/>
          <w:szCs w:val="20"/>
          <w:color w:val="auto"/>
        </w:rPr>
      </w:pPr>
    </w:p>
    <w:p>
      <w:pPr>
        <w:ind w:right="160" w:firstLine="383"/>
        <w:spacing w:after="0" w:line="278" w:lineRule="auto"/>
        <w:rPr>
          <w:sz w:val="20"/>
          <w:szCs w:val="20"/>
          <w:color w:val="auto"/>
        </w:rPr>
      </w:pPr>
      <w:r>
        <w:rPr>
          <w:rFonts w:ascii="Arial" w:cs="Arial" w:eastAsia="Arial" w:hAnsi="Arial"/>
          <w:sz w:val="16"/>
          <w:szCs w:val="16"/>
          <w:color w:val="auto"/>
        </w:rPr>
        <w:t>In the period from October 1, 2017 through October 3, 2017, GasLog Partners issued and received payment for an additional 130,220 common units at a weighted average price of $23.26 per unit for gross proceeds of $3.03 million and net proceeds of $2.99 million, after broker commissions of $0.04 million. The issuance of these units fulfilled contractual commitments entered into on or before September 30, 2017.</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Financing Transactions</w:t>
      </w:r>
    </w:p>
    <w:p>
      <w:pPr>
        <w:spacing w:after="0" w:line="239" w:lineRule="exact"/>
        <w:rPr>
          <w:sz w:val="20"/>
          <w:szCs w:val="20"/>
          <w:color w:val="auto"/>
        </w:rPr>
      </w:pPr>
    </w:p>
    <w:p>
      <w:pPr>
        <w:ind w:right="360" w:firstLine="383"/>
        <w:spacing w:after="0" w:line="293" w:lineRule="auto"/>
        <w:rPr>
          <w:sz w:val="20"/>
          <w:szCs w:val="20"/>
          <w:color w:val="auto"/>
        </w:rPr>
      </w:pPr>
      <w:r>
        <w:rPr>
          <w:rFonts w:ascii="Arial" w:cs="Arial" w:eastAsia="Arial" w:hAnsi="Arial"/>
          <w:sz w:val="16"/>
          <w:szCs w:val="16"/>
          <w:color w:val="auto"/>
        </w:rPr>
        <w:t>On July 3, 2017, GasLog repaid $41.6 million of the revolving credit facility of the credit agreement of up to $1.1 billion entered into on July 19, 2016 (the “Legacy Facility Refinancing”).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Chief Operating Officer Appointment</w:t>
      </w:r>
    </w:p>
    <w:p>
      <w:pPr>
        <w:spacing w:after="0" w:line="239" w:lineRule="exact"/>
        <w:rPr>
          <w:sz w:val="20"/>
          <w:szCs w:val="20"/>
          <w:color w:val="auto"/>
        </w:rPr>
      </w:pPr>
    </w:p>
    <w:p>
      <w:pPr>
        <w:ind w:right="360" w:firstLine="383"/>
        <w:spacing w:after="0" w:line="293" w:lineRule="auto"/>
        <w:rPr>
          <w:sz w:val="20"/>
          <w:szCs w:val="20"/>
          <w:color w:val="auto"/>
        </w:rPr>
      </w:pPr>
      <w:r>
        <w:rPr>
          <w:rFonts w:ascii="Arial" w:cs="Arial" w:eastAsia="Arial" w:hAnsi="Arial"/>
          <w:sz w:val="16"/>
          <w:szCs w:val="16"/>
          <w:color w:val="auto"/>
        </w:rPr>
        <w:t>Following Graham Westgarth’s retirement from his position as Chief Operating Officer (“COO”), GasLog and GasLog Partners announced on August 21, 2017, that Richard Sadler was appointed as COO with effect from September 20, 2017.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25" w:lineRule="exact"/>
        <w:rPr>
          <w:sz w:val="20"/>
          <w:szCs w:val="20"/>
          <w:color w:val="auto"/>
        </w:rPr>
      </w:pPr>
    </w:p>
    <w:p>
      <w:pPr>
        <w:ind w:right="260" w:firstLine="383"/>
        <w:spacing w:after="0" w:line="329" w:lineRule="auto"/>
        <w:rPr>
          <w:sz w:val="20"/>
          <w:szCs w:val="20"/>
          <w:color w:val="auto"/>
        </w:rPr>
      </w:pPr>
      <w:r>
        <w:rPr>
          <w:rFonts w:ascii="Arial" w:cs="Arial" w:eastAsia="Arial" w:hAnsi="Arial"/>
          <w:sz w:val="15"/>
          <w:szCs w:val="15"/>
          <w:color w:val="auto"/>
        </w:rPr>
        <w:t>On September 14, 2017, the board of directors declared a dividend on the Series A Preference Shares of $0.546875 per share, or $2.5 million in aggregate, payable on October 2, 2017 to holders of record as of September 29, 2017. GasLog paid the declared dividend to the transfer agent on September 29, 2017.</w:t>
      </w:r>
    </w:p>
    <w:p>
      <w:pPr>
        <w:spacing w:after="0" w:line="135" w:lineRule="exact"/>
        <w:rPr>
          <w:sz w:val="20"/>
          <w:szCs w:val="20"/>
          <w:color w:val="auto"/>
        </w:rPr>
      </w:pPr>
    </w:p>
    <w:p>
      <w:pPr>
        <w:ind w:right="300" w:firstLine="383"/>
        <w:spacing w:after="0" w:line="293" w:lineRule="auto"/>
        <w:rPr>
          <w:sz w:val="20"/>
          <w:szCs w:val="20"/>
          <w:color w:val="auto"/>
        </w:rPr>
      </w:pPr>
      <w:r>
        <w:rPr>
          <w:rFonts w:ascii="Arial" w:cs="Arial" w:eastAsia="Arial" w:hAnsi="Arial"/>
          <w:sz w:val="16"/>
          <w:szCs w:val="16"/>
          <w:color w:val="auto"/>
        </w:rPr>
        <w:t>On November 1, 2017, the board of directors declared a quarterly cash dividend of $0.14 per common share, or $11.3 million in aggregate, payable on November 22, 2017 to shareholders of record as of November 13, 2017.</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2017, our wholly owned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Optional</w:t>
            </w:r>
          </w:p>
        </w:tc>
      </w:tr>
      <w:tr>
        <w:trPr>
          <w:trHeight w:val="216"/>
        </w:trPr>
        <w:tc>
          <w:tcPr>
            <w:tcW w:w="320" w:type="dxa"/>
            <w:vAlign w:val="bottom"/>
          </w:tcPr>
          <w:p>
            <w:pPr>
              <w:spacing w:after="0"/>
              <w:rPr>
                <w:sz w:val="18"/>
                <w:szCs w:val="18"/>
                <w:color w:val="auto"/>
              </w:rPr>
            </w:pPr>
          </w:p>
        </w:tc>
        <w:tc>
          <w:tcPr>
            <w:tcW w:w="2840" w:type="dxa"/>
            <w:vAlign w:val="bottom"/>
            <w:gridSpan w:val="2"/>
          </w:tcPr>
          <w:p>
            <w:pPr>
              <w:ind w:left="78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Period</w:t>
            </w:r>
            <w:r>
              <w:rPr>
                <w:rFonts w:ascii="Arial" w:cs="Arial" w:eastAsia="Arial" w:hAnsi="Arial"/>
                <w:sz w:val="21"/>
                <w:szCs w:val="21"/>
                <w:b w:val="1"/>
                <w:bCs w:val="1"/>
                <w:color w:val="auto"/>
                <w:w w:val="86"/>
                <w:vertAlign w:val="superscript"/>
              </w:rPr>
              <w:t>(2)</w:t>
            </w:r>
          </w:p>
        </w:tc>
      </w:tr>
      <w:tr>
        <w:trPr>
          <w:trHeight w:val="196"/>
        </w:trPr>
        <w:tc>
          <w:tcPr>
            <w:tcW w:w="320" w:type="dxa"/>
            <w:vAlign w:val="bottom"/>
            <w:tcBorders>
              <w:top w:val="single" w:sz="8" w:color="auto"/>
            </w:tcBorders>
            <w:shd w:val="clear" w:color="auto" w:fill="E5FFFF"/>
          </w:tcPr>
          <w:p>
            <w:pPr>
              <w:jc w:val="right"/>
              <w:ind w:right="164"/>
              <w:spacing w:after="0"/>
              <w:rPr>
                <w:sz w:val="20"/>
                <w:szCs w:val="20"/>
                <w:color w:val="auto"/>
              </w:rPr>
            </w:pPr>
            <w:r>
              <w:rPr>
                <w:rFonts w:ascii="Arial" w:cs="Arial" w:eastAsia="Arial" w:hAnsi="Arial"/>
                <w:sz w:val="15"/>
                <w:szCs w:val="15"/>
                <w:b w:val="1"/>
                <w:bCs w:val="1"/>
                <w:color w:val="auto"/>
                <w:w w:val="71"/>
              </w:rPr>
              <w:t>1</w:t>
            </w:r>
          </w:p>
        </w:tc>
        <w:tc>
          <w:tcPr>
            <w:tcW w:w="2720" w:type="dxa"/>
            <w:vAlign w:val="bottom"/>
            <w:tcBorders>
              <w:top w:val="single" w:sz="8" w:color="auto"/>
            </w:tcBorders>
            <w:shd w:val="clear" w:color="auto" w:fill="E5FFFF"/>
          </w:tcPr>
          <w:p>
            <w:pPr>
              <w:ind w:left="220"/>
              <w:spacing w:after="0"/>
              <w:rPr>
                <w:sz w:val="20"/>
                <w:szCs w:val="20"/>
                <w:color w:val="auto"/>
              </w:rPr>
            </w:pPr>
            <w:r>
              <w:rPr>
                <w:rFonts w:ascii="Arial" w:cs="Arial" w:eastAsia="Arial" w:hAnsi="Arial"/>
                <w:sz w:val="16"/>
                <w:szCs w:val="16"/>
                <w:i w:val="1"/>
                <w:iCs w:val="1"/>
                <w:color w:val="auto"/>
              </w:rPr>
              <w:t>GasLog Savannah</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ind w:left="260"/>
              <w:spacing w:after="0"/>
              <w:rPr>
                <w:sz w:val="20"/>
                <w:szCs w:val="20"/>
                <w:color w:val="auto"/>
              </w:rPr>
            </w:pPr>
            <w:r>
              <w:rPr>
                <w:rFonts w:ascii="Arial" w:cs="Arial" w:eastAsia="Arial" w:hAnsi="Arial"/>
                <w:sz w:val="16"/>
                <w:szCs w:val="16"/>
                <w:color w:val="auto"/>
              </w:rPr>
              <w:t>2010</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7"/>
              </w:rPr>
              <w:t>N/A</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N/A</w:t>
            </w:r>
          </w:p>
        </w:tc>
      </w:tr>
    </w:tbl>
    <w:p>
      <w:pPr>
        <w:sectPr>
          <w:pgSz w:w="11900" w:h="16838" w:orient="portrait"/>
          <w:cols w:equalWidth="0" w:num="1">
            <w:col w:w="11420"/>
          </w:cols>
          <w:pgMar w:left="240" w:top="130"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2360" w:type="dxa"/>
            <w:vAlign w:val="bottom"/>
          </w:tcPr>
          <w:p>
            <w:pPr>
              <w:ind w:left="180"/>
              <w:spacing w:after="0"/>
              <w:rPr>
                <w:sz w:val="20"/>
                <w:szCs w:val="20"/>
                <w:color w:val="auto"/>
              </w:rPr>
            </w:pPr>
            <w:r>
              <w:rPr>
                <w:rFonts w:ascii="Arial" w:cs="Arial" w:eastAsia="Arial" w:hAnsi="Arial"/>
                <w:sz w:val="16"/>
                <w:szCs w:val="16"/>
                <w:i w:val="1"/>
                <w:iCs w:val="1"/>
                <w:color w:val="auto"/>
              </w:rPr>
              <w:t>GasLog Singapore</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2010</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155,000</w:t>
            </w: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60" w:type="dxa"/>
            <w:vAlign w:val="bottom"/>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420" w:type="dxa"/>
            <w:vAlign w:val="bottom"/>
          </w:tcPr>
          <w:p>
            <w:pPr>
              <w:ind w:left="620"/>
              <w:spacing w:after="0"/>
              <w:rPr>
                <w:sz w:val="20"/>
                <w:szCs w:val="20"/>
                <w:color w:val="auto"/>
              </w:rPr>
            </w:pPr>
            <w:r>
              <w:rPr>
                <w:rFonts w:ascii="Arial" w:cs="Arial" w:eastAsia="Arial" w:hAnsi="Arial"/>
                <w:sz w:val="16"/>
                <w:szCs w:val="16"/>
                <w:color w:val="auto"/>
              </w:rPr>
              <w:t>N/A</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360" w:type="dxa"/>
            <w:vAlign w:val="bottom"/>
            <w:shd w:val="clear" w:color="auto" w:fill="E5FFFF"/>
          </w:tcPr>
          <w:p>
            <w:pPr>
              <w:ind w:left="180"/>
              <w:spacing w:after="0"/>
              <w:rPr>
                <w:sz w:val="20"/>
                <w:szCs w:val="20"/>
                <w:color w:val="auto"/>
              </w:rPr>
            </w:pPr>
            <w:r>
              <w:rPr>
                <w:rFonts w:ascii="Arial" w:cs="Arial" w:eastAsia="Arial" w:hAnsi="Arial"/>
                <w:sz w:val="16"/>
                <w:szCs w:val="16"/>
                <w:i w:val="1"/>
                <w:iCs w:val="1"/>
                <w:color w:val="auto"/>
              </w:rPr>
              <w:t>GasLog Skagen</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2013</w:t>
            </w:r>
          </w:p>
        </w:tc>
        <w:tc>
          <w:tcPr>
            <w:tcW w:w="118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155,000</w:t>
            </w:r>
          </w:p>
        </w:tc>
        <w:tc>
          <w:tcPr>
            <w:tcW w:w="1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shd w:val="clear" w:color="auto" w:fill="E5FFFF"/>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August 2019</w:t>
            </w:r>
            <w:r>
              <w:rPr>
                <w:rFonts w:ascii="Arial" w:cs="Arial" w:eastAsia="Arial" w:hAnsi="Arial"/>
                <w:sz w:val="21"/>
                <w:szCs w:val="21"/>
                <w:color w:val="auto"/>
                <w:w w:val="87"/>
                <w:vertAlign w:val="superscript"/>
              </w:rPr>
              <w:t>(4)</w:t>
            </w:r>
          </w:p>
        </w:tc>
        <w:tc>
          <w:tcPr>
            <w:tcW w:w="1420" w:type="dxa"/>
            <w:vAlign w:val="bottom"/>
            <w:shd w:val="clear" w:color="auto" w:fill="E5FFFF"/>
          </w:tcPr>
          <w:p>
            <w:pPr>
              <w:ind w:left="620"/>
              <w:spacing w:after="0"/>
              <w:rPr>
                <w:sz w:val="20"/>
                <w:szCs w:val="20"/>
                <w:color w:val="auto"/>
              </w:rPr>
            </w:pPr>
            <w:r>
              <w:rPr>
                <w:rFonts w:ascii="Arial" w:cs="Arial" w:eastAsia="Arial" w:hAnsi="Arial"/>
                <w:sz w:val="16"/>
                <w:szCs w:val="16"/>
                <w:color w:val="auto"/>
              </w:rPr>
              <w:t>N/A</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2360" w:type="dxa"/>
            <w:vAlign w:val="bottom"/>
          </w:tcPr>
          <w:p>
            <w:pPr>
              <w:ind w:left="180"/>
              <w:spacing w:after="0"/>
              <w:rPr>
                <w:sz w:val="20"/>
                <w:szCs w:val="20"/>
                <w:color w:val="auto"/>
              </w:rPr>
            </w:pPr>
            <w:r>
              <w:rPr>
                <w:rFonts w:ascii="Arial" w:cs="Arial" w:eastAsia="Arial" w:hAnsi="Arial"/>
                <w:sz w:val="16"/>
                <w:szCs w:val="16"/>
                <w:i w:val="1"/>
                <w:iCs w:val="1"/>
                <w:color w:val="auto"/>
              </w:rPr>
              <w:t>GasLog Chelsea</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2010</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153,600</w:t>
            </w:r>
          </w:p>
        </w:tc>
        <w:tc>
          <w:tcPr>
            <w:tcW w:w="1680" w:type="dxa"/>
            <w:vAlign w:val="bottom"/>
          </w:tcPr>
          <w:p>
            <w:pPr>
              <w:jc w:val="center"/>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60" w:type="dxa"/>
            <w:vAlign w:val="bottom"/>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420" w:type="dxa"/>
            <w:vAlign w:val="bottom"/>
          </w:tcPr>
          <w:p>
            <w:pPr>
              <w:ind w:left="620"/>
              <w:spacing w:after="0"/>
              <w:rPr>
                <w:sz w:val="20"/>
                <w:szCs w:val="20"/>
                <w:color w:val="auto"/>
              </w:rPr>
            </w:pPr>
            <w:r>
              <w:rPr>
                <w:rFonts w:ascii="Arial" w:cs="Arial" w:eastAsia="Arial" w:hAnsi="Arial"/>
                <w:sz w:val="16"/>
                <w:szCs w:val="16"/>
                <w:color w:val="auto"/>
              </w:rPr>
              <w:t>N/A</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360" w:type="dxa"/>
            <w:vAlign w:val="bottom"/>
            <w:shd w:val="clear" w:color="auto" w:fill="E5FFFF"/>
          </w:tcPr>
          <w:p>
            <w:pPr>
              <w:ind w:left="180"/>
              <w:spacing w:after="0" w:line="203" w:lineRule="exact"/>
              <w:rPr>
                <w:sz w:val="20"/>
                <w:szCs w:val="20"/>
                <w:color w:val="auto"/>
              </w:rPr>
            </w:pPr>
            <w:r>
              <w:rPr>
                <w:rFonts w:ascii="Arial" w:cs="Arial" w:eastAsia="Arial" w:hAnsi="Arial"/>
                <w:sz w:val="16"/>
                <w:szCs w:val="16"/>
                <w:i w:val="1"/>
                <w:iCs w:val="1"/>
                <w:color w:val="auto"/>
              </w:rPr>
              <w:t>Solaris</w:t>
            </w:r>
            <w:r>
              <w:rPr>
                <w:rFonts w:ascii="Arial" w:cs="Arial" w:eastAsia="Arial" w:hAnsi="Arial"/>
                <w:sz w:val="21"/>
                <w:szCs w:val="21"/>
                <w:color w:val="auto"/>
                <w:vertAlign w:val="superscript"/>
              </w:rPr>
              <w:t>(5)</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2014</w:t>
            </w:r>
          </w:p>
        </w:tc>
        <w:tc>
          <w:tcPr>
            <w:tcW w:w="118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155,000</w:t>
            </w:r>
          </w:p>
        </w:tc>
        <w:tc>
          <w:tcPr>
            <w:tcW w:w="1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shd w:val="clear" w:color="auto" w:fill="E5FFFF"/>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2021</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91"/>
              </w:rPr>
              <w:t>2026-2031</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360" w:type="dxa"/>
            <w:vAlign w:val="bottom"/>
          </w:tcPr>
          <w:p>
            <w:pPr>
              <w:ind w:left="180"/>
              <w:spacing w:after="0"/>
              <w:rPr>
                <w:sz w:val="20"/>
                <w:szCs w:val="20"/>
                <w:color w:val="auto"/>
              </w:rPr>
            </w:pPr>
            <w:r>
              <w:rPr>
                <w:rFonts w:ascii="Arial" w:cs="Arial" w:eastAsia="Arial" w:hAnsi="Arial"/>
                <w:sz w:val="16"/>
                <w:szCs w:val="16"/>
                <w:i w:val="1"/>
                <w:iCs w:val="1"/>
                <w:color w:val="auto"/>
              </w:rPr>
              <w:t>GasLog Saratoga</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2014</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155,000</w:t>
            </w:r>
          </w:p>
        </w:tc>
        <w:tc>
          <w:tcPr>
            <w:tcW w:w="1680" w:type="dxa"/>
            <w:vAlign w:val="bottom"/>
          </w:tcPr>
          <w:p>
            <w:pPr>
              <w:jc w:val="center"/>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60" w:type="dxa"/>
            <w:vAlign w:val="bottom"/>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420" w:type="dxa"/>
            <w:vAlign w:val="bottom"/>
          </w:tcPr>
          <w:p>
            <w:pPr>
              <w:ind w:left="620"/>
              <w:spacing w:after="0"/>
              <w:rPr>
                <w:sz w:val="20"/>
                <w:szCs w:val="20"/>
                <w:color w:val="auto"/>
              </w:rPr>
            </w:pPr>
            <w:r>
              <w:rPr>
                <w:rFonts w:ascii="Arial" w:cs="Arial" w:eastAsia="Arial" w:hAnsi="Arial"/>
                <w:sz w:val="16"/>
                <w:szCs w:val="16"/>
                <w:color w:val="auto"/>
              </w:rPr>
              <w:t>N/A</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360" w:type="dxa"/>
            <w:vAlign w:val="bottom"/>
            <w:shd w:val="clear" w:color="auto" w:fill="E5FFFF"/>
          </w:tcPr>
          <w:p>
            <w:pPr>
              <w:ind w:left="180"/>
              <w:spacing w:after="0"/>
              <w:rPr>
                <w:sz w:val="20"/>
                <w:szCs w:val="20"/>
                <w:color w:val="auto"/>
              </w:rPr>
            </w:pPr>
            <w:r>
              <w:rPr>
                <w:rFonts w:ascii="Arial" w:cs="Arial" w:eastAsia="Arial" w:hAnsi="Arial"/>
                <w:sz w:val="16"/>
                <w:szCs w:val="16"/>
                <w:i w:val="1"/>
                <w:iCs w:val="1"/>
                <w:color w:val="auto"/>
              </w:rPr>
              <w:t>Methane Lydon Volney</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2006</w:t>
            </w:r>
          </w:p>
        </w:tc>
        <w:tc>
          <w:tcPr>
            <w:tcW w:w="118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145,000</w:t>
            </w:r>
          </w:p>
        </w:tc>
        <w:tc>
          <w:tcPr>
            <w:tcW w:w="1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shd w:val="clear" w:color="auto" w:fill="E5FFFF"/>
          </w:tcPr>
          <w:p>
            <w:pPr>
              <w:ind w:left="400"/>
              <w:spacing w:after="0"/>
              <w:rPr>
                <w:sz w:val="20"/>
                <w:szCs w:val="20"/>
                <w:color w:val="auto"/>
              </w:rPr>
            </w:pPr>
            <w:r>
              <w:rPr>
                <w:rFonts w:ascii="Arial" w:cs="Arial" w:eastAsia="Arial" w:hAnsi="Arial"/>
                <w:sz w:val="16"/>
                <w:szCs w:val="16"/>
                <w:color w:val="auto"/>
              </w:rPr>
              <w:t>Steam</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October 2020</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91"/>
              </w:rPr>
              <w:t>2023-2025</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360" w:type="dxa"/>
            <w:vAlign w:val="bottom"/>
          </w:tcPr>
          <w:p>
            <w:pPr>
              <w:ind w:left="180"/>
              <w:spacing w:after="0"/>
              <w:rPr>
                <w:sz w:val="20"/>
                <w:szCs w:val="20"/>
                <w:color w:val="auto"/>
              </w:rPr>
            </w:pPr>
            <w:r>
              <w:rPr>
                <w:rFonts w:ascii="Arial" w:cs="Arial" w:eastAsia="Arial" w:hAnsi="Arial"/>
                <w:sz w:val="16"/>
                <w:szCs w:val="16"/>
                <w:i w:val="1"/>
                <w:iCs w:val="1"/>
                <w:color w:val="auto"/>
              </w:rPr>
              <w:t>Methane Becki Anne</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2010</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170,000</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March 2024</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1"/>
              </w:rPr>
              <w:t>2027-2029</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360" w:type="dxa"/>
            <w:vAlign w:val="bottom"/>
            <w:shd w:val="clear" w:color="auto" w:fill="E5FFFF"/>
          </w:tcPr>
          <w:p>
            <w:pPr>
              <w:ind w:left="180"/>
              <w:spacing w:after="0"/>
              <w:rPr>
                <w:sz w:val="20"/>
                <w:szCs w:val="20"/>
                <w:color w:val="auto"/>
              </w:rPr>
            </w:pPr>
            <w:r>
              <w:rPr>
                <w:rFonts w:ascii="Arial" w:cs="Arial" w:eastAsia="Arial" w:hAnsi="Arial"/>
                <w:sz w:val="16"/>
                <w:szCs w:val="16"/>
                <w:i w:val="1"/>
                <w:iCs w:val="1"/>
                <w:color w:val="auto"/>
              </w:rPr>
              <w:t>GasLog Salem</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2015</w:t>
            </w:r>
          </w:p>
        </w:tc>
        <w:tc>
          <w:tcPr>
            <w:tcW w:w="118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155,000</w:t>
            </w:r>
          </w:p>
        </w:tc>
        <w:tc>
          <w:tcPr>
            <w:tcW w:w="168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60" w:type="dxa"/>
            <w:vAlign w:val="bottom"/>
            <w:shd w:val="clear" w:color="auto" w:fill="E5FFFF"/>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7"/>
              </w:rPr>
              <w:t>N/A</w:t>
            </w:r>
          </w:p>
        </w:tc>
        <w:tc>
          <w:tcPr>
            <w:tcW w:w="1420" w:type="dxa"/>
            <w:vAlign w:val="bottom"/>
            <w:shd w:val="clear" w:color="auto" w:fill="E5FFFF"/>
          </w:tcPr>
          <w:p>
            <w:pPr>
              <w:ind w:left="620"/>
              <w:spacing w:after="0"/>
              <w:rPr>
                <w:sz w:val="20"/>
                <w:szCs w:val="20"/>
                <w:color w:val="auto"/>
              </w:rPr>
            </w:pPr>
            <w:r>
              <w:rPr>
                <w:rFonts w:ascii="Arial" w:cs="Arial" w:eastAsia="Arial" w:hAnsi="Arial"/>
                <w:sz w:val="16"/>
                <w:szCs w:val="16"/>
                <w:color w:val="auto"/>
              </w:rPr>
              <w:t>N/A</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360" w:type="dxa"/>
            <w:vAlign w:val="bottom"/>
          </w:tcPr>
          <w:p>
            <w:pPr>
              <w:ind w:left="180"/>
              <w:spacing w:after="0"/>
              <w:rPr>
                <w:sz w:val="20"/>
                <w:szCs w:val="20"/>
                <w:color w:val="auto"/>
              </w:rPr>
            </w:pPr>
            <w:r>
              <w:rPr>
                <w:rFonts w:ascii="Arial" w:cs="Arial" w:eastAsia="Arial" w:hAnsi="Arial"/>
                <w:sz w:val="16"/>
                <w:szCs w:val="16"/>
                <w:i w:val="1"/>
                <w:iCs w:val="1"/>
                <w:color w:val="auto"/>
              </w:rPr>
              <w:t>GasLog Glasgow</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2016</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174,000</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June 2026</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2031</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360" w:type="dxa"/>
            <w:vAlign w:val="bottom"/>
            <w:shd w:val="clear" w:color="auto" w:fill="E5FFFF"/>
          </w:tcPr>
          <w:p>
            <w:pPr>
              <w:ind w:left="180"/>
              <w:spacing w:after="0"/>
              <w:rPr>
                <w:sz w:val="20"/>
                <w:szCs w:val="20"/>
                <w:color w:val="auto"/>
              </w:rPr>
            </w:pPr>
            <w:r>
              <w:rPr>
                <w:rFonts w:ascii="Arial" w:cs="Arial" w:eastAsia="Arial" w:hAnsi="Arial"/>
                <w:sz w:val="16"/>
                <w:szCs w:val="16"/>
                <w:i w:val="1"/>
                <w:iCs w:val="1"/>
                <w:color w:val="auto"/>
              </w:rPr>
              <w:t>GasLog Gibraltar</w:t>
            </w:r>
          </w:p>
        </w:tc>
        <w:tc>
          <w:tcPr>
            <w:tcW w:w="13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2016</w:t>
            </w:r>
          </w:p>
        </w:tc>
        <w:tc>
          <w:tcPr>
            <w:tcW w:w="118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174,000</w:t>
            </w:r>
          </w:p>
        </w:tc>
        <w:tc>
          <w:tcPr>
            <w:tcW w:w="1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60" w:type="dxa"/>
            <w:vAlign w:val="bottom"/>
            <w:shd w:val="clear" w:color="auto" w:fill="E5FFFF"/>
          </w:tcPr>
          <w:p>
            <w:pPr>
              <w:ind w:left="400"/>
              <w:spacing w:after="0"/>
              <w:rPr>
                <w:sz w:val="20"/>
                <w:szCs w:val="20"/>
                <w:color w:val="auto"/>
              </w:rPr>
            </w:pPr>
            <w:r>
              <w:rPr>
                <w:rFonts w:ascii="Arial" w:cs="Arial" w:eastAsia="Arial" w:hAnsi="Arial"/>
                <w:sz w:val="16"/>
                <w:szCs w:val="16"/>
                <w:color w:val="auto"/>
              </w:rPr>
              <w:t>TFDE</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October 2023</w:t>
            </w:r>
          </w:p>
        </w:tc>
        <w:tc>
          <w:tcPr>
            <w:tcW w:w="1420" w:type="dxa"/>
            <w:vAlign w:val="bottom"/>
            <w:shd w:val="clear" w:color="auto" w:fill="E5FFFF"/>
          </w:tcPr>
          <w:p>
            <w:pPr>
              <w:jc w:val="center"/>
              <w:ind w:left="39"/>
              <w:spacing w:after="0"/>
              <w:rPr>
                <w:sz w:val="20"/>
                <w:szCs w:val="20"/>
                <w:color w:val="auto"/>
              </w:rPr>
            </w:pPr>
            <w:r>
              <w:rPr>
                <w:rFonts w:ascii="Arial" w:cs="Arial" w:eastAsia="Arial" w:hAnsi="Arial"/>
                <w:sz w:val="16"/>
                <w:szCs w:val="16"/>
                <w:color w:val="auto"/>
                <w:w w:val="91"/>
              </w:rPr>
              <w:t>2028-2031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tri-fuel diesel electric</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2017, the Partnership’s fleet consists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60" w:type="dxa"/>
            <w:vAlign w:val="bottom"/>
          </w:tcPr>
          <w:p>
            <w:pPr>
              <w:spacing w:after="0"/>
              <w:rPr>
                <w:sz w:val="18"/>
                <w:szCs w:val="18"/>
                <w:color w:val="auto"/>
              </w:rPr>
            </w:pPr>
          </w:p>
        </w:tc>
        <w:tc>
          <w:tcPr>
            <w:tcW w:w="2800" w:type="dxa"/>
            <w:vAlign w:val="bottom"/>
            <w:gridSpan w:val="2"/>
          </w:tcPr>
          <w:p>
            <w:pPr>
              <w:ind w:left="74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ind w:left="3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80" w:type="dxa"/>
            <w:vAlign w:val="bottom"/>
            <w:tcBorders>
              <w:top w:val="single" w:sz="8" w:color="auto"/>
            </w:tcBorders>
            <w:shd w:val="clear" w:color="auto" w:fill="E5FFFF"/>
          </w:tcPr>
          <w:p>
            <w:pPr>
              <w:ind w:left="180"/>
              <w:spacing w:after="0"/>
              <w:rPr>
                <w:sz w:val="20"/>
                <w:szCs w:val="20"/>
                <w:color w:val="auto"/>
              </w:rPr>
            </w:pPr>
            <w:r>
              <w:rPr>
                <w:rFonts w:ascii="Arial" w:cs="Arial" w:eastAsia="Arial" w:hAnsi="Arial"/>
                <w:sz w:val="16"/>
                <w:szCs w:val="16"/>
                <w:i w:val="1"/>
                <w:iCs w:val="1"/>
                <w:color w:val="auto"/>
              </w:rPr>
              <w:t>GasLog Shanghai</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ind w:left="260"/>
              <w:spacing w:after="0"/>
              <w:rPr>
                <w:sz w:val="20"/>
                <w:szCs w:val="20"/>
                <w:color w:val="auto"/>
              </w:rPr>
            </w:pPr>
            <w:r>
              <w:rPr>
                <w:rFonts w:ascii="Arial" w:cs="Arial" w:eastAsia="Arial" w:hAnsi="Arial"/>
                <w:sz w:val="16"/>
                <w:szCs w:val="16"/>
                <w:color w:val="auto"/>
              </w:rPr>
              <w:t>2013</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May 2018</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Santiago</w:t>
            </w:r>
          </w:p>
        </w:tc>
        <w:tc>
          <w:tcPr>
            <w:tcW w:w="820" w:type="dxa"/>
            <w:vAlign w:val="bottom"/>
          </w:tcPr>
          <w:p>
            <w:pPr>
              <w:ind w:left="26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GasLog Sydney</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Seattle</w:t>
            </w:r>
          </w:p>
        </w:tc>
        <w:tc>
          <w:tcPr>
            <w:tcW w:w="820" w:type="dxa"/>
            <w:vAlign w:val="bottom"/>
          </w:tcPr>
          <w:p>
            <w:pPr>
              <w:ind w:left="26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2025-2030</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800" w:type="dxa"/>
            <w:vAlign w:val="bottom"/>
            <w:gridSpan w:val="2"/>
            <w:shd w:val="clear" w:color="auto" w:fill="E5FFFF"/>
          </w:tcPr>
          <w:p>
            <w:pPr>
              <w:ind w:left="180"/>
              <w:spacing w:after="0" w:line="203" w:lineRule="exact"/>
              <w:rPr>
                <w:sz w:val="20"/>
                <w:szCs w:val="20"/>
                <w:color w:val="auto"/>
              </w:rPr>
            </w:pPr>
            <w:r>
              <w:rPr>
                <w:rFonts w:ascii="Arial" w:cs="Arial" w:eastAsia="Arial" w:hAnsi="Arial"/>
                <w:sz w:val="16"/>
                <w:szCs w:val="16"/>
                <w:i w:val="1"/>
                <w:iCs w:val="1"/>
                <w:color w:val="auto"/>
              </w:rPr>
              <w:t>GasLog Greece</w:t>
            </w:r>
            <w:r>
              <w:rPr>
                <w:rFonts w:ascii="Arial" w:cs="Arial" w:eastAsia="Arial" w:hAnsi="Arial"/>
                <w:sz w:val="21"/>
                <w:szCs w:val="21"/>
                <w:color w:val="auto"/>
                <w:vertAlign w:val="superscript"/>
              </w:rPr>
              <w:t>(6)</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2026</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800" w:type="dxa"/>
            <w:vAlign w:val="bottom"/>
            <w:gridSpan w:val="2"/>
          </w:tcPr>
          <w:p>
            <w:pPr>
              <w:ind w:left="180"/>
              <w:spacing w:after="0" w:line="203" w:lineRule="exact"/>
              <w:rPr>
                <w:sz w:val="20"/>
                <w:szCs w:val="20"/>
                <w:color w:val="auto"/>
              </w:rPr>
            </w:pPr>
            <w:r>
              <w:rPr>
                <w:rFonts w:ascii="Arial" w:cs="Arial" w:eastAsia="Arial" w:hAnsi="Arial"/>
                <w:sz w:val="16"/>
                <w:szCs w:val="16"/>
                <w:i w:val="1"/>
                <w:iCs w:val="1"/>
                <w:color w:val="auto"/>
              </w:rPr>
              <w:t>GasLog Geneva</w:t>
            </w:r>
            <w:r>
              <w:rPr>
                <w:rFonts w:ascii="Arial" w:cs="Arial" w:eastAsia="Arial" w:hAnsi="Arial"/>
                <w:sz w:val="21"/>
                <w:szCs w:val="21"/>
                <w:color w:val="auto"/>
                <w:vertAlign w:val="superscript"/>
              </w:rPr>
              <w:t>(7)</w:t>
            </w:r>
          </w:p>
        </w:tc>
        <w:tc>
          <w:tcPr>
            <w:tcW w:w="820" w:type="dxa"/>
            <w:vAlign w:val="bottom"/>
          </w:tcPr>
          <w:p>
            <w:pPr>
              <w:ind w:left="26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2023</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2028-2031</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Rita Andrea</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7"/>
              </w:rPr>
              <w:t>April 2020</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2023-2025</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Jane Elizabeth</w:t>
            </w:r>
          </w:p>
        </w:tc>
        <w:tc>
          <w:tcPr>
            <w:tcW w:w="820" w:type="dxa"/>
            <w:vAlign w:val="bottom"/>
          </w:tcPr>
          <w:p>
            <w:pPr>
              <w:ind w:left="26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2019</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Alison Victoria</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December 2019</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2022-2024</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Shirley Elisabeth</w:t>
            </w:r>
          </w:p>
        </w:tc>
        <w:tc>
          <w:tcPr>
            <w:tcW w:w="820" w:type="dxa"/>
            <w:vAlign w:val="bottom"/>
          </w:tcPr>
          <w:p>
            <w:pPr>
              <w:ind w:left="260"/>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2023-2025</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Heather Sally</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2023-2025</w:t>
            </w:r>
          </w:p>
        </w:tc>
      </w:tr>
      <w:tr>
        <w:trPr>
          <w:trHeight w:val="602"/>
        </w:trPr>
        <w:tc>
          <w:tcPr>
            <w:tcW w:w="31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7"/>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60" w:type="dxa"/>
            <w:vAlign w:val="bottom"/>
          </w:tcPr>
          <w:p>
            <w:pPr>
              <w:spacing w:after="0"/>
              <w:rPr>
                <w:sz w:val="18"/>
                <w:szCs w:val="18"/>
                <w:color w:val="auto"/>
              </w:rPr>
            </w:pPr>
          </w:p>
        </w:tc>
        <w:tc>
          <w:tcPr>
            <w:tcW w:w="2800" w:type="dxa"/>
            <w:vAlign w:val="bottom"/>
            <w:gridSpan w:val="2"/>
          </w:tcPr>
          <w:p>
            <w:pPr>
              <w:ind w:left="74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ind w:left="3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80" w:type="dxa"/>
            <w:vAlign w:val="bottom"/>
            <w:tcBorders>
              <w:top w:val="single" w:sz="8" w:color="auto"/>
            </w:tcBorders>
            <w:shd w:val="clear" w:color="auto" w:fill="E5FFFF"/>
          </w:tcPr>
          <w:p>
            <w:pPr>
              <w:ind w:left="18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(8)</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ind w:left="260"/>
              <w:spacing w:after="0"/>
              <w:rPr>
                <w:sz w:val="20"/>
                <w:szCs w:val="20"/>
                <w:color w:val="auto"/>
              </w:rPr>
            </w:pPr>
            <w:r>
              <w:rPr>
                <w:rFonts w:ascii="Arial" w:cs="Arial" w:eastAsia="Arial" w:hAnsi="Arial"/>
                <w:sz w:val="16"/>
                <w:szCs w:val="16"/>
                <w:color w:val="auto"/>
              </w:rPr>
              <w:t>2010</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2029-2031</w:t>
            </w:r>
          </w:p>
        </w:tc>
      </w:tr>
    </w:tbl>
    <w:p>
      <w:pPr>
        <w:spacing w:after="0" w:line="7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right="20" w:hanging="192"/>
        <w:spacing w:after="0" w:line="214" w:lineRule="auto"/>
        <w:tabs>
          <w:tab w:leader="none" w:pos="19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The period shown reflects the expiration of the minimum optional period and the maximum optional period. The charterer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has unilateral options to extend the term of the time charter for periods ranging from five to ten years, provided that the charterer provides us with advance notice of declaration of any option in accordance with the terms of the applicable charter. The charterer of the </w:t>
      </w:r>
      <w:r>
        <w:rPr>
          <w:rFonts w:ascii="Arial" w:cs="Arial" w:eastAsia="Arial" w:hAnsi="Arial"/>
          <w:sz w:val="14"/>
          <w:szCs w:val="14"/>
          <w:i w:val="1"/>
          <w:iCs w:val="1"/>
          <w:color w:val="auto"/>
        </w:rPr>
        <w:t>Methane Lydon Volney</w:t>
      </w:r>
      <w:r>
        <w:rPr>
          <w:rFonts w:ascii="Arial" w:cs="Arial" w:eastAsia="Arial" w:hAnsi="Arial"/>
          <w:sz w:val="14"/>
          <w:szCs w:val="14"/>
          <w:color w:val="auto"/>
        </w:rPr>
        <w:t xml:space="preserve"> has a unilateral option to extend the term for a period of either three or five years at its election. In addition, the charterer of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Alison Victoria </w:t>
      </w:r>
      <w:r>
        <w:rPr>
          <w:rFonts w:ascii="Arial" w:cs="Arial" w:eastAsia="Arial" w:hAnsi="Arial"/>
          <w:sz w:val="14"/>
          <w:szCs w:val="14"/>
          <w:color w:val="auto"/>
        </w:rPr>
        <w:t>has a unilateral option to extend the term of two of the related time charters for a period of either three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five years at its election. The charterer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may extend the charter for one extension period of three or five years and the charter requires that the charterer provide us with advance notice of its exercise of any extension option. The charterer of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has a unilateral option to extend the term of the time charters for a period of either three or five years at its election. The charterer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has the right to extend the charters for a period of five years at the charterer’s option. The charterer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has the right to extend the charter by two additional periods of five and three years, respectively, provided that the charterer provides us with advance notice of declaration.</w:t>
      </w:r>
    </w:p>
    <w:p>
      <w:pPr>
        <w:spacing w:after="0" w:line="4" w:lineRule="exact"/>
        <w:rPr>
          <w:rFonts w:ascii="Arial" w:cs="Arial" w:eastAsia="Arial" w:hAnsi="Arial"/>
          <w:sz w:val="18"/>
          <w:szCs w:val="18"/>
          <w:color w:val="auto"/>
          <w:vertAlign w:val="superscript"/>
        </w:rPr>
      </w:pPr>
    </w:p>
    <w:p>
      <w:pPr>
        <w:ind w:left="200" w:hanging="192"/>
        <w:spacing w:after="0" w:line="182" w:lineRule="auto"/>
        <w:tabs>
          <w:tab w:leader="none" w:pos="200"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Vessels operating in the spot market that participate in the Cool Pool.</w:t>
      </w:r>
    </w:p>
    <w:p>
      <w:pPr>
        <w:ind w:left="200" w:right="280" w:hanging="192"/>
        <w:spacing w:after="0" w:line="193" w:lineRule="auto"/>
        <w:tabs>
          <w:tab w:leader="none" w:pos="19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On April 28, 2017, the Group signed an amendment to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seasonal time charter agreement, pursuant to which the seasonal charter of the vessel was replaced by a continuous time charter for a period of 2.4 years ending in August 2019.</w:t>
      </w:r>
    </w:p>
    <w:p>
      <w:pPr>
        <w:spacing w:after="0" w:line="1" w:lineRule="exact"/>
        <w:rPr>
          <w:rFonts w:ascii="Arial" w:cs="Arial" w:eastAsia="Arial" w:hAnsi="Arial"/>
          <w:sz w:val="18"/>
          <w:szCs w:val="18"/>
          <w:color w:val="auto"/>
          <w:vertAlign w:val="superscript"/>
        </w:rPr>
      </w:pPr>
    </w:p>
    <w:p>
      <w:pPr>
        <w:ind w:left="200" w:right="500" w:hanging="192"/>
        <w:spacing w:after="0" w:line="207" w:lineRule="auto"/>
        <w:tabs>
          <w:tab w:leader="none" w:pos="19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On September 19, 2017, GasLog Partners entered into an agreement to acquire 100% of the shares in the entity that owns and charters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from GasLog. The acquisition closed on October 20,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May 3, 2017, GasLog Partners acquired 100% of the shares in the entity that owns and charters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from GasLog.</w:t>
      </w: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 xml:space="preserve">On July 3, 2017, GasLog Partners acquired 100% of the shares in the entity that owns and charters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from GasLog.</w:t>
      </w:r>
    </w:p>
    <w:p>
      <w:pPr>
        <w:ind w:left="200" w:right="40" w:hanging="192"/>
        <w:spacing w:after="0" w:line="214"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(“MSL”), a subsidiary of Shell.</w:t>
      </w:r>
    </w:p>
    <w:p>
      <w:pPr>
        <w:spacing w:after="0" w:line="192" w:lineRule="exact"/>
        <w:rPr>
          <w:sz w:val="20"/>
          <w:szCs w:val="20"/>
          <w:color w:val="auto"/>
        </w:rPr>
      </w:pPr>
    </w:p>
    <w:p>
      <w:pPr>
        <w:ind w:right="20" w:firstLine="383"/>
        <w:spacing w:after="0" w:line="291" w:lineRule="auto"/>
        <w:rPr>
          <w:sz w:val="20"/>
          <w:szCs w:val="20"/>
          <w:color w:val="auto"/>
        </w:rPr>
      </w:pPr>
      <w:r>
        <w:rPr>
          <w:rFonts w:ascii="Arial" w:cs="Arial" w:eastAsia="Arial" w:hAnsi="Arial"/>
          <w:sz w:val="15"/>
          <w:szCs w:val="15"/>
          <w:color w:val="auto"/>
        </w:rPr>
        <w:t xml:space="preserve">Under the omnibus agreement entered into with GasLog Partners and certain of its subsidiaries in connection with the Partnership’s initial public offering, as amended, GasLog Partners has the option to purchase from us: (i)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within 36 months after we notify the Partnership’s board of directors of the vessel’s acceptance by their charterers (ii)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within 36 months after the completion of its acquisition by GasLog on March 31, 2015 and (iii) GAS-twenty six Ltd. (with its long-term bareboat charter of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and GasLog’s right to repurchase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from Lepta Shipping under the sale and lease back arrangements as described above, within 36 months after the completion of the acquisition of the </w:t>
      </w:r>
      <w:r>
        <w:rPr>
          <w:rFonts w:ascii="Arial" w:cs="Arial" w:eastAsia="Arial" w:hAnsi="Arial"/>
          <w:sz w:val="15"/>
          <w:szCs w:val="15"/>
          <w:i w:val="1"/>
          <w:iCs w:val="1"/>
          <w:color w:val="auto"/>
        </w:rPr>
        <w:t>Methane Julia Louise</w:t>
      </w:r>
      <w:r>
        <w:rPr>
          <w:rFonts w:ascii="Arial" w:cs="Arial" w:eastAsia="Arial" w:hAnsi="Arial"/>
          <w:sz w:val="15"/>
          <w:szCs w:val="15"/>
          <w:color w:val="auto"/>
        </w:rPr>
        <w:t xml:space="preserve"> by GasLog on March 31, 2015. In each case, GasLog Partners’ option to purchase is at fair market value as determined pursuant to the omnibus agreement.</w:t>
      </w:r>
    </w:p>
    <w:p>
      <w:pPr>
        <w:spacing w:after="0" w:line="177" w:lineRule="exact"/>
        <w:rPr>
          <w:sz w:val="20"/>
          <w:szCs w:val="20"/>
          <w:color w:val="auto"/>
        </w:rPr>
      </w:pPr>
    </w:p>
    <w:p>
      <w:pPr>
        <w:ind w:right="80" w:firstLine="356"/>
        <w:spacing w:after="0" w:line="291" w:lineRule="auto"/>
        <w:rPr>
          <w:sz w:val="20"/>
          <w:szCs w:val="20"/>
          <w:color w:val="auto"/>
        </w:rPr>
      </w:pPr>
      <w:r>
        <w:rPr>
          <w:rFonts w:ascii="Arial" w:cs="Arial" w:eastAsia="Arial" w:hAnsi="Arial"/>
          <w:sz w:val="15"/>
          <w:szCs w:val="15"/>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break-up costs (in the case of a newly acquired Five-Year Vessel) or at their fair market value (in the case of a previously owned vessel that becomes a Five-Year Vessel). In addition, our five remaining newbuildings (Hull Nos. 2130, 2131, 2800, 2801 and 2212) will each qualify as a Five-Year Vessel upon commencement of their charters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Five-Year Vessel.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20" w:firstLine="383"/>
        <w:spacing w:after="0" w:line="324" w:lineRule="auto"/>
        <w:rPr>
          <w:sz w:val="20"/>
          <w:szCs w:val="20"/>
          <w:color w:val="auto"/>
        </w:rPr>
      </w:pPr>
      <w:r>
        <w:rPr>
          <w:rFonts w:ascii="Arial" w:cs="Arial" w:eastAsia="Arial" w:hAnsi="Arial"/>
          <w:sz w:val="14"/>
          <w:szCs w:val="14"/>
          <w:color w:val="auto"/>
        </w:rPr>
        <w:t xml:space="preserve">In April 2015, the charter expirations for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were amended. The initial terms of the time charters for the </w:t>
      </w:r>
      <w:r>
        <w:rPr>
          <w:rFonts w:ascii="Arial" w:cs="Arial" w:eastAsia="Arial" w:hAnsi="Arial"/>
          <w:sz w:val="14"/>
          <w:szCs w:val="14"/>
          <w:i w:val="1"/>
          <w:iCs w:val="1"/>
          <w:color w:val="auto"/>
        </w:rPr>
        <w:t xml:space="preserve">GasLog Shanghai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Santiago </w:t>
      </w:r>
      <w:r>
        <w:rPr>
          <w:rFonts w:ascii="Arial" w:cs="Arial" w:eastAsia="Arial" w:hAnsi="Arial"/>
          <w:sz w:val="14"/>
          <w:szCs w:val="14"/>
          <w:color w:val="auto"/>
        </w:rPr>
        <w:t>were each extended by four months to May 2018 and July 2018, respectively, whilst the initial term for the</w:t>
      </w:r>
      <w:r>
        <w:rPr>
          <w:rFonts w:ascii="Arial" w:cs="Arial" w:eastAsia="Arial" w:hAnsi="Arial"/>
          <w:sz w:val="14"/>
          <w:szCs w:val="14"/>
          <w:i w:val="1"/>
          <w:iCs w:val="1"/>
          <w:color w:val="auto"/>
        </w:rPr>
        <w:t xml:space="preserve"> GasLog Sydney </w:t>
      </w:r>
      <w:r>
        <w:rPr>
          <w:rFonts w:ascii="Arial" w:cs="Arial" w:eastAsia="Arial" w:hAnsi="Arial"/>
          <w:sz w:val="14"/>
          <w:szCs w:val="14"/>
          <w:color w:val="auto"/>
        </w:rPr>
        <w:t>was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shortened by eight months to September 2018. The options to extend the initial terms have not been exercised and as such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 xml:space="preserve">GasLog Sydney </w:t>
      </w:r>
      <w:r>
        <w:rPr>
          <w:rFonts w:ascii="Arial" w:cs="Arial" w:eastAsia="Arial" w:hAnsi="Arial"/>
          <w:sz w:val="14"/>
          <w:szCs w:val="14"/>
          <w:color w:val="auto"/>
        </w:rPr>
        <w:t>are due to come off charter in May 2018, July 2018 and September 2018, respectively, each plus or minus 30 days. In October 2017, the charterer of the</w:t>
      </w:r>
    </w:p>
    <w:p>
      <w:pPr>
        <w:sectPr>
          <w:pgSz w:w="11900" w:h="16838" w:orient="portrait"/>
          <w:cols w:equalWidth="0" w:num="1">
            <w:col w:w="11420"/>
          </w:cols>
          <w:pgMar w:left="240" w:top="101" w:right="239" w:bottom="0" w:gutter="0" w:footer="0" w:header="0"/>
        </w:sectPr>
      </w:pPr>
    </w:p>
    <w:bookmarkStart w:id="13" w:name="page14"/>
    <w:bookmarkEnd w:id="13"/>
    <w:p>
      <w:pPr>
        <w:jc w:val="both"/>
        <w:ind w:right="20"/>
        <w:spacing w:after="0" w:line="293" w:lineRule="auto"/>
        <w:rPr>
          <w:sz w:val="20"/>
          <w:szCs w:val="20"/>
          <w:color w:val="auto"/>
        </w:rPr>
      </w:pPr>
      <w:r>
        <w:rPr>
          <w:rFonts w:ascii="Arial" w:cs="Arial" w:eastAsia="Arial" w:hAnsi="Arial"/>
          <w:sz w:val="15"/>
          <w:szCs w:val="15"/>
          <w:i w:val="1"/>
          <w:iCs w:val="1"/>
          <w:color w:val="auto"/>
        </w:rPr>
        <w:t xml:space="preserve">Methane Jane Elizabeth </w:t>
      </w:r>
      <w:r>
        <w:rPr>
          <w:rFonts w:ascii="Arial" w:cs="Arial" w:eastAsia="Arial" w:hAnsi="Arial"/>
          <w:sz w:val="15"/>
          <w:szCs w:val="15"/>
          <w:color w:val="auto"/>
        </w:rPr>
        <w:t>notified us of its intention not to exercise the charter extension option. As such the</w:t>
      </w:r>
      <w:r>
        <w:rPr>
          <w:rFonts w:ascii="Arial" w:cs="Arial" w:eastAsia="Arial" w:hAnsi="Arial"/>
          <w:sz w:val="15"/>
          <w:szCs w:val="15"/>
          <w:i w:val="1"/>
          <w:iCs w:val="1"/>
          <w:color w:val="auto"/>
        </w:rPr>
        <w:t xml:space="preserve"> Methane Jane Elizabeth </w:t>
      </w:r>
      <w:r>
        <w:rPr>
          <w:rFonts w:ascii="Arial" w:cs="Arial" w:eastAsia="Arial" w:hAnsi="Arial"/>
          <w:sz w:val="15"/>
          <w:szCs w:val="15"/>
          <w:color w:val="auto"/>
        </w:rPr>
        <w:t>is due to come off charter in October 2019.</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GasLog Partners continues to pursue opportunities for new multi-year charters with third parties for the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5"/>
          <w:szCs w:val="15"/>
          <w:i w:val="1"/>
          <w:iCs w:val="1"/>
          <w:color w:val="auto"/>
        </w:rPr>
        <w:t>GasLog Sydney</w:t>
      </w:r>
      <w:r>
        <w:rPr>
          <w:rFonts w:ascii="Arial" w:cs="Arial" w:eastAsia="Arial" w:hAnsi="Arial"/>
          <w:sz w:val="15"/>
          <w:szCs w:val="15"/>
          <w:color w:val="auto"/>
        </w:rPr>
        <w:t>,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w w:val="93"/>
              </w:rPr>
              <w:t>Three-month period ended September 30, 2016 compared to the three-month period ended September 30, 2017</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860" w:type="dxa"/>
            <w:vAlign w:val="bottom"/>
          </w:tcPr>
          <w:p>
            <w:pPr>
              <w:spacing w:after="0"/>
              <w:rPr>
                <w:sz w:val="24"/>
                <w:szCs w:val="24"/>
                <w:color w:val="auto"/>
              </w:rPr>
            </w:pPr>
          </w:p>
        </w:tc>
        <w:tc>
          <w:tcPr>
            <w:tcW w:w="310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7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8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120,727</w:t>
            </w:r>
          </w:p>
        </w:tc>
        <w:tc>
          <w:tcPr>
            <w:tcW w:w="28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131,242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(26,821)</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(29,569)</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(4,184)</w:t>
            </w:r>
          </w:p>
        </w:tc>
        <w:tc>
          <w:tcPr>
            <w:tcW w:w="14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(31,373)</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(34,447)</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(9,273)</w:t>
            </w:r>
          </w:p>
        </w:tc>
        <w:tc>
          <w:tcPr>
            <w:tcW w:w="14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49,076</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55,299</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(46,094)</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(34,709)</w:t>
            </w:r>
          </w:p>
        </w:tc>
        <w:tc>
          <w:tcPr>
            <w:tcW w:w="100" w:type="dxa"/>
            <w:vAlign w:val="bottom"/>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Financial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193</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(19,931)</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3,137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Share of profit/(loss) of associate</w:t>
            </w:r>
          </w:p>
        </w:tc>
        <w:tc>
          <w:tcPr>
            <w:tcW w:w="1360" w:type="dxa"/>
            <w:vAlign w:val="bottom"/>
          </w:tcPr>
          <w:p>
            <w:pPr>
              <w:jc w:val="right"/>
              <w:spacing w:after="0"/>
              <w:rPr>
                <w:sz w:val="20"/>
                <w:szCs w:val="20"/>
                <w:color w:val="auto"/>
              </w:rPr>
            </w:pPr>
            <w:r>
              <w:rPr>
                <w:rFonts w:ascii="Arial" w:cs="Arial" w:eastAsia="Arial" w:hAnsi="Arial"/>
                <w:sz w:val="16"/>
                <w:szCs w:val="16"/>
                <w:color w:val="auto"/>
              </w:rPr>
              <w:t>333</w:t>
            </w:r>
          </w:p>
        </w:tc>
        <w:tc>
          <w:tcPr>
            <w:tcW w:w="28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6"/>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(65,499)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(31,071)</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(Loss)/profit for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(16,423</w:t>
            </w:r>
          </w:p>
        </w:tc>
        <w:tc>
          <w:tcPr>
            <w:tcW w:w="280" w:type="dxa"/>
            <w:vAlign w:val="bottom"/>
            <w:tcBorders>
              <w:bottom w:val="single" w:sz="8" w:color="E5FFFF"/>
            </w:tcBorders>
          </w:tcPr>
          <w:p>
            <w:pPr>
              <w:jc w:val="right"/>
              <w:ind w:right="139"/>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24,228</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6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Non-controlling interest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(12,623)</w:t>
            </w:r>
          </w:p>
        </w:tc>
        <w:tc>
          <w:tcPr>
            <w:tcW w:w="280" w:type="dxa"/>
            <w:vAlign w:val="bottom"/>
            <w:shd w:val="clear" w:color="auto" w:fill="E5FFFF"/>
          </w:tcPr>
          <w:p>
            <w:pPr>
              <w:spacing w:after="0"/>
              <w:rPr>
                <w:sz w:val="15"/>
                <w:szCs w:val="15"/>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(18,893)</w:t>
            </w:r>
          </w:p>
        </w:tc>
        <w:tc>
          <w:tcPr>
            <w:tcW w:w="100" w:type="dxa"/>
            <w:vAlign w:val="bottom"/>
            <w:gridSpan w:val="2"/>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b w:val="1"/>
                <w:bCs w:val="1"/>
                <w:color w:val="auto"/>
              </w:rPr>
              <w:t>(Loss)/profit attributable to owners of the Group</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(29,046</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360" w:firstLine="405"/>
        <w:spacing w:after="0" w:line="324" w:lineRule="auto"/>
        <w:rPr>
          <w:sz w:val="20"/>
          <w:szCs w:val="20"/>
          <w:color w:val="auto"/>
        </w:rPr>
      </w:pPr>
      <w:r>
        <w:rPr>
          <w:rFonts w:ascii="Arial" w:cs="Arial" w:eastAsia="Arial" w:hAnsi="Arial"/>
          <w:sz w:val="14"/>
          <w:szCs w:val="14"/>
          <w:color w:val="auto"/>
        </w:rPr>
        <w:t>During the three-month period ended September 30, 2016, we had an average of 21.0 ships operating in our owned and bareboat fleet (including ships owned by the Partnership), having 1,925 operating days and an average of 24.0 ships operating under our technical management (including our 20.0 of our owned and bareboat ships). During the three-month period ended September 30, 2017, we had an average of 23.0 ships operating in our owned and bareboat fleet (including ships owned by the Partnership), having 2,116 operating days and an average of 23.0 ships operating under our technical management (including 22.0 of our owned and bareboat ships).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 xml:space="preserve">Revenues increased by 8.7%, or $10.5 million, from $120.7 million during the three-month period ended September 30, 2016, to $131.2 million during the three-month period ended September 30, 2017. The increase is attributable to an increase in revenues of $14.9 million due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September 30, 2016 and October 31, 2016, respectively, resulting in an increase in operating days.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There was also an increase of $1.1 million in revenues from our vessels operating in the spot market in both periods and an increase of $0.4 million in revenues from the remaining vessels. These increases in revenues were partially offset by a decrease of $5.9 million due to the expiration of two time charter party agreements during 2016 (with the vessels operating in the spot market thereafter). The average daily hire rate decreased from $62,558 for the three-month period ended September 30, 2016 to $61,838 for the three-month period ended September 30, 2017, mainly affected by the termination of the two time charter party agreements in the second half of 2016.</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firstLine="356"/>
        <w:spacing w:after="0" w:line="271" w:lineRule="auto"/>
        <w:rPr>
          <w:sz w:val="20"/>
          <w:szCs w:val="20"/>
          <w:color w:val="auto"/>
        </w:rPr>
      </w:pPr>
      <w:r>
        <w:rPr>
          <w:rFonts w:ascii="Arial" w:cs="Arial" w:eastAsia="Arial" w:hAnsi="Arial"/>
          <w:sz w:val="16"/>
          <w:szCs w:val="16"/>
          <w:color w:val="auto"/>
        </w:rPr>
        <w:t xml:space="preserve">Vessel operating and supervision costs increased by 10.4%, or $2.8 million, from $26.8 million during the three-month period ended September 30, 2016, to $29.6 million during the three-month period ended September 30, 2017. The increase is mainly attributable to the increase of $2.0 million in crew wages expenses, mainly due to the increased fleet from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September 30, 2016 and October 31, 2016 and an increase of $0.8 million in various other costs. Overall, the average daily operating cost per vessel increased marginally from $14,577 per day during the three-month period ended September 30, 2016 to $14,609 per day during the three-month period ended September 30, 2017.</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60" w:firstLine="356"/>
        <w:spacing w:after="0" w:line="271" w:lineRule="auto"/>
        <w:rPr>
          <w:sz w:val="20"/>
          <w:szCs w:val="20"/>
          <w:color w:val="auto"/>
        </w:rPr>
      </w:pPr>
      <w:r>
        <w:rPr>
          <w:rFonts w:ascii="Arial" w:cs="Arial" w:eastAsia="Arial" w:hAnsi="Arial"/>
          <w:sz w:val="16"/>
          <w:szCs w:val="16"/>
          <w:color w:val="auto"/>
        </w:rPr>
        <w:t>Voyage expenses and commissions decreased by 54.8%, or $2.3 million, from $4.2 million during the three-month period ended September 30, 2016 to $1.9 million during the three-month period ended September 30, 2017. The decrease is mainly attributable to the favorable movement in net allocation of the Cool Pool results of $3.8 million in the three-month period ended September 30, 2017 in accordance with the profit-sharing terms specified in the Pool Agreement entered into with Dynagas and Golar, partially offset by an increase of $1.4 million in bunkers consumption of the vessels operating in the spot market and an increase of $0.1 million in brokers’ commissions following the increase in revenues.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80" w:firstLine="356"/>
        <w:spacing w:after="0" w:line="278" w:lineRule="auto"/>
        <w:rPr>
          <w:sz w:val="20"/>
          <w:szCs w:val="20"/>
          <w:color w:val="auto"/>
        </w:rPr>
      </w:pPr>
      <w:r>
        <w:rPr>
          <w:rFonts w:ascii="Arial" w:cs="Arial" w:eastAsia="Arial" w:hAnsi="Arial"/>
          <w:sz w:val="16"/>
          <w:szCs w:val="16"/>
          <w:color w:val="auto"/>
        </w:rPr>
        <w:t>Depreciation increased by 9.6%, or $3.0 million, from $31.4 million during the three-month period ended September 30, 2016, to $34.4 million during the three-month period ended September 30, 2017. The increase in depreciation resulted mainly from the increase in the average number of vessels in our fleet in the three-month period ended September 30, 2017 compared to the same period of 2016.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0" w:firstLine="329"/>
        <w:spacing w:after="0" w:line="335" w:lineRule="auto"/>
        <w:rPr>
          <w:sz w:val="20"/>
          <w:szCs w:val="20"/>
          <w:color w:val="auto"/>
        </w:rPr>
      </w:pPr>
      <w:r>
        <w:rPr>
          <w:rFonts w:ascii="Arial" w:cs="Arial" w:eastAsia="Arial" w:hAnsi="Arial"/>
          <w:sz w:val="14"/>
          <w:szCs w:val="14"/>
          <w:color w:val="auto"/>
        </w:rPr>
        <w:t>General and administrative expenses increased by 7.5%, or $0.7 million, from $9.3 million during the three-month period ended September 30, 2016, to $10.0 million during the three-month period ended September 30, 2017. The increase is mainly attributable to an increase of $0.7 million in employee costs and an increase of $0.2 million in non-cash share-based compensation expense, which was partially offset by a decrease of $0.2 million due to the favorable movement of foreign exchange rates in 2017.</w:t>
      </w:r>
    </w:p>
    <w:p>
      <w:pPr>
        <w:sectPr>
          <w:pgSz w:w="11900" w:h="16838" w:orient="portrait"/>
          <w:cols w:equalWidth="0" w:num="1">
            <w:col w:w="11420"/>
          </w:cols>
          <w:pgMar w:left="240" w:top="130" w:right="239" w:bottom="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Costs:</w:t>
      </w:r>
    </w:p>
    <w:p>
      <w:pPr>
        <w:sectPr>
          <w:pgSz w:w="11900" w:h="16838" w:orient="portrait"/>
          <w:cols w:equalWidth="0" w:num="1">
            <w:col w:w="11420"/>
          </w:cols>
          <w:pgMar w:left="240" w:top="130" w:right="239" w:bottom="0" w:gutter="0" w:footer="0" w:header="0"/>
          <w:type w:val="continuous"/>
        </w:sectPr>
      </w:pPr>
    </w:p>
    <w:bookmarkStart w:id="14" w:name="page15"/>
    <w:bookmarkEnd w:id="14"/>
    <w:p>
      <w:pPr>
        <w:ind w:left="360"/>
        <w:spacing w:after="0"/>
        <w:rPr>
          <w:sz w:val="20"/>
          <w:szCs w:val="20"/>
          <w:color w:val="auto"/>
        </w:rPr>
      </w:pPr>
      <w:r>
        <w:rPr>
          <w:rFonts w:ascii="Arial" w:cs="Arial" w:eastAsia="Arial" w:hAnsi="Arial"/>
          <w:sz w:val="15"/>
          <w:szCs w:val="15"/>
          <w:color w:val="auto"/>
        </w:rPr>
        <w:t>Financial costs decreased by 24.7%, or $11.4 million, from $46.1 million during the three-month period ended September 30, 2016, to $34.7 million during the three-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month period ended September 30, 2017. The decrease is attributable to a decrease of $18.0 million in the amortization of deferred loan fees (mainly due to the decrease by</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$18.2 million in write-off of unamortized loan issuance costs associated with the six legacy facilities that were refinanced by the Legacy Facility Re-financing which occurred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 the third quarter 2016) and a decrease of $0.3 million in other financial costs. The above decreases were partially offset by an increase of $2.4 million in interest expense 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loans mainly due to the increased average debt outstanding and the increased weighted average interest rate, as well as a $4.5 million increase in realized losses on cross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currency swaps (on which we apply hedge accounting) and interest expense on senior unsecured notes in the three months ended September 30, 2017 compared to the same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period in 2016. During the three-month period ended September 30, 2017, we had an average of $2,628.5 million of outstanding indebtedness, with a weighted average interest</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rate of 4.3%, while during the three-month period ended September 30, 2016, we had an average of $2,435.3 million of outstanding indebtedness, having an aggregate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interest rate of 3.5%. These weighted average interest rates include interest expense on loans and cash flow hedges and interest expense on bonds and CCS.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(Loss)/gain on Swaps:</w:t>
      </w:r>
    </w:p>
    <w:p>
      <w:pPr>
        <w:spacing w:after="0" w:line="235" w:lineRule="exact"/>
        <w:rPr>
          <w:sz w:val="20"/>
          <w:szCs w:val="20"/>
          <w:color w:val="auto"/>
        </w:rPr>
      </w:pPr>
    </w:p>
    <w:p>
      <w:pPr>
        <w:ind w:right="60" w:firstLine="356"/>
        <w:spacing w:after="0" w:line="270" w:lineRule="auto"/>
        <w:rPr>
          <w:sz w:val="20"/>
          <w:szCs w:val="20"/>
          <w:color w:val="auto"/>
        </w:rPr>
      </w:pPr>
      <w:r>
        <w:rPr>
          <w:rFonts w:ascii="Arial" w:cs="Arial" w:eastAsia="Arial" w:hAnsi="Arial"/>
          <w:sz w:val="16"/>
          <w:szCs w:val="16"/>
          <w:color w:val="auto"/>
        </w:rPr>
        <w:t>Gain on swaps increased by $23.0 million, from a loss of $19.9 million during the three-month period ended September 30, 2016, to a gain of $3.1 million during the three-month period ended September 30, 2017. The increase in gain on swaps is primarily attributable to a decrease of $17.2 million in recycled loss that was reclassified from equity to the statement of profit or loss relating to the cumulative loss from the period the hedges of the interest rate swaps terminated in July 2016 were effective, an increase of $3.4 million in gain from mark-to-market valuation of our derivative financial instruments carried at fair value through profit or loss, which reflected a gain of $3.2 million for the quarter ended September 30, 2017 as compared to a loss of $0.2 million for the quarter ended September 30, 2016, and a decrease of $2.4 million in realized loss from derivative financial instruments held for trading.</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for the Period:</w:t>
      </w:r>
    </w:p>
    <w:p>
      <w:pPr>
        <w:spacing w:after="0" w:line="235" w:lineRule="exact"/>
        <w:rPr>
          <w:sz w:val="20"/>
          <w:szCs w:val="20"/>
          <w:color w:val="auto"/>
        </w:rPr>
      </w:pPr>
    </w:p>
    <w:p>
      <w:pPr>
        <w:ind w:right="340" w:firstLine="356"/>
        <w:spacing w:after="0" w:line="293" w:lineRule="auto"/>
        <w:rPr>
          <w:sz w:val="20"/>
          <w:szCs w:val="20"/>
          <w:color w:val="auto"/>
        </w:rPr>
      </w:pPr>
      <w:r>
        <w:rPr>
          <w:rFonts w:ascii="Arial" w:cs="Arial" w:eastAsia="Arial" w:hAnsi="Arial"/>
          <w:sz w:val="16"/>
          <w:szCs w:val="16"/>
          <w:color w:val="auto"/>
        </w:rPr>
        <w:t>Profit for the period increased by $40.6 million, from a loss of $16.4 million for the three-month period ended September 30, 2016 to a profit of $24.2 million for the three-month period ended September 30, 2017,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Attributable to Owners of the Group:</w:t>
      </w:r>
    </w:p>
    <w:p>
      <w:pPr>
        <w:spacing w:after="0" w:line="235" w:lineRule="exact"/>
        <w:rPr>
          <w:sz w:val="20"/>
          <w:szCs w:val="20"/>
          <w:color w:val="auto"/>
        </w:rPr>
      </w:pPr>
    </w:p>
    <w:p>
      <w:pPr>
        <w:ind w:firstLine="356"/>
        <w:spacing w:after="0" w:line="271" w:lineRule="auto"/>
        <w:rPr>
          <w:sz w:val="20"/>
          <w:szCs w:val="20"/>
          <w:color w:val="auto"/>
        </w:rPr>
      </w:pPr>
      <w:r>
        <w:rPr>
          <w:rFonts w:ascii="Arial" w:cs="Arial" w:eastAsia="Arial" w:hAnsi="Arial"/>
          <w:sz w:val="16"/>
          <w:szCs w:val="16"/>
          <w:color w:val="auto"/>
        </w:rPr>
        <w:t xml:space="preserve">Profit attributable to owners of the Group increased by $34.3 million, from a loss of $29.0 million for the three-month period ended September 30, 2016 to a profit of $5.3 million for the three-month period ended September 30, 2017. The increase in profit attributable to the owners of the Group resulted mainly from the increase in profit mentioned above, partially offset by the increase in profit attributable to non-controlling interest (non-controlling unitholders of GasLog Partners) as a result of GasLog Partners’ equity offerings in August 2016 and January 2017, its ATM Programme implemented in May 2017, and the associated dropdowns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Greece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on November 1, 2016, May 3, 2017 and July 3,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w w:val="96"/>
              </w:rPr>
              <w:t>Nine-month period ended September 30, 2016 compared to the nine-month period ended September 30, 2017</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960" w:type="dxa"/>
            <w:vAlign w:val="bottom"/>
          </w:tcPr>
          <w:p>
            <w:pPr>
              <w:spacing w:after="0"/>
              <w:rPr>
                <w:sz w:val="24"/>
                <w:szCs w:val="2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17"/>
                <w:szCs w:val="17"/>
                <w:color w:val="auto"/>
              </w:rPr>
            </w:pPr>
          </w:p>
        </w:tc>
        <w:tc>
          <w:tcPr>
            <w:tcW w:w="15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79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9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339,578</w:t>
            </w:r>
          </w:p>
        </w:tc>
        <w:tc>
          <w:tcPr>
            <w:tcW w:w="2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389,457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580" w:type="dxa"/>
            <w:vAlign w:val="bottom"/>
            <w:gridSpan w:val="2"/>
          </w:tcPr>
          <w:p>
            <w:pPr>
              <w:jc w:val="right"/>
              <w:ind w:right="179"/>
              <w:spacing w:after="0"/>
              <w:rPr>
                <w:sz w:val="20"/>
                <w:szCs w:val="20"/>
                <w:color w:val="auto"/>
              </w:rPr>
            </w:pPr>
            <w:r>
              <w:rPr>
                <w:rFonts w:ascii="Arial" w:cs="Arial" w:eastAsia="Arial" w:hAnsi="Arial"/>
                <w:sz w:val="16"/>
                <w:szCs w:val="16"/>
                <w:color w:val="auto"/>
              </w:rPr>
              <w:t>(83,242)</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(86,891)</w:t>
            </w: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8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(12,703)</w:t>
            </w:r>
          </w:p>
        </w:tc>
        <w:tc>
          <w:tcPr>
            <w:tcW w:w="14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(6,810)</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Depreciation</w:t>
            </w:r>
          </w:p>
        </w:tc>
        <w:tc>
          <w:tcPr>
            <w:tcW w:w="1580" w:type="dxa"/>
            <w:vAlign w:val="bottom"/>
            <w:gridSpan w:val="2"/>
          </w:tcPr>
          <w:p>
            <w:pPr>
              <w:jc w:val="right"/>
              <w:ind w:right="179"/>
              <w:spacing w:after="0"/>
              <w:rPr>
                <w:sz w:val="20"/>
                <w:szCs w:val="20"/>
                <w:color w:val="auto"/>
              </w:rPr>
            </w:pPr>
            <w:r>
              <w:rPr>
                <w:rFonts w:ascii="Arial" w:cs="Arial" w:eastAsia="Arial" w:hAnsi="Arial"/>
                <w:sz w:val="16"/>
                <w:szCs w:val="16"/>
                <w:color w:val="auto"/>
              </w:rPr>
              <w:t>(89,021)</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(102,606)</w:t>
            </w: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58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(28,362)</w:t>
            </w:r>
          </w:p>
        </w:tc>
        <w:tc>
          <w:tcPr>
            <w:tcW w:w="14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(30,213)</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126,250</w:t>
            </w:r>
          </w:p>
        </w:tc>
        <w:tc>
          <w:tcPr>
            <w:tcW w:w="26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162,937</w:t>
            </w:r>
          </w:p>
        </w:tc>
        <w:tc>
          <w:tcPr>
            <w:tcW w:w="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(106,756)</w:t>
            </w:r>
          </w:p>
        </w:tc>
        <w:tc>
          <w:tcPr>
            <w:tcW w:w="26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(104,311)</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Financial income</w:t>
            </w:r>
          </w:p>
        </w:tc>
        <w:tc>
          <w:tcPr>
            <w:tcW w:w="1320" w:type="dxa"/>
            <w:vAlign w:val="bottom"/>
          </w:tcPr>
          <w:p>
            <w:pPr>
              <w:jc w:val="right"/>
              <w:spacing w:after="0"/>
              <w:rPr>
                <w:sz w:val="20"/>
                <w:szCs w:val="20"/>
                <w:color w:val="auto"/>
              </w:rPr>
            </w:pPr>
            <w:r>
              <w:rPr>
                <w:rFonts w:ascii="Arial" w:cs="Arial" w:eastAsia="Arial" w:hAnsi="Arial"/>
                <w:sz w:val="16"/>
                <w:szCs w:val="16"/>
                <w:color w:val="auto"/>
              </w:rPr>
              <w:t>519</w:t>
            </w:r>
          </w:p>
        </w:tc>
        <w:tc>
          <w:tcPr>
            <w:tcW w:w="2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1,779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Loss on swaps</w:t>
            </w:r>
          </w:p>
        </w:tc>
        <w:tc>
          <w:tcPr>
            <w:tcW w:w="158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(39,384)</w:t>
            </w:r>
          </w:p>
        </w:tc>
        <w:tc>
          <w:tcPr>
            <w:tcW w:w="142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Share of profit of associate</w:t>
            </w:r>
          </w:p>
        </w:tc>
        <w:tc>
          <w:tcPr>
            <w:tcW w:w="1320" w:type="dxa"/>
            <w:vAlign w:val="bottom"/>
          </w:tcPr>
          <w:p>
            <w:pPr>
              <w:jc w:val="right"/>
              <w:spacing w:after="0"/>
              <w:rPr>
                <w:sz w:val="20"/>
                <w:szCs w:val="20"/>
                <w:color w:val="auto"/>
              </w:rPr>
            </w:pPr>
            <w:r>
              <w:rPr>
                <w:rFonts w:ascii="Arial" w:cs="Arial" w:eastAsia="Arial" w:hAnsi="Arial"/>
                <w:sz w:val="16"/>
                <w:szCs w:val="16"/>
                <w:color w:val="auto"/>
              </w:rPr>
              <w:t>996</w:t>
            </w:r>
          </w:p>
        </w:tc>
        <w:tc>
          <w:tcPr>
            <w:tcW w:w="2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(144,625)</w:t>
            </w: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(108,413)</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(Loss)/profit for the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(18,375</w:t>
            </w:r>
          </w:p>
        </w:tc>
        <w:tc>
          <w:tcPr>
            <w:tcW w:w="260" w:type="dxa"/>
            <w:vAlign w:val="bottom"/>
            <w:tcBorders>
              <w:bottom w:val="single" w:sz="8" w:color="E5FFFF"/>
            </w:tcBorders>
          </w:tcPr>
          <w:p>
            <w:pPr>
              <w:jc w:val="right"/>
              <w:ind w:right="179"/>
              <w:spacing w:after="0"/>
              <w:rPr>
                <w:sz w:val="20"/>
                <w:szCs w:val="20"/>
                <w:color w:val="auto"/>
              </w:rPr>
            </w:pPr>
            <w:r>
              <w:rPr>
                <w:rFonts w:ascii="Arial" w:cs="Arial" w:eastAsia="Arial" w:hAnsi="Arial"/>
                <w:sz w:val="8"/>
                <w:szCs w:val="8"/>
                <w:color w:val="auto"/>
                <w:w w:val="73"/>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54,524</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96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Non-controlling interest</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(34,433)</w:t>
            </w:r>
          </w:p>
        </w:tc>
        <w:tc>
          <w:tcPr>
            <w:tcW w:w="260" w:type="dxa"/>
            <w:vAlign w:val="bottom"/>
            <w:shd w:val="clear" w:color="auto" w:fill="E5FFFF"/>
          </w:tcPr>
          <w:p>
            <w:pPr>
              <w:spacing w:after="0"/>
              <w:rPr>
                <w:sz w:val="15"/>
                <w:szCs w:val="15"/>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(47,952)</w:t>
            </w:r>
          </w:p>
        </w:tc>
        <w:tc>
          <w:tcPr>
            <w:tcW w:w="100" w:type="dxa"/>
            <w:vAlign w:val="bottom"/>
            <w:gridSpan w:val="2"/>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60" w:type="dxa"/>
            <w:vAlign w:val="bottom"/>
          </w:tcPr>
          <w:p>
            <w:pPr>
              <w:spacing w:after="0"/>
              <w:rPr>
                <w:sz w:val="20"/>
                <w:szCs w:val="20"/>
                <w:color w:val="auto"/>
              </w:rPr>
            </w:pPr>
            <w:r>
              <w:rPr>
                <w:rFonts w:ascii="Arial" w:cs="Arial" w:eastAsia="Arial" w:hAnsi="Arial"/>
                <w:sz w:val="16"/>
                <w:szCs w:val="16"/>
                <w:b w:val="1"/>
                <w:bCs w:val="1"/>
                <w:color w:val="auto"/>
              </w:rPr>
              <w:t>(Loss)/profit attributable to owners of the Group</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(52,808)</w:t>
            </w:r>
          </w:p>
        </w:tc>
        <w:tc>
          <w:tcPr>
            <w:tcW w:w="26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160" w:firstLine="405"/>
        <w:spacing w:after="0" w:line="297" w:lineRule="auto"/>
        <w:rPr>
          <w:sz w:val="20"/>
          <w:szCs w:val="20"/>
          <w:color w:val="auto"/>
        </w:rPr>
      </w:pPr>
      <w:r>
        <w:rPr>
          <w:rFonts w:ascii="Arial" w:cs="Arial" w:eastAsia="Arial" w:hAnsi="Arial"/>
          <w:sz w:val="15"/>
          <w:szCs w:val="15"/>
          <w:color w:val="auto"/>
        </w:rPr>
        <w:t>During the nine-month period ended September 30, 2016, we had an average of 20.0 ships operating in our owned and bareboat fleet (including ships owned by the Partnership), having 5,361 operating days and an average of 23.0 ships operating under our technical management (including our 19.0 owned and bareboat ships). During the nine-month period ended September 30, 2017, we had an average of 23.0 ships operating in our owned and bareboat fleet (including ships owned by the Partnership), having 6,267 operating days and an average of 23.6 ships operating under our technical management (including 22.0 of our owned and bareboat ships).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firstLine="324"/>
        <w:spacing w:after="0" w:line="309" w:lineRule="auto"/>
        <w:rPr>
          <w:sz w:val="20"/>
          <w:szCs w:val="20"/>
          <w:color w:val="auto"/>
        </w:rPr>
      </w:pPr>
      <w:r>
        <w:rPr>
          <w:rFonts w:ascii="Arial" w:cs="Arial" w:eastAsia="Arial" w:hAnsi="Arial"/>
          <w:sz w:val="14"/>
          <w:szCs w:val="14"/>
          <w:color w:val="auto"/>
        </w:rPr>
        <w:t xml:space="preserve">Revenues increased by 14.7%, or $49.9 million, from $339.6 million during the nine-month period ended September 30, 2016 to $389.5 million during the nine-month period ended September 30, 2017. The increase is attributable to an increase in revenues of $44.2 million due to the deliveries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September 30, 2016 and October 31, 2016, respectively, and an increase of $22.6 million from the full operation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(which were delivered on March 29, 2016 and June 30, 2016, respectively) in the nine-month period ended September 30, 2017. The abovementioned factors resulted in an increase in operating days. There was also an increase of $5.5 million in revenues from our vessels operating in the spot market in both periods and an increase of $2.8 million due to 43 off-hire days for scheduled dry-dockings in the nine-month period ended September 30, 2016 compared to nil in the same period in 2017. These increases were partially offset by a decrease of $24.7 million due to the expiration of two time charter party agreements during 2016 (with the vessels operating in the spot market thereafter) and a decrease of $0.3 million in revenues from remaining vessels. The average daily hire rate decreased from $63,124 for the nine-month period ended September 30, 2016 to $61,995 for the nine-month period ended September 30, 2017, mainly affected by the termination of the two time charter party agreements in the second half of 2016. Furthermore, there was a decrease of $0.2 million in revenues from technical management services mainly due to the decrease in the average number of the managed vessels owned by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ectPr>
          <w:pgSz w:w="11900" w:h="16838" w:orient="portrait"/>
          <w:cols w:equalWidth="0" w:num="1">
            <w:col w:w="11420"/>
          </w:cols>
          <w:pgMar w:left="240" w:top="346" w:right="239" w:bottom="0" w:gutter="0" w:footer="0" w:header="0"/>
        </w:sectPr>
      </w:pPr>
    </w:p>
    <w:bookmarkStart w:id="15" w:name="page16"/>
    <w:bookmarkEnd w:id="15"/>
    <w:p>
      <w:pPr>
        <w:ind w:firstLine="356"/>
        <w:spacing w:after="0" w:line="315" w:lineRule="auto"/>
        <w:rPr>
          <w:sz w:val="20"/>
          <w:szCs w:val="20"/>
          <w:color w:val="auto"/>
        </w:rPr>
      </w:pPr>
      <w:r>
        <w:rPr>
          <w:rFonts w:ascii="Arial" w:cs="Arial" w:eastAsia="Arial" w:hAnsi="Arial"/>
          <w:sz w:val="14"/>
          <w:szCs w:val="14"/>
          <w:color w:val="auto"/>
        </w:rPr>
        <w:t xml:space="preserve">Vessel operating and supervision costs increased by 4.4%, or $3.7 million, from $83.2 million during the nine-month period ended September 30, 2016, to $86.9 million during the nine-month period ended June 30, 2017. The increase is primarily attributable to an increase of $6.1 million in crew wages expenses, mainly driven by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March 29, 2016, June 30, 2016, September 30, 2016 and October 31, 2016, respectively and an increase of $0.7 million in various other costs. The above increases were partially offset by a decrease of $3.1 million in technical maintenance expenses mainly related to scheduled dry-dockings and various planned repairs performed in the first nine months ended September 30, 2016. Overall, the average daily operating cost per vessel decreased from $15,441 per day for the nine-month period ended September 30, 2016 to $14,467 per day for the nine-month period ended September 30, 2017.</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20" w:firstLine="356"/>
        <w:spacing w:after="0" w:line="271" w:lineRule="auto"/>
        <w:rPr>
          <w:sz w:val="20"/>
          <w:szCs w:val="20"/>
          <w:color w:val="auto"/>
        </w:rPr>
      </w:pPr>
      <w:r>
        <w:rPr>
          <w:rFonts w:ascii="Arial" w:cs="Arial" w:eastAsia="Arial" w:hAnsi="Arial"/>
          <w:sz w:val="16"/>
          <w:szCs w:val="16"/>
          <w:color w:val="auto"/>
        </w:rPr>
        <w:t>Voyage expenses and commissions decreased by 46.5%, or $5.9 million, from $12.7 million during the nine-month period ended September 30, 2016 to $6.8 million during the nine-month period ended September 30, 2017. The decrease is mainly attributable to the movement in net allocation of the Cool Pool results of $8.7 million in the nine-month period ended September 30, 2017 in accordance with the profit sharing terms specified in the Pool Agreement entered into with Dynagas and Golar, partially offset by an increase of $2.0 million in bunkers consumption of the vessels operating in the spot market and an increase of $0.8 million in brokers’ commissions following the increase in revenues.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jc w:val="both"/>
        <w:ind w:right="40" w:firstLine="356"/>
        <w:spacing w:after="0" w:line="278" w:lineRule="auto"/>
        <w:rPr>
          <w:sz w:val="20"/>
          <w:szCs w:val="20"/>
          <w:color w:val="auto"/>
        </w:rPr>
      </w:pPr>
      <w:r>
        <w:rPr>
          <w:rFonts w:ascii="Arial" w:cs="Arial" w:eastAsia="Arial" w:hAnsi="Arial"/>
          <w:sz w:val="16"/>
          <w:szCs w:val="16"/>
          <w:color w:val="auto"/>
        </w:rPr>
        <w:t>Depreciation increased by 15.3%, or $13.6 million, from $89.0 million during the nine-month period ended September 30, 2016, to $102.6 million during the nine-month period ended September 30, 2017. The increase in depreciation resulted mainly from the increase in the average number of vessels in our fleet in the nine-month period ended September 30, 2017 compared to the same period of 2016.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0" w:firstLine="356"/>
        <w:spacing w:after="0" w:line="271" w:lineRule="auto"/>
        <w:rPr>
          <w:sz w:val="20"/>
          <w:szCs w:val="20"/>
          <w:color w:val="auto"/>
        </w:rPr>
      </w:pPr>
      <w:r>
        <w:rPr>
          <w:rFonts w:ascii="Arial" w:cs="Arial" w:eastAsia="Arial" w:hAnsi="Arial"/>
          <w:sz w:val="16"/>
          <w:szCs w:val="16"/>
          <w:color w:val="auto"/>
        </w:rPr>
        <w:t>General and administrative expenses increased by 6.3%, or $1.8 million, from $28.4 million during the nine-month period ended September 30, 2016, to $30.2 million during the nine-month period ended September 30, 2017. The increase is mainly attributable to an increase of $1.1 million in employee costs, an increase of $0.8 million in legal fees and other professional fees, mainly related to professional services for business development projects and an increase of $0.7 million in non-cash share-based compensation expense, partially offset by a $0.5 million decrease in net foreign exchange differences, mainly due to the favorable movement of foreign exchange rates in 2017 and a $0.3 million decrease in various other costs.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firstLine="356"/>
        <w:spacing w:after="0" w:line="286" w:lineRule="auto"/>
        <w:rPr>
          <w:sz w:val="20"/>
          <w:szCs w:val="20"/>
          <w:color w:val="auto"/>
        </w:rPr>
      </w:pPr>
      <w:r>
        <w:rPr>
          <w:rFonts w:ascii="Arial" w:cs="Arial" w:eastAsia="Arial" w:hAnsi="Arial"/>
          <w:sz w:val="15"/>
          <w:szCs w:val="15"/>
          <w:color w:val="auto"/>
        </w:rPr>
        <w:t>Financial costs decreased by 2.3%, or $2.5 million, from $106.8 million during the nine-month period ended September 30, 2016, to $104.3 million during the nine-month period ended September 30, 2017. The decrease is attributable to (a) a decrease of $22.8 million in the amortization of deferred loan issuance costs and premium mainly driven by (i) a write-off of $18.2 million of unamortized loan fees associated with the six legacy facilities that were refinanced by the Legacy Facility Re-financing which occurred in the third quarter 2016, (ii) a write-off of $1.5 million of unamortized bond fees and premium as a result of the June 2016 and 2017 bond repurchases and (iii) a write-off and accelerated amortization of $3.1 million due to the termination or scheduled prepayments of certain facilities, (b) a decrease of $0.9 million in other financial costs and (c) a decrease of $0.7 million in loss arising upon the repurchase of the existing bonds at a premium. The above decreases were partially offset by the increase of $9.7 million in interest expense on loans mainly due to the increased weighted average debt outstanding and the increased weighted average interest rate, as well as an increase of $10.7 million in realized losses on cross currency swaps (on which we apply hedge accounting) and interest expense on senior unsecured notes in the nine months ended September 30, 2017 compared to the same period in 2016 and an increase of $1.6 million in finance lease charges in 2017. During the nine-month period ended September 30, 2017, we had an average of $2,718.8 million of outstanding indebtedness, with a weighted average interest rate of 4.1%, while during the nine-month period ended September 30, 2016, we had an average of $2,373.5 million of outstanding indebtedness, with a weighted average interest rate of 3.5%. These weighted average interest rates include interest expense on loans and cash flow hedges and interest expense on bonds and CCS.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Swaps:</w:t>
      </w:r>
    </w:p>
    <w:p>
      <w:pPr>
        <w:spacing w:after="0" w:line="235" w:lineRule="exact"/>
        <w:rPr>
          <w:sz w:val="20"/>
          <w:szCs w:val="20"/>
          <w:color w:val="auto"/>
        </w:rPr>
      </w:pPr>
    </w:p>
    <w:p>
      <w:pPr>
        <w:ind w:right="60" w:firstLine="356"/>
        <w:spacing w:after="0" w:line="269" w:lineRule="auto"/>
        <w:rPr>
          <w:sz w:val="20"/>
          <w:szCs w:val="20"/>
          <w:color w:val="auto"/>
        </w:rPr>
      </w:pPr>
      <w:r>
        <w:rPr>
          <w:rFonts w:ascii="Arial" w:cs="Arial" w:eastAsia="Arial" w:hAnsi="Arial"/>
          <w:sz w:val="16"/>
          <w:szCs w:val="16"/>
          <w:color w:val="auto"/>
        </w:rPr>
        <w:t>Loss on swaps decreased by 83.2%, or $32.8 million, from $39.4 million during the nine-month period ended September 30, 2016, to $6.6 million during the nine-month period ended September 30, 2017. The decrease is mainly attributable to a decrease of $19.1 million in loss that was reclassified from equity to the statement of profit or loss (mainly due to $17.2 million of which related to the cumulative loss from the period the hedges of the interest rate swaps terminated in July 2016 were effective and $1.2 million related to the decrease from the CCS agreements terminations/ modification in June 2016 and June 2017), an increase of $11.7 million in gain from mark-to-market valuation of our derivative financial instruments carried at fair value through profit or loss, which reflected a gain of $2.0 million for the nine months ended September 30, 2017 as compared to a loss of $9.7 million for the nine months ended September 30, 2016, and a decrease of $1.9 million in realized loss from derivative financial instruments held for trading.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for the Period:</w:t>
      </w:r>
    </w:p>
    <w:p>
      <w:pPr>
        <w:spacing w:after="0" w:line="235"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Profit for the period increased by $72.9 million, from a loss of $18.4 million for the nine-month period ended September 30, 2016 to a profit of $54.5 million for the nine-month period ended September 30, 2017,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Attributable to Owners of the Group:</w:t>
      </w:r>
    </w:p>
    <w:p>
      <w:pPr>
        <w:spacing w:after="0" w:line="235" w:lineRule="exact"/>
        <w:rPr>
          <w:sz w:val="20"/>
          <w:szCs w:val="20"/>
          <w:color w:val="auto"/>
        </w:rPr>
      </w:pPr>
    </w:p>
    <w:p>
      <w:pPr>
        <w:ind w:right="20" w:firstLine="356"/>
        <w:spacing w:after="0" w:line="271" w:lineRule="auto"/>
        <w:rPr>
          <w:sz w:val="20"/>
          <w:szCs w:val="20"/>
          <w:color w:val="auto"/>
        </w:rPr>
      </w:pPr>
      <w:r>
        <w:rPr>
          <w:rFonts w:ascii="Arial" w:cs="Arial" w:eastAsia="Arial" w:hAnsi="Arial"/>
          <w:sz w:val="16"/>
          <w:szCs w:val="16"/>
          <w:color w:val="auto"/>
        </w:rPr>
        <w:t xml:space="preserve">Profit attributable to owners of the Group increased by $59.4 million, from a loss of $52.8 million for the nine-month period ended September 30, 2016 to a profit of $6.6 million for the nine-month period ended September 30, 2017. The increase in profit attributable to the owners of GasLog resulted from the increase in profit mentioned above, partially offset by the increase in profit attributable to the non-controlling interest (non-controlling unitholders of GasLog Partners) as a result of GasLog Partners’ equity offerings in August 2016 and January 2017, its ATM Programme implemented in May 2017, and the associated dropdowns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Geneva </w:t>
      </w:r>
      <w:r>
        <w:rPr>
          <w:rFonts w:ascii="Arial" w:cs="Arial" w:eastAsia="Arial" w:hAnsi="Arial"/>
          <w:sz w:val="16"/>
          <w:szCs w:val="16"/>
          <w:color w:val="auto"/>
        </w:rPr>
        <w:t>on November 1, 2016, May 3, 2017 and July 3,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firstLine="356"/>
        <w:spacing w:after="0" w:line="305" w:lineRule="auto"/>
        <w:rPr>
          <w:sz w:val="20"/>
          <w:szCs w:val="20"/>
          <w:color w:val="auto"/>
        </w:rPr>
      </w:pPr>
      <w:r>
        <w:rPr>
          <w:rFonts w:ascii="Arial" w:cs="Arial" w:eastAsia="Arial" w:hAnsi="Arial"/>
          <w:sz w:val="15"/>
          <w:szCs w:val="15"/>
          <w:color w:val="auto"/>
        </w:rPr>
        <w:t>For the nine-month period ended September 30, 2017, we received 93.8% of our revenues from Shell, 6.0% of our revenues from various charterers in the spot/short-term market and 0.2% of our revenues from Egypt LNG, an entity in which we have a 25% ownership interest. For the nine-month period ended September 30, 2016, we received 94.68% of our revenues from Shell, 5.31% of our revenues from various charterers in the spot/short-term market and 0.01% of our revenues from Egypt LNG.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ectPr>
          <w:pgSz w:w="11900" w:h="16838" w:orient="portrait"/>
          <w:cols w:equalWidth="0" w:num="1">
            <w:col w:w="11400"/>
          </w:cols>
          <w:pgMar w:left="240" w:top="130" w:right="259" w:bottom="82" w:gutter="0" w:footer="0" w:header="0"/>
        </w:sectPr>
      </w:pPr>
    </w:p>
    <w:bookmarkStart w:id="16" w:name="page17"/>
    <w:bookmarkEnd w:id="16"/>
    <w:p>
      <w:pPr>
        <w:spacing w:after="0" w:line="215" w:lineRule="auto"/>
        <w:framePr w:w="1420" w:h="144" w:wrap="auto" w:vAnchor="page" w:hAnchor="page" w:x="8360" w:y="12569"/>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September 30, 2017</w:t>
      </w:r>
    </w:p>
    <w:p>
      <w:pPr>
        <w:ind w:right="40" w:firstLine="356"/>
        <w:spacing w:after="0" w:line="305" w:lineRule="auto"/>
        <w:rPr>
          <w:sz w:val="20"/>
          <w:szCs w:val="20"/>
          <w:color w:val="auto"/>
        </w:rPr>
      </w:pPr>
      <w:r>
        <w:rPr>
          <w:rFonts w:ascii="Arial" w:cs="Arial" w:eastAsia="Arial" w:hAnsi="Arial"/>
          <w:sz w:val="15"/>
          <w:szCs w:val="15"/>
          <w:color w:val="auto"/>
        </w:rPr>
        <w:t>Our primary liquidity needs are to fund our ship-operating expenses, to finance the purchase and construction of our newbuildings and conversions, to purchase secondhand vessels, to service our existing debt and to pay dividends. In monitoring our working capital needs, we project our charter hire income and ships’ maintenance and running expenses, as well as debt service obligations, and seek to maintain adequate cash reserves in order to address revenue shortfalls or budget overruns, if any.</w:t>
      </w:r>
    </w:p>
    <w:p>
      <w:pPr>
        <w:spacing w:after="0" w:line="166" w:lineRule="exact"/>
        <w:rPr>
          <w:rFonts w:ascii="Arial" w:cs="Arial" w:eastAsia="Arial" w:hAnsi="Arial"/>
          <w:sz w:val="14"/>
          <w:szCs w:val="14"/>
          <w:b w:val="1"/>
          <w:bCs w:val="1"/>
          <w:u w:val="single" w:color="auto"/>
          <w:color w:val="auto"/>
        </w:rPr>
      </w:pPr>
    </w:p>
    <w:p>
      <w:pPr>
        <w:ind w:right="120" w:firstLine="356"/>
        <w:spacing w:after="0" w:line="293"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w:t>
      </w:r>
    </w:p>
    <w:p>
      <w:pPr>
        <w:spacing w:after="0" w:line="163" w:lineRule="exact"/>
        <w:rPr>
          <w:rFonts w:ascii="Arial" w:cs="Arial" w:eastAsia="Arial" w:hAnsi="Arial"/>
          <w:sz w:val="14"/>
          <w:szCs w:val="14"/>
          <w:b w:val="1"/>
          <w:bCs w:val="1"/>
          <w:u w:val="single" w:color="auto"/>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4"/>
          <w:szCs w:val="14"/>
          <w:b w:val="1"/>
          <w:bCs w:val="1"/>
          <w:u w:val="single" w:color="auto"/>
          <w:color w:val="auto"/>
        </w:rPr>
      </w:pPr>
    </w:p>
    <w:p>
      <w:pPr>
        <w:spacing w:after="0" w:line="200" w:lineRule="exact"/>
        <w:rPr>
          <w:rFonts w:ascii="Arial" w:cs="Arial" w:eastAsia="Arial" w:hAnsi="Arial"/>
          <w:sz w:val="14"/>
          <w:szCs w:val="14"/>
          <w:b w:val="1"/>
          <w:bCs w:val="1"/>
          <w:u w:val="single" w:color="auto"/>
          <w:color w:val="auto"/>
        </w:rPr>
      </w:pPr>
    </w:p>
    <w:p>
      <w:pPr>
        <w:spacing w:after="0" w:line="279" w:lineRule="exact"/>
        <w:rPr>
          <w:rFonts w:ascii="Arial" w:cs="Arial" w:eastAsia="Arial" w:hAnsi="Arial"/>
          <w:sz w:val="14"/>
          <w:szCs w:val="14"/>
          <w:b w:val="1"/>
          <w:bCs w:val="1"/>
          <w:u w:val="single" w:color="auto"/>
          <w:color w:val="auto"/>
        </w:rPr>
      </w:pPr>
    </w:p>
    <w:p>
      <w:pPr>
        <w:ind w:right="240"/>
        <w:spacing w:after="0" w:line="293" w:lineRule="auto"/>
        <w:rPr>
          <w:sz w:val="20"/>
          <w:szCs w:val="20"/>
          <w:color w:val="auto"/>
        </w:rPr>
      </w:pPr>
      <w:r>
        <w:rPr>
          <w:rFonts w:ascii="Arial" w:cs="Arial" w:eastAsia="Arial" w:hAnsi="Arial"/>
          <w:sz w:val="16"/>
          <w:szCs w:val="16"/>
          <w:color w:val="auto"/>
        </w:rPr>
        <w:t>We believe that these sources of funds will be sufficient to meet our liquidity needs, although there can be no assurance that we will be able to obtain future debt and equity financing on terms acceptable to us.</w:t>
      </w:r>
    </w:p>
    <w:p>
      <w:pPr>
        <w:spacing w:after="0" w:line="159" w:lineRule="exact"/>
        <w:rPr>
          <w:rFonts w:ascii="Arial" w:cs="Arial" w:eastAsia="Arial" w:hAnsi="Arial"/>
          <w:sz w:val="14"/>
          <w:szCs w:val="14"/>
          <w:b w:val="1"/>
          <w:bCs w:val="1"/>
          <w:u w:val="single" w:color="auto"/>
          <w:color w:val="auto"/>
        </w:rPr>
      </w:pPr>
    </w:p>
    <w:p>
      <w:pPr>
        <w:ind w:right="80" w:firstLine="363"/>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maintaining appropriate liquidity. Cash and cash equivalents are held primarily in U.S. dollars.</w:t>
      </w:r>
    </w:p>
    <w:p>
      <w:pPr>
        <w:spacing w:after="0" w:line="159" w:lineRule="exact"/>
        <w:rPr>
          <w:rFonts w:ascii="Arial" w:cs="Arial" w:eastAsia="Arial" w:hAnsi="Arial"/>
          <w:sz w:val="14"/>
          <w:szCs w:val="14"/>
          <w:b w:val="1"/>
          <w:bCs w:val="1"/>
          <w:u w:val="single" w:color="auto"/>
          <w:color w:val="auto"/>
        </w:rPr>
      </w:pPr>
    </w:p>
    <w:p>
      <w:pPr>
        <w:ind w:right="60" w:firstLine="356"/>
        <w:spacing w:after="0" w:line="278" w:lineRule="auto"/>
        <w:rPr>
          <w:sz w:val="20"/>
          <w:szCs w:val="20"/>
          <w:color w:val="auto"/>
        </w:rPr>
      </w:pPr>
      <w:r>
        <w:rPr>
          <w:rFonts w:ascii="Arial" w:cs="Arial" w:eastAsia="Arial" w:hAnsi="Arial"/>
          <w:sz w:val="16"/>
          <w:szCs w:val="16"/>
          <w:color w:val="auto"/>
        </w:rPr>
        <w:t>As of September 30, 2017, GasLog had $358.0 million of cash and cash equivalents, of which $223.3 million was held in time deposits and the remaining balance in current accounts. In addition, as of September 30, 2017, GasLog had $22.2 million held in time deposits with an initial duration of more than three months but less than a year that have been classified as short-term investments.</w:t>
      </w:r>
    </w:p>
    <w:p>
      <w:pPr>
        <w:spacing w:after="0" w:line="171" w:lineRule="exact"/>
        <w:rPr>
          <w:rFonts w:ascii="Arial" w:cs="Arial" w:eastAsia="Arial" w:hAnsi="Arial"/>
          <w:sz w:val="14"/>
          <w:szCs w:val="14"/>
          <w:b w:val="1"/>
          <w:bCs w:val="1"/>
          <w:u w:val="single" w:color="auto"/>
          <w:color w:val="auto"/>
        </w:rPr>
      </w:pPr>
    </w:p>
    <w:p>
      <w:pPr>
        <w:ind w:right="140" w:firstLine="356"/>
        <w:spacing w:after="0" w:line="278" w:lineRule="auto"/>
        <w:rPr>
          <w:sz w:val="20"/>
          <w:szCs w:val="20"/>
          <w:color w:val="auto"/>
        </w:rPr>
      </w:pPr>
      <w:r>
        <w:rPr>
          <w:rFonts w:ascii="Arial" w:cs="Arial" w:eastAsia="Arial" w:hAnsi="Arial"/>
          <w:sz w:val="16"/>
          <w:szCs w:val="16"/>
          <w:color w:val="auto"/>
        </w:rPr>
        <w:t xml:space="preserve">As of September 30, 2017, GasLog had an aggregate of $2.6 billion of indebtedness outstanding under its credit facilities and bond agreements (net of unamortized deferred loan fees), of which $178.8 million was repayable within one year, and a $215.2 million finance lease liability related to the sale and leaseback of the </w:t>
      </w:r>
      <w:r>
        <w:rPr>
          <w:rFonts w:ascii="Arial" w:cs="Arial" w:eastAsia="Arial" w:hAnsi="Arial"/>
          <w:sz w:val="16"/>
          <w:szCs w:val="16"/>
          <w:i w:val="1"/>
          <w:iCs w:val="1"/>
          <w:color w:val="auto"/>
        </w:rPr>
        <w:t>Methane Julia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Louise, </w:t>
      </w:r>
      <w:r>
        <w:rPr>
          <w:rFonts w:ascii="Arial" w:cs="Arial" w:eastAsia="Arial" w:hAnsi="Arial"/>
          <w:sz w:val="16"/>
          <w:szCs w:val="16"/>
          <w:color w:val="auto"/>
        </w:rPr>
        <w:t>of which $6.2 million was repayable within one year.</w:t>
      </w:r>
    </w:p>
    <w:p>
      <w:pPr>
        <w:spacing w:after="0" w:line="171" w:lineRule="exact"/>
        <w:rPr>
          <w:rFonts w:ascii="Arial" w:cs="Arial" w:eastAsia="Arial" w:hAnsi="Arial"/>
          <w:sz w:val="14"/>
          <w:szCs w:val="14"/>
          <w:b w:val="1"/>
          <w:bCs w:val="1"/>
          <w:u w:val="single" w:color="auto"/>
          <w:color w:val="auto"/>
        </w:rPr>
      </w:pPr>
    </w:p>
    <w:p>
      <w:pPr>
        <w:ind w:right="320" w:firstLine="356"/>
        <w:spacing w:after="0" w:line="293" w:lineRule="auto"/>
        <w:rPr>
          <w:sz w:val="20"/>
          <w:szCs w:val="20"/>
          <w:color w:val="auto"/>
        </w:rPr>
      </w:pPr>
      <w:r>
        <w:rPr>
          <w:rFonts w:ascii="Arial" w:cs="Arial" w:eastAsia="Arial" w:hAnsi="Arial"/>
          <w:sz w:val="16"/>
          <w:szCs w:val="16"/>
          <w:color w:val="auto"/>
        </w:rPr>
        <w:t>On April 5, 2017, GasLog prepaid $150.0 million of borrowings outstanding under the junior tranche of the Five Vessel Refinancing that subsidiaries of GasLog and GasLog Partners entered into on February 18, 2016, using part of the proceeds from the offering of the 8.875% Senior Notes.</w:t>
      </w:r>
    </w:p>
    <w:p>
      <w:pPr>
        <w:spacing w:after="0" w:line="159" w:lineRule="exact"/>
        <w:rPr>
          <w:rFonts w:ascii="Arial" w:cs="Arial" w:eastAsia="Arial" w:hAnsi="Arial"/>
          <w:sz w:val="14"/>
          <w:szCs w:val="14"/>
          <w:b w:val="1"/>
          <w:bCs w:val="1"/>
          <w:u w:val="single" w:color="auto"/>
          <w:color w:val="auto"/>
        </w:rPr>
      </w:pPr>
    </w:p>
    <w:p>
      <w:pPr>
        <w:ind w:right="160" w:firstLine="356"/>
        <w:spacing w:after="0" w:line="293" w:lineRule="auto"/>
        <w:rPr>
          <w:sz w:val="20"/>
          <w:szCs w:val="20"/>
          <w:color w:val="auto"/>
        </w:rPr>
      </w:pPr>
      <w:r>
        <w:rPr>
          <w:rFonts w:ascii="Arial" w:cs="Arial" w:eastAsia="Arial" w:hAnsi="Arial"/>
          <w:sz w:val="16"/>
          <w:szCs w:val="16"/>
          <w:color w:val="auto"/>
        </w:rPr>
        <w:t>On June 27, 2017, GasLog completed the repurchase of the outstanding NOK bonds maturing in April 2018, at a price of 103.0% of par value for total consideration of NOK 424.4 million ($70.8 million at the swapped rate under the associated CCSs).</w:t>
      </w:r>
    </w:p>
    <w:p>
      <w:pPr>
        <w:spacing w:after="0" w:line="159" w:lineRule="exact"/>
        <w:rPr>
          <w:rFonts w:ascii="Arial" w:cs="Arial" w:eastAsia="Arial" w:hAnsi="Arial"/>
          <w:sz w:val="14"/>
          <w:szCs w:val="14"/>
          <w:b w:val="1"/>
          <w:bCs w:val="1"/>
          <w:u w:val="single" w:color="auto"/>
          <w:color w:val="auto"/>
        </w:rPr>
      </w:pPr>
    </w:p>
    <w:p>
      <w:pPr>
        <w:ind w:firstLine="383"/>
        <w:spacing w:after="0" w:line="293" w:lineRule="auto"/>
        <w:rPr>
          <w:sz w:val="20"/>
          <w:szCs w:val="20"/>
          <w:color w:val="auto"/>
        </w:rPr>
      </w:pPr>
      <w:r>
        <w:rPr>
          <w:rFonts w:ascii="Arial" w:cs="Arial" w:eastAsia="Arial" w:hAnsi="Arial"/>
          <w:sz w:val="16"/>
          <w:szCs w:val="16"/>
          <w:color w:val="auto"/>
        </w:rPr>
        <w:t>On July 3, 2017, GasLog repaid $41.6 million of the revolving credit facility of the Legacy Facility Refinancing. As of September 30, 2017, there was undrawn available capacity of $100.0 million under the revolving credit facility of the Legacy Facility Refinancing.</w:t>
      </w:r>
    </w:p>
    <w:p>
      <w:pPr>
        <w:spacing w:after="0" w:line="159" w:lineRule="exact"/>
        <w:rPr>
          <w:rFonts w:ascii="Arial" w:cs="Arial" w:eastAsia="Arial" w:hAnsi="Arial"/>
          <w:sz w:val="14"/>
          <w:szCs w:val="14"/>
          <w:b w:val="1"/>
          <w:bCs w:val="1"/>
          <w:u w:val="single" w:color="auto"/>
          <w:color w:val="auto"/>
        </w:rPr>
      </w:pPr>
    </w:p>
    <w:p>
      <w:pPr>
        <w:ind w:right="60" w:firstLine="356"/>
        <w:spacing w:after="0" w:line="297" w:lineRule="auto"/>
        <w:rPr>
          <w:sz w:val="20"/>
          <w:szCs w:val="20"/>
          <w:color w:val="auto"/>
        </w:rPr>
      </w:pPr>
      <w:r>
        <w:rPr>
          <w:rFonts w:ascii="Arial" w:cs="Arial" w:eastAsia="Arial" w:hAnsi="Arial"/>
          <w:sz w:val="15"/>
          <w:szCs w:val="15"/>
          <w:color w:val="auto"/>
        </w:rPr>
        <w:t>As of September 30, 2017, GasLog’s principal commitments for capital expenditures are related to the five LNG carriers on order, which have a gross aggregate contract price of approximately $1.0 billion. As of September 30, 2017, the total remaining balance of the contract prices of the aforementioned newbuildings was $901.1 million that GasLog expects to be funded with the $664.0 million undrawn capacity under the financing agreement entered into on October 16, 2015, as well as cash balances, cash from operations, cash proceeds from future dropdowns, if any, and borrowings under new and existing debt agreements.</w:t>
      </w:r>
    </w:p>
    <w:p>
      <w:pPr>
        <w:spacing w:after="0" w:line="159" w:lineRule="exact"/>
        <w:rPr>
          <w:rFonts w:ascii="Arial" w:cs="Arial" w:eastAsia="Arial" w:hAnsi="Arial"/>
          <w:sz w:val="14"/>
          <w:szCs w:val="14"/>
          <w:b w:val="1"/>
          <w:bCs w:val="1"/>
          <w:u w:val="single" w:color="auto"/>
          <w:color w:val="auto"/>
        </w:rPr>
      </w:pPr>
    </w:p>
    <w:p>
      <w:pPr>
        <w:ind w:left="360"/>
        <w:spacing w:after="0"/>
        <w:rPr>
          <w:sz w:val="20"/>
          <w:szCs w:val="20"/>
          <w:color w:val="auto"/>
        </w:rPr>
      </w:pPr>
      <w:r>
        <w:rPr>
          <w:rFonts w:ascii="Arial" w:cs="Arial" w:eastAsia="Arial" w:hAnsi="Arial"/>
          <w:sz w:val="15"/>
          <w:szCs w:val="15"/>
          <w:color w:val="auto"/>
        </w:rPr>
        <w:t>GasLog has hedged 53.4% of its expected floating interest rate exposure on its outstanding debt (excluding the finance lease liability) as of September 30, 2017.</w:t>
      </w:r>
    </w:p>
    <w:p>
      <w:pPr>
        <w:spacing w:after="0" w:line="233" w:lineRule="exact"/>
        <w:rPr>
          <w:rFonts w:ascii="Arial" w:cs="Arial" w:eastAsia="Arial" w:hAnsi="Arial"/>
          <w:sz w:val="14"/>
          <w:szCs w:val="14"/>
          <w:b w:val="1"/>
          <w:bCs w:val="1"/>
          <w:u w:val="single" w:color="auto"/>
          <w:color w:val="auto"/>
        </w:rPr>
      </w:pPr>
    </w:p>
    <w:p>
      <w:pPr>
        <w:ind w:right="10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March 1, 2017 and Note 7 of our unaudited condensed consolidated financial statements included elsewhere in this report.</w:t>
      </w:r>
    </w:p>
    <w:p>
      <w:pPr>
        <w:spacing w:after="0" w:line="155" w:lineRule="exact"/>
        <w:rPr>
          <w:rFonts w:ascii="Arial" w:cs="Arial" w:eastAsia="Arial" w:hAnsi="Arial"/>
          <w:sz w:val="14"/>
          <w:szCs w:val="14"/>
          <w:b w:val="1"/>
          <w:bCs w:val="1"/>
          <w:u w:val="single" w:color="auto"/>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rFonts w:ascii="Arial" w:cs="Arial" w:eastAsia="Arial" w:hAnsi="Arial"/>
          <w:sz w:val="14"/>
          <w:szCs w:val="14"/>
          <w:b w:val="1"/>
          <w:bCs w:val="1"/>
          <w:u w:val="single" w:color="auto"/>
          <w:color w:val="auto"/>
        </w:rPr>
      </w:pPr>
    </w:p>
    <w:p>
      <w:pPr>
        <w:ind w:right="80" w:firstLine="383"/>
        <w:spacing w:after="0" w:line="293" w:lineRule="auto"/>
        <w:rPr>
          <w:sz w:val="20"/>
          <w:szCs w:val="20"/>
          <w:color w:val="auto"/>
        </w:rPr>
      </w:pPr>
      <w:r>
        <w:rPr>
          <w:rFonts w:ascii="Arial" w:cs="Arial" w:eastAsia="Arial" w:hAnsi="Arial"/>
          <w:sz w:val="16"/>
          <w:szCs w:val="16"/>
          <w:color w:val="auto"/>
        </w:rPr>
        <w:t>As of September 30, 2017, GasLog’s current assets totaled $407.8 million while current liabilities totaled $281.8 million, resulting in a positive working capital position of $126.0 million.</w:t>
      </w:r>
    </w:p>
    <w:p>
      <w:pPr>
        <w:spacing w:after="0" w:line="159" w:lineRule="exact"/>
        <w:rPr>
          <w:rFonts w:ascii="Arial" w:cs="Arial" w:eastAsia="Arial" w:hAnsi="Arial"/>
          <w:sz w:val="14"/>
          <w:szCs w:val="14"/>
          <w:b w:val="1"/>
          <w:bCs w:val="1"/>
          <w:u w:val="single" w:color="auto"/>
          <w:color w:val="auto"/>
        </w:rPr>
      </w:pPr>
    </w:p>
    <w:p>
      <w:pPr>
        <w:ind w:right="480" w:firstLine="383"/>
        <w:spacing w:after="0" w:line="369" w:lineRule="auto"/>
        <w:rPr>
          <w:sz w:val="20"/>
          <w:szCs w:val="20"/>
          <w:color w:val="auto"/>
        </w:rPr>
      </w:pPr>
      <w:r>
        <w:rPr>
          <w:rFonts w:ascii="Arial" w:cs="Arial" w:eastAsia="Arial" w:hAnsi="Arial"/>
          <w:sz w:val="14"/>
          <w:szCs w:val="14"/>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09" w:lineRule="exact"/>
        <w:rPr>
          <w:rFonts w:ascii="Arial" w:cs="Arial" w:eastAsia="Arial" w:hAnsi="Arial"/>
          <w:sz w:val="14"/>
          <w:szCs w:val="14"/>
          <w:b w:val="1"/>
          <w:bCs w:val="1"/>
          <w:u w:val="single" w:color="auto"/>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5" w:lineRule="exact"/>
        <w:rPr>
          <w:rFonts w:ascii="Arial" w:cs="Arial" w:eastAsia="Arial" w:hAnsi="Arial"/>
          <w:sz w:val="14"/>
          <w:szCs w:val="14"/>
          <w:b w:val="1"/>
          <w:bCs w:val="1"/>
          <w:u w:val="single" w:color="auto"/>
          <w:color w:val="auto"/>
        </w:rPr>
      </w:pPr>
    </w:p>
    <w:p>
      <w:pPr>
        <w:spacing w:after="0"/>
        <w:rPr>
          <w:sz w:val="20"/>
          <w:szCs w:val="20"/>
          <w:color w:val="auto"/>
        </w:rPr>
      </w:pPr>
      <w:r>
        <w:rPr>
          <w:rFonts w:ascii="Arial" w:cs="Arial" w:eastAsia="Arial" w:hAnsi="Arial"/>
          <w:sz w:val="16"/>
          <w:szCs w:val="16"/>
          <w:b w:val="1"/>
          <w:bCs w:val="1"/>
          <w:i w:val="1"/>
          <w:iCs w:val="1"/>
          <w:color w:val="auto"/>
        </w:rPr>
        <w:t>Nine-month period ended September 30, 2016 compared to the nine-month period ended September 30, 2017</w:t>
      </w:r>
    </w:p>
    <w:p>
      <w:pPr>
        <w:spacing w:after="0" w:line="221" w:lineRule="exact"/>
        <w:rPr>
          <w:rFonts w:ascii="Arial" w:cs="Arial" w:eastAsia="Arial" w:hAnsi="Arial"/>
          <w:sz w:val="14"/>
          <w:szCs w:val="14"/>
          <w:b w:val="1"/>
          <w:bCs w:val="1"/>
          <w:u w:val="single" w:color="auto"/>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00" w:lineRule="exact"/>
        <w:rPr>
          <w:rFonts w:ascii="Arial" w:cs="Arial" w:eastAsia="Arial" w:hAnsi="Arial"/>
          <w:sz w:val="14"/>
          <w:szCs w:val="14"/>
          <w:b w:val="1"/>
          <w:bCs w:val="1"/>
          <w:u w:val="single" w:color="auto"/>
          <w:color w:val="auto"/>
        </w:rPr>
      </w:pPr>
    </w:p>
    <w:p>
      <w:pPr>
        <w:spacing w:after="0" w:line="220" w:lineRule="exact"/>
        <w:rPr>
          <w:rFonts w:ascii="Arial" w:cs="Arial" w:eastAsia="Arial" w:hAnsi="Arial"/>
          <w:sz w:val="14"/>
          <w:szCs w:val="14"/>
          <w:b w:val="1"/>
          <w:bCs w:val="1"/>
          <w:u w:val="single" w:color="auto"/>
          <w:color w:val="auto"/>
        </w:rPr>
      </w:pPr>
    </w:p>
    <w:p>
      <w:pPr>
        <w:ind w:left="710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rFonts w:ascii="Arial" w:cs="Arial" w:eastAsia="Arial" w:hAnsi="Arial"/>
          <w:sz w:val="14"/>
          <w:szCs w:val="14"/>
          <w:b w:val="1"/>
          <w:bCs w:val="1"/>
          <w:u w:val="single" w:color="auto"/>
          <w:color w:val="auto"/>
        </w:rPr>
      </w:pPr>
    </w:p>
    <w:p>
      <w:pPr>
        <w:ind w:left="6720"/>
        <w:spacing w:after="0"/>
        <w:rPr>
          <w:sz w:val="20"/>
          <w:szCs w:val="20"/>
          <w:color w:val="auto"/>
        </w:rPr>
      </w:pPr>
      <w:r>
        <w:rPr>
          <w:rFonts w:ascii="Arial" w:cs="Arial" w:eastAsia="Arial" w:hAnsi="Arial"/>
          <w:sz w:val="16"/>
          <w:szCs w:val="16"/>
          <w:b w:val="1"/>
          <w:bCs w:val="1"/>
          <w:color w:val="auto"/>
        </w:rPr>
        <w:t>September 30,</w:t>
      </w:r>
    </w:p>
    <w:p>
      <w:pPr>
        <w:spacing w:after="0" w:line="19" w:lineRule="exact"/>
        <w:rPr>
          <w:rFonts w:ascii="Arial" w:cs="Arial" w:eastAsia="Arial" w:hAnsi="Arial"/>
          <w:sz w:val="14"/>
          <w:szCs w:val="14"/>
          <w:b w:val="1"/>
          <w:bCs w:val="1"/>
          <w:u w:val="single" w:color="auto"/>
          <w:color w:val="auto"/>
        </w:rPr>
      </w:pPr>
    </w:p>
    <w:p>
      <w:pPr>
        <w:ind w:left="7040"/>
        <w:spacing w:after="0"/>
        <w:rPr>
          <w:sz w:val="20"/>
          <w:szCs w:val="20"/>
          <w:color w:val="auto"/>
        </w:rPr>
      </w:pPr>
      <w:r>
        <w:rPr>
          <w:rFonts w:ascii="Arial" w:cs="Arial" w:eastAsia="Arial" w:hAnsi="Arial"/>
          <w:sz w:val="16"/>
          <w:szCs w:val="16"/>
          <w:b w:val="1"/>
          <w:bCs w:val="1"/>
          <w:color w:val="auto"/>
        </w:rPr>
        <w:t>2016</w:t>
      </w:r>
    </w:p>
    <w:p>
      <w:pPr>
        <w:spacing w:after="0" w:line="20" w:lineRule="exact"/>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column">
              <wp:posOffset>4147185</wp:posOffset>
            </wp:positionH>
            <wp:positionV relativeFrom="paragraph">
              <wp:posOffset>15875</wp:posOffset>
            </wp:positionV>
            <wp:extent cx="857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9" w:lineRule="exact"/>
        <w:rPr>
          <w:rFonts w:ascii="Arial" w:cs="Arial" w:eastAsia="Arial" w:hAnsi="Arial"/>
          <w:sz w:val="14"/>
          <w:szCs w:val="14"/>
          <w:b w:val="1"/>
          <w:bCs w:val="1"/>
          <w:u w:val="single" w:color="auto"/>
          <w:color w:val="auto"/>
        </w:rPr>
      </w:pPr>
    </w:p>
    <w:tbl>
      <w:tblPr>
        <w:tblLayout w:type="fixed"/>
        <w:tblInd w:w="1300" w:type="dxa"/>
        <w:tblCellMar>
          <w:top w:w="0" w:type="dxa"/>
          <w:left w:w="0" w:type="dxa"/>
          <w:bottom w:w="0" w:type="dxa"/>
          <w:right w:w="0" w:type="dxa"/>
        </w:tblCellMar>
      </w:tblPr>
      <w:tr>
        <w:trPr>
          <w:trHeight w:val="209"/>
        </w:trPr>
        <w:tc>
          <w:tcPr>
            <w:tcW w:w="434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8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0"/>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2820" w:type="dxa"/>
            <w:vAlign w:val="bottom"/>
            <w:shd w:val="clear" w:color="auto" w:fill="E5FFFF"/>
          </w:tcPr>
          <w:p>
            <w:pPr>
              <w:jc w:val="right"/>
              <w:ind w:right="499"/>
              <w:spacing w:after="0"/>
              <w:rPr>
                <w:sz w:val="20"/>
                <w:szCs w:val="20"/>
                <w:color w:val="auto"/>
              </w:rPr>
            </w:pPr>
            <w:r>
              <w:rPr>
                <w:rFonts w:ascii="Arial" w:cs="Arial" w:eastAsia="Arial" w:hAnsi="Arial"/>
                <w:sz w:val="16"/>
                <w:szCs w:val="16"/>
                <w:color w:val="auto"/>
              </w:rPr>
              <w:t>181,086</w:t>
            </w:r>
          </w:p>
        </w:tc>
        <w:tc>
          <w:tcPr>
            <w:tcW w:w="11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154,796</w:t>
            </w:r>
          </w:p>
        </w:tc>
      </w:tr>
      <w:tr>
        <w:trPr>
          <w:trHeight w:val="254"/>
        </w:trPr>
        <w:tc>
          <w:tcPr>
            <w:tcW w:w="43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20" w:type="dxa"/>
            <w:vAlign w:val="bottom"/>
          </w:tcPr>
          <w:p>
            <w:pPr>
              <w:jc w:val="right"/>
              <w:ind w:right="439"/>
              <w:spacing w:after="0"/>
              <w:rPr>
                <w:sz w:val="20"/>
                <w:szCs w:val="20"/>
                <w:color w:val="auto"/>
              </w:rPr>
            </w:pPr>
            <w:r>
              <w:rPr>
                <w:rFonts w:ascii="Arial" w:cs="Arial" w:eastAsia="Arial" w:hAnsi="Arial"/>
                <w:sz w:val="16"/>
                <w:szCs w:val="16"/>
                <w:color w:val="auto"/>
              </w:rPr>
              <w:t>(568,711)</w:t>
            </w:r>
          </w:p>
        </w:tc>
        <w:tc>
          <w:tcPr>
            <w:tcW w:w="1160" w:type="dxa"/>
            <w:vAlign w:val="bottom"/>
          </w:tcPr>
          <w:p>
            <w:pPr>
              <w:jc w:val="right"/>
              <w:spacing w:after="0"/>
              <w:rPr>
                <w:sz w:val="20"/>
                <w:szCs w:val="20"/>
                <w:color w:val="auto"/>
              </w:rPr>
            </w:pPr>
            <w:r>
              <w:rPr>
                <w:rFonts w:ascii="Arial" w:cs="Arial" w:eastAsia="Arial" w:hAnsi="Arial"/>
                <w:sz w:val="16"/>
                <w:szCs w:val="16"/>
                <w:color w:val="auto"/>
              </w:rPr>
              <w:t>(84,993)</w:t>
            </w:r>
          </w:p>
        </w:tc>
      </w:tr>
      <w:tr>
        <w:trPr>
          <w:trHeight w:val="260"/>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2820" w:type="dxa"/>
            <w:vAlign w:val="bottom"/>
            <w:shd w:val="clear" w:color="auto" w:fill="E5FFFF"/>
          </w:tcPr>
          <w:p>
            <w:pPr>
              <w:jc w:val="right"/>
              <w:ind w:right="499"/>
              <w:spacing w:after="0"/>
              <w:rPr>
                <w:sz w:val="20"/>
                <w:szCs w:val="20"/>
                <w:color w:val="auto"/>
              </w:rPr>
            </w:pPr>
            <w:r>
              <w:rPr>
                <w:rFonts w:ascii="Arial" w:cs="Arial" w:eastAsia="Arial" w:hAnsi="Arial"/>
                <w:sz w:val="16"/>
                <w:szCs w:val="16"/>
                <w:color w:val="auto"/>
              </w:rPr>
              <w:t>329,421</w:t>
            </w:r>
          </w:p>
        </w:tc>
        <w:tc>
          <w:tcPr>
            <w:tcW w:w="11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60,437</w:t>
            </w:r>
          </w:p>
        </w:tc>
      </w:tr>
    </w:tbl>
    <w:p>
      <w:pPr>
        <w:spacing w:after="0" w:line="193" w:lineRule="exact"/>
        <w:rPr>
          <w:rFonts w:ascii="Arial" w:cs="Arial" w:eastAsia="Arial" w:hAnsi="Arial"/>
          <w:sz w:val="14"/>
          <w:szCs w:val="14"/>
          <w:b w:val="1"/>
          <w:bCs w:val="1"/>
          <w:u w:val="single" w:color="auto"/>
          <w:color w:val="auto"/>
        </w:rPr>
      </w:pPr>
    </w:p>
    <w:p>
      <w:pPr>
        <w:ind w:left="3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21" w:lineRule="exact"/>
        <w:rPr>
          <w:rFonts w:ascii="Arial" w:cs="Arial" w:eastAsia="Arial" w:hAnsi="Arial"/>
          <w:sz w:val="14"/>
          <w:szCs w:val="14"/>
          <w:b w:val="1"/>
          <w:bCs w:val="1"/>
          <w:u w:val="single" w:color="auto"/>
          <w:color w:val="auto"/>
        </w:rPr>
      </w:pPr>
    </w:p>
    <w:p>
      <w:pPr>
        <w:ind w:right="80" w:firstLine="356"/>
        <w:spacing w:after="0" w:line="303" w:lineRule="auto"/>
        <w:rPr>
          <w:sz w:val="20"/>
          <w:szCs w:val="20"/>
          <w:color w:val="auto"/>
        </w:rPr>
      </w:pPr>
      <w:r>
        <w:rPr>
          <w:rFonts w:ascii="Arial" w:cs="Arial" w:eastAsia="Arial" w:hAnsi="Arial"/>
          <w:sz w:val="15"/>
          <w:szCs w:val="15"/>
          <w:color w:val="auto"/>
        </w:rPr>
        <w:t>Net cash provided by operating activities decreased by $26.3 million, from $181.1 million during the nine-month period ended September 30, 2016, to $154.8 million in the nine-month period ended September 30, 2017. The decrease was mainly attributable to an increase of $43.9 million in cash paid for interest including the interest paid for finance leases, a decrease of $34.3 million caused by movements in working capital accounts and a net increase of $3.8 million from the remaining movements, which were partially offset by an increase in revenues of $49.9 million and a decrease in voyage expenses and commissions of $5.9 million.</w:t>
      </w:r>
    </w:p>
    <w:p>
      <w:pPr>
        <w:spacing w:after="0" w:line="146" w:lineRule="exact"/>
        <w:rPr>
          <w:rFonts w:ascii="Arial" w:cs="Arial" w:eastAsia="Arial" w:hAnsi="Arial"/>
          <w:sz w:val="14"/>
          <w:szCs w:val="14"/>
          <w:b w:val="1"/>
          <w:bCs w:val="1"/>
          <w:u w:val="single" w:color="auto"/>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4"/>
          <w:szCs w:val="14"/>
          <w:b w:val="1"/>
          <w:bCs w:val="1"/>
          <w:u w:val="single" w:color="auto"/>
          <w:color w:val="auto"/>
        </w:rPr>
      </w:pPr>
    </w:p>
    <w:p>
      <w:pPr>
        <w:spacing w:after="0" w:line="200" w:lineRule="exact"/>
        <w:rPr>
          <w:rFonts w:ascii="Arial" w:cs="Arial" w:eastAsia="Arial" w:hAnsi="Arial"/>
          <w:sz w:val="14"/>
          <w:szCs w:val="14"/>
          <w:b w:val="1"/>
          <w:bCs w:val="1"/>
          <w:u w:val="single" w:color="auto"/>
          <w:color w:val="auto"/>
        </w:rPr>
      </w:pPr>
    </w:p>
    <w:p>
      <w:pPr>
        <w:spacing w:after="0" w:line="279" w:lineRule="exact"/>
        <w:rPr>
          <w:rFonts w:ascii="Arial" w:cs="Arial" w:eastAsia="Arial" w:hAnsi="Arial"/>
          <w:sz w:val="14"/>
          <w:szCs w:val="14"/>
          <w:b w:val="1"/>
          <w:bCs w:val="1"/>
          <w:u w:val="single" w:color="auto"/>
          <w:color w:val="auto"/>
        </w:rPr>
      </w:pPr>
    </w:p>
    <w:p>
      <w:pPr>
        <w:ind w:left="380"/>
        <w:spacing w:after="0"/>
        <w:rPr>
          <w:sz w:val="20"/>
          <w:szCs w:val="20"/>
          <w:color w:val="auto"/>
        </w:rPr>
      </w:pPr>
      <w:r>
        <w:rPr>
          <w:rFonts w:ascii="Arial" w:cs="Arial" w:eastAsia="Arial" w:hAnsi="Arial"/>
          <w:sz w:val="16"/>
          <w:szCs w:val="16"/>
          <w:i w:val="1"/>
          <w:iCs w:val="1"/>
          <w:color w:val="auto"/>
        </w:rPr>
        <w:t>Net Cash Used in Investing Activities</w:t>
      </w:r>
    </w:p>
    <w:p>
      <w:pPr>
        <w:sectPr>
          <w:pgSz w:w="11900" w:h="16838" w:orient="portrait"/>
          <w:cols w:equalWidth="0" w:num="1">
            <w:col w:w="11380"/>
          </w:cols>
          <w:pgMar w:left="240" w:top="130" w:right="279" w:bottom="0" w:gutter="0" w:footer="0" w:header="0"/>
        </w:sectPr>
      </w:pPr>
    </w:p>
    <w:bookmarkStart w:id="17" w:name="page18"/>
    <w:bookmarkEnd w:id="17"/>
    <w:p>
      <w:pPr>
        <w:jc w:val="both"/>
        <w:ind w:right="120" w:firstLine="363"/>
        <w:spacing w:after="0" w:line="273" w:lineRule="auto"/>
        <w:rPr>
          <w:sz w:val="20"/>
          <w:szCs w:val="20"/>
          <w:color w:val="auto"/>
        </w:rPr>
      </w:pPr>
      <w:r>
        <w:rPr>
          <w:rFonts w:ascii="Arial" w:cs="Arial" w:eastAsia="Arial" w:hAnsi="Arial"/>
          <w:sz w:val="16"/>
          <w:szCs w:val="16"/>
          <w:color w:val="auto"/>
        </w:rPr>
        <w:t>Net cash used in investing activities decreased by $483.7 million, from $568.7 million in the nine-month period ended September 30, 2016, to $85.0 million in the nine-month period ended September 30, 2017. The decrease is mainly attributable to a decrease of $507.2 million in payments for the construction costs of newbuildings and other fixed assets and an increase of $1.1 million in cash from interest income. The above movements were partially offset by $14.1 million in payments made for the investment in Gastrade and a net increase in short-term investments of $10.2 million in 2017 compared to the same period in 2016.</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21" w:lineRule="exact"/>
        <w:rPr>
          <w:sz w:val="20"/>
          <w:szCs w:val="20"/>
          <w:color w:val="auto"/>
        </w:rPr>
      </w:pPr>
    </w:p>
    <w:p>
      <w:pPr>
        <w:ind w:firstLine="363"/>
        <w:spacing w:after="0" w:line="289" w:lineRule="auto"/>
        <w:rPr>
          <w:sz w:val="20"/>
          <w:szCs w:val="20"/>
          <w:color w:val="auto"/>
        </w:rPr>
      </w:pPr>
      <w:r>
        <w:rPr>
          <w:rFonts w:ascii="Arial" w:cs="Arial" w:eastAsia="Arial" w:hAnsi="Arial"/>
          <w:sz w:val="15"/>
          <w:szCs w:val="15"/>
          <w:color w:val="auto"/>
        </w:rPr>
        <w:t>Net cash provided by financing activities decreased by $269.0 million, from $329.4 million in the nine-month period ended September 30, 2016, to $60.4 million in the nine-month period ended September 30, 2017. The decrease is mainly attributable to a decrease of $1,833.6 million in proceeds from our borrowings, a decrease in proceeds from the sale and leaseback of $217.0 million, a decrease of $61.2 million in restricted cash, an increase of $14.5 million in dividend payments and an increase of $1.8 million in payments for finance lease liabilities. The above movements were partially offset by a decrease in bank loan repayments of $1,594.0 million, an increase of $139.2 million in proceeds from the Partnership’s Series A Preference Units issuance, an increase of $79.7 million in proceeds from the GasLog Partners’ public offerings, net payments of $4.8 million related to the termination of our interest rate swap agreements and entering into new agreements in 2016, a decrease of $29.2 million in payments of loan issuance costs and a decrease of $12.0 million in payments for CCS termination/modification and the NOK bond repurchases.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25" w:lineRule="exact"/>
        <w:rPr>
          <w:sz w:val="20"/>
          <w:szCs w:val="20"/>
          <w:color w:val="auto"/>
        </w:rPr>
      </w:pPr>
    </w:p>
    <w:p>
      <w:pPr>
        <w:ind w:right="66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vessel utilization as of September 30,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Contracted Charter Revenues and Days from Time Charters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1"/>
        </w:trPr>
        <w:tc>
          <w:tcPr>
            <w:tcW w:w="39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On and</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39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after</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w:t>
            </w:r>
          </w:p>
        </w:tc>
        <w:tc>
          <w:tcPr>
            <w:tcW w:w="1120" w:type="dxa"/>
            <w:vAlign w:val="bottom"/>
          </w:tcPr>
          <w:p>
            <w:pPr>
              <w:spacing w:after="0"/>
              <w:rPr>
                <w:sz w:val="18"/>
                <w:szCs w:val="18"/>
                <w:color w:val="auto"/>
              </w:rPr>
            </w:pPr>
          </w:p>
        </w:tc>
        <w:tc>
          <w:tcPr>
            <w:tcW w:w="43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For the years ending December 31,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9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2022-2029</w:t>
            </w:r>
          </w:p>
        </w:tc>
        <w:tc>
          <w:tcPr>
            <w:tcW w:w="8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6"/>
        </w:trPr>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gridSpan w:val="5"/>
          </w:tcPr>
          <w:p>
            <w:pPr>
              <w:jc w:val="right"/>
              <w:ind w:right="859"/>
              <w:spacing w:after="0"/>
              <w:rPr>
                <w:sz w:val="20"/>
                <w:szCs w:val="20"/>
                <w:color w:val="auto"/>
              </w:rPr>
            </w:pPr>
            <w:r>
              <w:rPr>
                <w:rFonts w:ascii="Arial" w:cs="Arial" w:eastAsia="Arial" w:hAnsi="Arial"/>
                <w:sz w:val="16"/>
                <w:szCs w:val="16"/>
                <w:b w:val="1"/>
                <w:bCs w:val="1"/>
                <w:color w:val="auto"/>
              </w:rPr>
              <w:t>(in millions of U.S. dollars, except days and percentages)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9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120.61</w:t>
            </w:r>
          </w:p>
        </w:tc>
        <w:tc>
          <w:tcPr>
            <w:tcW w:w="11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473.98</w:t>
            </w:r>
          </w:p>
        </w:tc>
        <w:tc>
          <w:tcPr>
            <w:tcW w:w="10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486.80</w:t>
            </w:r>
          </w:p>
        </w:tc>
        <w:tc>
          <w:tcPr>
            <w:tcW w:w="10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425.36</w:t>
            </w:r>
          </w:p>
        </w:tc>
        <w:tc>
          <w:tcPr>
            <w:tcW w:w="98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327.99</w:t>
            </w:r>
          </w:p>
        </w:tc>
        <w:tc>
          <w:tcPr>
            <w:tcW w:w="13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1,361.24</w:t>
            </w:r>
          </w:p>
        </w:tc>
        <w:tc>
          <w:tcPr>
            <w:tcW w:w="9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3,195.98</w:t>
            </w: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1,626</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6,381</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6,491</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5,525</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4,076</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16,609</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40,708</w:t>
            </w:r>
          </w:p>
        </w:tc>
      </w:tr>
      <w:tr>
        <w:trPr>
          <w:trHeight w:val="203"/>
        </w:trPr>
        <w:tc>
          <w:tcPr>
            <w:tcW w:w="39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2,086</w:t>
            </w:r>
          </w:p>
        </w:tc>
        <w:tc>
          <w:tcPr>
            <w:tcW w:w="11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9,216</w:t>
            </w:r>
          </w:p>
        </w:tc>
        <w:tc>
          <w:tcPr>
            <w:tcW w:w="10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9,859</w:t>
            </w:r>
          </w:p>
        </w:tc>
        <w:tc>
          <w:tcPr>
            <w:tcW w:w="10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9,978</w:t>
            </w:r>
          </w:p>
        </w:tc>
        <w:tc>
          <w:tcPr>
            <w:tcW w:w="98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10,040</w:t>
            </w:r>
          </w:p>
        </w:tc>
        <w:tc>
          <w:tcPr>
            <w:tcW w:w="13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80,585</w:t>
            </w:r>
          </w:p>
        </w:tc>
        <w:tc>
          <w:tcPr>
            <w:tcW w:w="9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121,764</w:t>
            </w: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460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2,835</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3,368</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4,453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5,964</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63,976</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81,056</w:t>
            </w:r>
          </w:p>
        </w:tc>
      </w:tr>
      <w:tr>
        <w:trPr>
          <w:trHeight w:val="203"/>
        </w:trPr>
        <w:tc>
          <w:tcPr>
            <w:tcW w:w="3900" w:type="dxa"/>
            <w:vAlign w:val="bottom"/>
            <w:shd w:val="clear" w:color="auto" w:fill="E5FFFF"/>
          </w:tcPr>
          <w:p>
            <w:pPr>
              <w:spacing w:after="0"/>
              <w:rPr>
                <w:sz w:val="20"/>
                <w:szCs w:val="20"/>
                <w:color w:val="auto"/>
              </w:rPr>
            </w:pPr>
            <w:r>
              <w:rPr>
                <w:rFonts w:ascii="Arial" w:cs="Arial" w:eastAsia="Arial" w:hAnsi="Arial"/>
                <w:sz w:val="16"/>
                <w:szCs w:val="16"/>
                <w:color w:val="auto"/>
                <w:w w:val="98"/>
              </w:rPr>
              <w:t>Percentage of total contracted days/total available days</w:t>
            </w:r>
          </w:p>
        </w:tc>
        <w:tc>
          <w:tcPr>
            <w:tcW w:w="11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77.95%</w:t>
            </w:r>
          </w:p>
        </w:tc>
        <w:tc>
          <w:tcPr>
            <w:tcW w:w="11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69.24%</w:t>
            </w:r>
          </w:p>
        </w:tc>
        <w:tc>
          <w:tcPr>
            <w:tcW w:w="10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65.84%</w:t>
            </w:r>
          </w:p>
        </w:tc>
        <w:tc>
          <w:tcPr>
            <w:tcW w:w="10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55.37%</w:t>
            </w:r>
          </w:p>
        </w:tc>
        <w:tc>
          <w:tcPr>
            <w:tcW w:w="9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40.60%</w:t>
            </w:r>
          </w:p>
        </w:tc>
        <w:tc>
          <w:tcPr>
            <w:tcW w:w="13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20.61%</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883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93" w:lineRule="exact"/>
        <w:rPr>
          <w:sz w:val="20"/>
          <w:szCs w:val="20"/>
          <w:color w:val="auto"/>
        </w:rPr>
      </w:pPr>
    </w:p>
    <w:p>
      <w:pPr>
        <w:ind w:left="200" w:right="60" w:hanging="192"/>
        <w:spacing w:after="0" w:line="233" w:lineRule="auto"/>
        <w:tabs>
          <w:tab w:leader="none" w:pos="191"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time charter revenues and contracted days for five of our currently wholly owned ships, the twelve ships currently owned by the Partnership, the bareboat vessel and our five newbuildings on order for which we have secured time charters. Does not include charter revenues for the vessels operating in the spot/short-term market under the Cool Pool agreement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2" w:lineRule="exact"/>
        <w:rPr>
          <w:rFonts w:ascii="Arial" w:cs="Arial" w:eastAsia="Arial" w:hAnsi="Arial"/>
          <w:sz w:val="16"/>
          <w:szCs w:val="16"/>
          <w:color w:val="auto"/>
          <w:vertAlign w:val="superscript"/>
        </w:rPr>
      </w:pPr>
    </w:p>
    <w:p>
      <w:pPr>
        <w:ind w:left="200" w:right="160" w:hanging="192"/>
        <w:spacing w:after="0" w:line="193"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 w:lineRule="exact"/>
        <w:rPr>
          <w:rFonts w:ascii="Arial" w:cs="Arial" w:eastAsia="Arial" w:hAnsi="Arial"/>
          <w:sz w:val="18"/>
          <w:szCs w:val="18"/>
          <w:color w:val="auto"/>
          <w:vertAlign w:val="superscript"/>
        </w:rPr>
      </w:pPr>
    </w:p>
    <w:p>
      <w:pPr>
        <w:ind w:left="200" w:right="140" w:hanging="192"/>
        <w:spacing w:after="0" w:line="207"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79" w:lineRule="exact"/>
        <w:rPr>
          <w:sz w:val="20"/>
          <w:szCs w:val="20"/>
          <w:color w:val="auto"/>
        </w:rPr>
      </w:pPr>
    </w:p>
    <w:p>
      <w:pPr>
        <w:ind w:right="20" w:firstLine="356"/>
        <w:spacing w:after="0" w:line="285" w:lineRule="auto"/>
        <w:rPr>
          <w:sz w:val="20"/>
          <w:szCs w:val="20"/>
          <w:color w:val="auto"/>
        </w:rPr>
      </w:pPr>
      <w:r>
        <w:rPr>
          <w:rFonts w:ascii="Arial" w:cs="Arial" w:eastAsia="Arial" w:hAnsi="Arial"/>
          <w:sz w:val="15"/>
          <w:szCs w:val="15"/>
          <w:color w:val="auto"/>
        </w:rPr>
        <w:t xml:space="preserve">The table provides information about our contracted charter revenues based on contracts in effect as of September 30, 2017 for (a) the five ships in our currently wholly owned fleet, the twelve ships currently in the GasLog Partners’ fleet and the bareboat vessel for which we have secured time charters and (b) our five newbuildings on order. Other than the assumptions reflected in the footnotes to the table, including our assumption that our newbuildings are delivered on schedule, the table does not reflect events occurring after September 30, 2017.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5"/>
          <w:szCs w:val="15"/>
          <w:i w:val="1"/>
          <w:iCs w:val="1"/>
          <w:color w:val="auto"/>
        </w:rPr>
        <w:t>GasLog Singapore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Chelsea</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that are operating in the Cool Pool, any additional ships we may acquire in the future, nor does it reflect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options under our time charters that permit our charterers to extend the time charter terms for successive multi-year periods. The entry into time charter contracts for the </w:t>
      </w:r>
      <w:r>
        <w:rPr>
          <w:rFonts w:ascii="Arial" w:cs="Arial" w:eastAsia="Arial" w:hAnsi="Arial"/>
          <w:sz w:val="15"/>
          <w:szCs w:val="15"/>
          <w:i w:val="1"/>
          <w:iCs w:val="1"/>
          <w:color w:val="auto"/>
        </w:rPr>
        <w:t>GasLog Singapore</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Chelsea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and any additional ships we may acquire, or the exercise of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2017. For these reasons, the contracted charter revenue information presented above is not fact and should not be relied upon as being necessarily indicative of future results and readers are cautioned not to place undue reliance on this information.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25" w:lineRule="exact"/>
        <w:rPr>
          <w:sz w:val="20"/>
          <w:szCs w:val="20"/>
          <w:color w:val="auto"/>
        </w:rPr>
      </w:pPr>
    </w:p>
    <w:p>
      <w:pPr>
        <w:ind w:right="520" w:firstLine="356"/>
        <w:spacing w:after="0" w:line="329"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March 1, 2017 and Note 2 of our unaudited condensed consolidated financial statements included elsewhere in this report.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w:t>
      </w:r>
    </w:p>
    <w:p>
      <w:pPr>
        <w:sectPr>
          <w:pgSz w:w="11900" w:h="16838" w:orient="portrait"/>
          <w:cols w:equalWidth="0" w:num="1">
            <w:col w:w="11420"/>
          </w:cols>
          <w:pgMar w:left="240" w:top="130" w:right="2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9620" w:type="dxa"/>
            <w:vAlign w:val="bottom"/>
            <w:gridSpan w:val="12"/>
          </w:tcPr>
          <w:p>
            <w:pPr>
              <w:jc w:val="center"/>
              <w:ind w:left="171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2"/>
        </w:trPr>
        <w:tc>
          <w:tcPr>
            <w:tcW w:w="4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Page</w:t>
            </w:r>
          </w:p>
        </w:tc>
        <w:tc>
          <w:tcPr>
            <w:tcW w:w="40" w:type="dxa"/>
            <w:vAlign w:val="bottom"/>
          </w:tcPr>
          <w:p>
            <w:pPr>
              <w:spacing w:after="0"/>
              <w:rPr>
                <w:sz w:val="24"/>
                <w:szCs w:val="24"/>
                <w:color w:val="auto"/>
              </w:rPr>
            </w:pPr>
          </w:p>
        </w:tc>
      </w:tr>
      <w:tr>
        <w:trPr>
          <w:trHeight w:val="375"/>
        </w:trPr>
        <w:tc>
          <w:tcPr>
            <w:tcW w:w="76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0"/>
              </w:rPr>
              <w:t>Unaudited condensed consolidated statements of financial position as of December 31, 2016 and September 30, 2017</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F-2</w:t>
            </w:r>
          </w:p>
        </w:tc>
        <w:tc>
          <w:tcPr>
            <w:tcW w:w="40" w:type="dxa"/>
            <w:vAlign w:val="bottom"/>
          </w:tcPr>
          <w:p>
            <w:pPr>
              <w:spacing w:after="0"/>
              <w:rPr>
                <w:sz w:val="24"/>
                <w:szCs w:val="24"/>
                <w:color w:val="auto"/>
              </w:rPr>
            </w:pPr>
          </w:p>
        </w:tc>
      </w:tr>
      <w:tr>
        <w:trPr>
          <w:trHeight w:val="183"/>
        </w:trPr>
        <w:tc>
          <w:tcPr>
            <w:tcW w:w="9620" w:type="dxa"/>
            <w:vAlign w:val="bottom"/>
            <w:gridSpan w:val="12"/>
          </w:tcPr>
          <w:p>
            <w:pPr>
              <w:spacing w:after="0" w:line="183" w:lineRule="exact"/>
              <w:rPr>
                <w:sz w:val="20"/>
                <w:szCs w:val="20"/>
                <w:color w:val="auto"/>
              </w:rPr>
            </w:pPr>
            <w:r>
              <w:rPr>
                <w:rFonts w:ascii="Arial" w:cs="Arial" w:eastAsia="Arial" w:hAnsi="Arial"/>
                <w:sz w:val="16"/>
                <w:szCs w:val="16"/>
                <w:color w:val="0000FF"/>
              </w:rPr>
              <w:t>Unaudited condensed consolidated statements of profit or loss for the three and nine months ended September 30, 2016 and 2017</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F-3</w:t>
            </w:r>
          </w:p>
        </w:tc>
        <w:tc>
          <w:tcPr>
            <w:tcW w:w="40" w:type="dxa"/>
            <w:vAlign w:val="bottom"/>
          </w:tcPr>
          <w:p>
            <w:pPr>
              <w:spacing w:after="0"/>
              <w:rPr>
                <w:sz w:val="15"/>
                <w:szCs w:val="15"/>
                <w:color w:val="auto"/>
              </w:rPr>
            </w:pPr>
          </w:p>
        </w:tc>
      </w:tr>
      <w:tr>
        <w:trPr>
          <w:trHeight w:val="20"/>
        </w:trPr>
        <w:tc>
          <w:tcPr>
            <w:tcW w:w="438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620" w:type="dxa"/>
            <w:vAlign w:val="bottom"/>
            <w:gridSpan w:val="12"/>
          </w:tcPr>
          <w:p>
            <w:pPr>
              <w:spacing w:after="0" w:line="183" w:lineRule="exact"/>
              <w:rPr>
                <w:sz w:val="20"/>
                <w:szCs w:val="20"/>
                <w:color w:val="auto"/>
              </w:rPr>
            </w:pPr>
            <w:r>
              <w:rPr>
                <w:rFonts w:ascii="Arial" w:cs="Arial" w:eastAsia="Arial" w:hAnsi="Arial"/>
                <w:sz w:val="16"/>
                <w:szCs w:val="16"/>
                <w:color w:val="0000FF"/>
                <w:w w:val="91"/>
              </w:rPr>
              <w:t>Unaudited condensed consolidated statements of comprehensive income or loss for the three and nine months ended September 30, 2016 and 2017</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F-4</w:t>
            </w:r>
          </w:p>
        </w:tc>
        <w:tc>
          <w:tcPr>
            <w:tcW w:w="40" w:type="dxa"/>
            <w:vAlign w:val="bottom"/>
          </w:tcPr>
          <w:p>
            <w:pPr>
              <w:spacing w:after="0"/>
              <w:rPr>
                <w:sz w:val="15"/>
                <w:szCs w:val="15"/>
                <w:color w:val="auto"/>
              </w:rPr>
            </w:pPr>
          </w:p>
        </w:tc>
      </w:tr>
      <w:tr>
        <w:trPr>
          <w:trHeight w:val="183"/>
        </w:trPr>
        <w:tc>
          <w:tcPr>
            <w:tcW w:w="9520" w:type="dxa"/>
            <w:vAlign w:val="bottom"/>
            <w:tcBorders>
              <w:top w:val="single" w:sz="8" w:color="0000FF"/>
            </w:tcBorders>
            <w:gridSpan w:val="11"/>
          </w:tcPr>
          <w:p>
            <w:pPr>
              <w:spacing w:after="0" w:line="183" w:lineRule="exact"/>
              <w:rPr>
                <w:sz w:val="20"/>
                <w:szCs w:val="20"/>
                <w:color w:val="auto"/>
              </w:rPr>
            </w:pPr>
            <w:r>
              <w:rPr>
                <w:rFonts w:ascii="Arial" w:cs="Arial" w:eastAsia="Arial" w:hAnsi="Arial"/>
                <w:sz w:val="16"/>
                <w:szCs w:val="16"/>
                <w:color w:val="0000FF"/>
              </w:rPr>
              <w:t>Unaudited condensed consolidated statements of changes in equity for the nine months ended September 30, 2016 and 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F-5</w:t>
            </w:r>
          </w:p>
        </w:tc>
        <w:tc>
          <w:tcPr>
            <w:tcW w:w="40" w:type="dxa"/>
            <w:vAlign w:val="bottom"/>
          </w:tcPr>
          <w:p>
            <w:pPr>
              <w:spacing w:after="0"/>
              <w:rPr>
                <w:sz w:val="15"/>
                <w:szCs w:val="15"/>
                <w:color w:val="auto"/>
              </w:rPr>
            </w:pPr>
          </w:p>
        </w:tc>
      </w:tr>
      <w:tr>
        <w:trPr>
          <w:trHeight w:val="183"/>
        </w:trPr>
        <w:tc>
          <w:tcPr>
            <w:tcW w:w="7620" w:type="dxa"/>
            <w:vAlign w:val="bottom"/>
            <w:tcBorders>
              <w:top w:val="single" w:sz="8" w:color="0000FF"/>
            </w:tcBorders>
            <w:gridSpan w:val="6"/>
          </w:tcPr>
          <w:p>
            <w:pPr>
              <w:spacing w:after="0" w:line="183" w:lineRule="exact"/>
              <w:rPr>
                <w:sz w:val="20"/>
                <w:szCs w:val="20"/>
                <w:color w:val="auto"/>
              </w:rPr>
            </w:pPr>
            <w:r>
              <w:rPr>
                <w:rFonts w:ascii="Arial" w:cs="Arial" w:eastAsia="Arial" w:hAnsi="Arial"/>
                <w:sz w:val="16"/>
                <w:szCs w:val="16"/>
                <w:color w:val="0000FF"/>
                <w:w w:val="90"/>
              </w:rPr>
              <w:t>Unaudited condensed consolidated statements of cash flows for the nine months ended September 30, 2016 and 2017</w:t>
            </w:r>
          </w:p>
        </w:tc>
        <w:tc>
          <w:tcPr>
            <w:tcW w:w="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F-6</w:t>
            </w:r>
          </w:p>
        </w:tc>
        <w:tc>
          <w:tcPr>
            <w:tcW w:w="40" w:type="dxa"/>
            <w:vAlign w:val="bottom"/>
          </w:tcPr>
          <w:p>
            <w:pPr>
              <w:spacing w:after="0"/>
              <w:rPr>
                <w:sz w:val="15"/>
                <w:szCs w:val="15"/>
                <w:color w:val="auto"/>
              </w:rPr>
            </w:pPr>
          </w:p>
        </w:tc>
      </w:tr>
      <w:tr>
        <w:trPr>
          <w:trHeight w:val="183"/>
        </w:trPr>
        <w:tc>
          <w:tcPr>
            <w:tcW w:w="5100" w:type="dxa"/>
            <w:vAlign w:val="bottom"/>
            <w:tcBorders>
              <w:top w:val="single" w:sz="8" w:color="0000FF"/>
            </w:tcBorders>
            <w:gridSpan w:val="2"/>
          </w:tcPr>
          <w:p>
            <w:pPr>
              <w:spacing w:after="0" w:line="183"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15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F-7</w:t>
            </w:r>
          </w:p>
        </w:tc>
        <w:tc>
          <w:tcPr>
            <w:tcW w:w="40" w:type="dxa"/>
            <w:vAlign w:val="bottom"/>
          </w:tcPr>
          <w:p>
            <w:pPr>
              <w:spacing w:after="0"/>
              <w:rPr>
                <w:sz w:val="15"/>
                <w:szCs w:val="15"/>
                <w:color w:val="auto"/>
              </w:rPr>
            </w:pPr>
          </w:p>
        </w:tc>
      </w:tr>
      <w:tr>
        <w:trPr>
          <w:trHeight w:val="433"/>
        </w:trPr>
        <w:tc>
          <w:tcPr>
            <w:tcW w:w="43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gridSpan w:val="4"/>
          </w:tcPr>
          <w:p>
            <w:pPr>
              <w:jc w:val="center"/>
              <w:ind w:right="1300"/>
              <w:spacing w:after="0"/>
              <w:rPr>
                <w:sz w:val="20"/>
                <w:szCs w:val="20"/>
                <w:color w:val="auto"/>
              </w:rPr>
            </w:pPr>
            <w:r>
              <w:rPr>
                <w:rFonts w:ascii="Arial" w:cs="Arial" w:eastAsia="Arial" w:hAnsi="Arial"/>
                <w:sz w:val="16"/>
                <w:szCs w:val="16"/>
                <w:color w:val="auto"/>
                <w:w w:val="91"/>
              </w:rPr>
              <w:t>F-1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43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1"/>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2016 and September 30, 2017</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4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6"/>
                <w:szCs w:val="16"/>
                <w:b w:val="1"/>
                <w:bCs w:val="1"/>
                <w:color w:val="auto"/>
              </w:rPr>
              <w:t>Note</w:t>
            </w:r>
          </w:p>
        </w:tc>
        <w:tc>
          <w:tcPr>
            <w:tcW w:w="2000" w:type="dxa"/>
            <w:vAlign w:val="bottom"/>
            <w:gridSpan w:val="6"/>
          </w:tcPr>
          <w:p>
            <w:pPr>
              <w:ind w:left="200"/>
              <w:spacing w:after="0"/>
              <w:rPr>
                <w:sz w:val="20"/>
                <w:szCs w:val="20"/>
                <w:color w:val="auto"/>
              </w:rPr>
            </w:pPr>
            <w:r>
              <w:rPr>
                <w:rFonts w:ascii="Arial" w:cs="Arial" w:eastAsia="Arial" w:hAnsi="Arial"/>
                <w:sz w:val="16"/>
                <w:szCs w:val="16"/>
                <w:b w:val="1"/>
                <w:bCs w:val="1"/>
                <w:color w:val="auto"/>
              </w:rPr>
              <w:t>December 31, 2016</w:t>
            </w:r>
          </w:p>
        </w:tc>
        <w:tc>
          <w:tcPr>
            <w:tcW w:w="180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September 30, 2017</w:t>
            </w:r>
          </w:p>
        </w:tc>
        <w:tc>
          <w:tcPr>
            <w:tcW w:w="40" w:type="dxa"/>
            <w:vAlign w:val="bottom"/>
          </w:tcPr>
          <w:p>
            <w:pPr>
              <w:spacing w:after="0"/>
              <w:rPr>
                <w:sz w:val="24"/>
                <w:szCs w:val="24"/>
                <w:color w:val="auto"/>
              </w:rPr>
            </w:pPr>
          </w:p>
        </w:tc>
      </w:tr>
      <w:tr>
        <w:trPr>
          <w:trHeight w:val="189"/>
        </w:trPr>
        <w:tc>
          <w:tcPr>
            <w:tcW w:w="5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540" w:type="dxa"/>
            <w:vAlign w:val="bottom"/>
            <w:tcBorders>
              <w:top w:val="single" w:sz="8" w:color="E5FFFF"/>
            </w:tcBorders>
            <w:shd w:val="clear" w:color="auto" w:fill="E5FFFF"/>
          </w:tcPr>
          <w:p>
            <w:pPr>
              <w:spacing w:after="0"/>
              <w:rPr>
                <w:sz w:val="16"/>
                <w:szCs w:val="16"/>
                <w:color w:val="auto"/>
              </w:rPr>
            </w:pPr>
          </w:p>
        </w:tc>
        <w:tc>
          <w:tcPr>
            <w:tcW w:w="6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400" w:type="dxa"/>
            <w:vAlign w:val="bottom"/>
            <w:tcBorders>
              <w:top w:val="single" w:sz="8" w:color="auto"/>
            </w:tcBorders>
            <w:shd w:val="clear" w:color="auto" w:fill="E5FFFF"/>
          </w:tcPr>
          <w:p>
            <w:pPr>
              <w:spacing w:after="0"/>
              <w:rPr>
                <w:sz w:val="16"/>
                <w:szCs w:val="16"/>
                <w:color w:val="auto"/>
              </w:rPr>
            </w:pPr>
          </w:p>
        </w:tc>
        <w:tc>
          <w:tcPr>
            <w:tcW w:w="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auto"/>
            </w:tcBorders>
            <w:shd w:val="clear" w:color="auto" w:fill="E5FFFF"/>
          </w:tcPr>
          <w:p>
            <w:pPr>
              <w:spacing w:after="0"/>
              <w:rPr>
                <w:sz w:val="16"/>
                <w:szCs w:val="16"/>
                <w:color w:val="auto"/>
              </w:rPr>
            </w:pPr>
          </w:p>
        </w:tc>
        <w:tc>
          <w:tcPr>
            <w:tcW w:w="94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spacing w:after="0"/>
              <w:rPr>
                <w:sz w:val="16"/>
                <w:szCs w:val="16"/>
                <w:color w:val="auto"/>
              </w:rPr>
            </w:pPr>
          </w:p>
        </w:tc>
        <w:tc>
          <w:tcPr>
            <w:tcW w:w="500" w:type="dxa"/>
            <w:vAlign w:val="bottom"/>
            <w:tcBorders>
              <w:top w:val="single" w:sz="8" w:color="auto"/>
            </w:tcBorders>
            <w:shd w:val="clear" w:color="auto" w:fill="E5FFFF"/>
          </w:tcPr>
          <w:p>
            <w:pPr>
              <w:spacing w:after="0"/>
              <w:rPr>
                <w:sz w:val="16"/>
                <w:szCs w:val="16"/>
                <w:color w:val="auto"/>
              </w:rPr>
            </w:pPr>
          </w:p>
        </w:tc>
        <w:tc>
          <w:tcPr>
            <w:tcW w:w="92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Goodwill</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00" w:type="dxa"/>
            <w:vAlign w:val="bottom"/>
            <w:gridSpan w:val="5"/>
            <w:shd w:val="clear" w:color="auto" w:fill="E5FFFF"/>
          </w:tcPr>
          <w:p>
            <w:pPr>
              <w:jc w:val="right"/>
              <w:ind w:right="200"/>
              <w:spacing w:after="0"/>
              <w:rPr>
                <w:sz w:val="20"/>
                <w:szCs w:val="20"/>
                <w:color w:val="auto"/>
              </w:rPr>
            </w:pPr>
            <w:r>
              <w:rPr>
                <w:rFonts w:ascii="Arial" w:cs="Arial" w:eastAsia="Arial" w:hAnsi="Arial"/>
                <w:sz w:val="16"/>
                <w:szCs w:val="16"/>
                <w:color w:val="auto"/>
              </w:rPr>
              <w:t>9,511</w:t>
            </w: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9,511</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Investment in associates</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6,265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20,470</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12,045</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14,300</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1,824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425</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7,856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12,598</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Tangible fixed assets</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3,889,047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3,799,258</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96,356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161,365</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Vessel held under finance lease</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222,004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216,264</w:t>
            </w:r>
          </w:p>
        </w:tc>
        <w:tc>
          <w:tcPr>
            <w:tcW w:w="40" w:type="dxa"/>
            <w:vAlign w:val="bottom"/>
          </w:tcPr>
          <w:p>
            <w:pPr>
              <w:spacing w:after="0"/>
              <w:rPr>
                <w:sz w:val="17"/>
                <w:szCs w:val="17"/>
                <w:color w:val="auto"/>
              </w:rPr>
            </w:pPr>
          </w:p>
        </w:tc>
      </w:tr>
      <w:tr>
        <w:trPr>
          <w:trHeight w:val="196"/>
        </w:trPr>
        <w:tc>
          <w:tcPr>
            <w:tcW w:w="5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5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4,244,908</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4,234,191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51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9,256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7,874</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3,065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3,843</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82</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2,709</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8,461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9,142</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4,326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3,960</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Short-term investments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18,000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22,244</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Restricted cash</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227,024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358,025</w:t>
            </w:r>
          </w:p>
        </w:tc>
        <w:tc>
          <w:tcPr>
            <w:tcW w:w="40" w:type="dxa"/>
            <w:vAlign w:val="bottom"/>
          </w:tcPr>
          <w:p>
            <w:pPr>
              <w:spacing w:after="0"/>
              <w:rPr>
                <w:sz w:val="17"/>
                <w:szCs w:val="17"/>
                <w:color w:val="auto"/>
              </w:rPr>
            </w:pPr>
          </w:p>
        </w:tc>
      </w:tr>
      <w:tr>
        <w:trPr>
          <w:trHeight w:val="196"/>
        </w:trPr>
        <w:tc>
          <w:tcPr>
            <w:tcW w:w="5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15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270,256</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407,797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5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1540" w:type="dxa"/>
            <w:vAlign w:val="bottom"/>
            <w:tcBorders>
              <w:bottom w:val="single" w:sz="8" w:color="E5FFFF"/>
            </w:tcBorders>
          </w:tcPr>
          <w:p>
            <w:pPr>
              <w:spacing w:after="0"/>
              <w:rPr>
                <w:sz w:val="20"/>
                <w:szCs w:val="20"/>
                <w:color w:val="auto"/>
              </w:rPr>
            </w:pPr>
          </w:p>
        </w:tc>
        <w:tc>
          <w:tcPr>
            <w:tcW w:w="68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40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4,515,164</w:t>
            </w:r>
          </w:p>
        </w:tc>
        <w:tc>
          <w:tcPr>
            <w:tcW w:w="20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4,641,988</w:t>
            </w:r>
          </w:p>
        </w:tc>
        <w:tc>
          <w:tcPr>
            <w:tcW w:w="10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r>
      <w:tr>
        <w:trPr>
          <w:trHeight w:val="156"/>
        </w:trPr>
        <w:tc>
          <w:tcPr>
            <w:tcW w:w="5100" w:type="dxa"/>
            <w:vAlign w:val="bottom"/>
            <w:gridSpan w:val="2"/>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Equity and liabilities</w:t>
            </w:r>
          </w:p>
        </w:tc>
        <w:tc>
          <w:tcPr>
            <w:tcW w:w="1540" w:type="dxa"/>
            <w:vAlign w:val="bottom"/>
            <w:shd w:val="clear" w:color="auto" w:fill="E5FFFF"/>
          </w:tcPr>
          <w:p>
            <w:pPr>
              <w:spacing w:after="0"/>
              <w:rPr>
                <w:sz w:val="13"/>
                <w:szCs w:val="13"/>
                <w:color w:val="auto"/>
              </w:rPr>
            </w:pPr>
          </w:p>
        </w:tc>
        <w:tc>
          <w:tcPr>
            <w:tcW w:w="68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40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320" w:type="dxa"/>
            <w:vAlign w:val="bottom"/>
            <w:shd w:val="clear" w:color="auto" w:fill="E5FFFF"/>
          </w:tcPr>
          <w:p>
            <w:pPr>
              <w:spacing w:after="0"/>
              <w:rPr>
                <w:sz w:val="13"/>
                <w:szCs w:val="13"/>
                <w:color w:val="auto"/>
              </w:rPr>
            </w:pPr>
          </w:p>
        </w:tc>
        <w:tc>
          <w:tcPr>
            <w:tcW w:w="94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500" w:type="dxa"/>
            <w:vAlign w:val="bottom"/>
            <w:shd w:val="clear" w:color="auto" w:fill="E5FFFF"/>
          </w:tcPr>
          <w:p>
            <w:pPr>
              <w:spacing w:after="0"/>
              <w:rPr>
                <w:sz w:val="13"/>
                <w:szCs w:val="13"/>
                <w:color w:val="auto"/>
              </w:rPr>
            </w:pPr>
          </w:p>
        </w:tc>
        <w:tc>
          <w:tcPr>
            <w:tcW w:w="92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11</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Share capital</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810</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11</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966,974</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925,573</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Reserves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10,160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17,776</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Treasury shares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11</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00" w:type="dxa"/>
            <w:vAlign w:val="bottom"/>
            <w:gridSpan w:val="5"/>
            <w:shd w:val="clear" w:color="auto" w:fill="E5FFFF"/>
          </w:tcPr>
          <w:p>
            <w:pPr>
              <w:jc w:val="right"/>
              <w:ind w:right="140"/>
              <w:spacing w:after="0"/>
              <w:rPr>
                <w:sz w:val="20"/>
                <w:szCs w:val="20"/>
                <w:color w:val="auto"/>
              </w:rPr>
            </w:pPr>
            <w:r>
              <w:rPr>
                <w:rFonts w:ascii="Arial" w:cs="Arial" w:eastAsia="Arial" w:hAnsi="Arial"/>
                <w:sz w:val="16"/>
                <w:szCs w:val="16"/>
                <w:color w:val="auto"/>
              </w:rPr>
              <w:t>(10,861)</w:t>
            </w: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60"/>
              <w:spacing w:after="0"/>
              <w:rPr>
                <w:sz w:val="20"/>
                <w:szCs w:val="20"/>
                <w:color w:val="auto"/>
              </w:rPr>
            </w:pPr>
            <w:r>
              <w:rPr>
                <w:rFonts w:ascii="Arial" w:cs="Arial" w:eastAsia="Arial" w:hAnsi="Arial"/>
                <w:sz w:val="16"/>
                <w:szCs w:val="16"/>
                <w:color w:val="auto"/>
              </w:rPr>
              <w:t>(8,649)</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5"/>
          </w:tcPr>
          <w:p>
            <w:pPr>
              <w:jc w:val="right"/>
              <w:ind w:right="140"/>
              <w:spacing w:after="0"/>
              <w:rPr>
                <w:sz w:val="20"/>
                <w:szCs w:val="20"/>
                <w:color w:val="auto"/>
              </w:rPr>
            </w:pPr>
            <w:r>
              <w:rPr>
                <w:rFonts w:ascii="Arial" w:cs="Arial" w:eastAsia="Arial" w:hAnsi="Arial"/>
                <w:sz w:val="16"/>
                <w:szCs w:val="16"/>
                <w:color w:val="auto"/>
              </w:rPr>
              <w:t>(21,486)</w:t>
            </w:r>
          </w:p>
        </w:tc>
        <w:tc>
          <w:tcPr>
            <w:tcW w:w="100" w:type="dxa"/>
            <w:vAlign w:val="bottom"/>
          </w:tcPr>
          <w:p>
            <w:pPr>
              <w:spacing w:after="0"/>
              <w:rPr>
                <w:sz w:val="17"/>
                <w:szCs w:val="17"/>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6"/>
                <w:szCs w:val="16"/>
                <w:color w:val="auto"/>
              </w:rPr>
              <w:t>(14,914)</w:t>
            </w:r>
          </w:p>
        </w:tc>
        <w:tc>
          <w:tcPr>
            <w:tcW w:w="40" w:type="dxa"/>
            <w:vAlign w:val="bottom"/>
          </w:tcPr>
          <w:p>
            <w:pPr>
              <w:spacing w:after="0"/>
              <w:rPr>
                <w:sz w:val="17"/>
                <w:szCs w:val="17"/>
                <w:color w:val="auto"/>
              </w:rPr>
            </w:pPr>
          </w:p>
        </w:tc>
      </w:tr>
      <w:tr>
        <w:trPr>
          <w:trHeight w:val="196"/>
        </w:trPr>
        <w:tc>
          <w:tcPr>
            <w:tcW w:w="5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5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945,643</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920,642</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564,039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834,855</w:t>
            </w:r>
          </w:p>
        </w:tc>
        <w:tc>
          <w:tcPr>
            <w:tcW w:w="40" w:type="dxa"/>
            <w:vAlign w:val="bottom"/>
          </w:tcPr>
          <w:p>
            <w:pPr>
              <w:spacing w:after="0"/>
              <w:rPr>
                <w:sz w:val="17"/>
                <w:szCs w:val="17"/>
                <w:color w:val="auto"/>
              </w:rPr>
            </w:pPr>
          </w:p>
        </w:tc>
      </w:tr>
      <w:tr>
        <w:trPr>
          <w:trHeight w:val="196"/>
        </w:trPr>
        <w:tc>
          <w:tcPr>
            <w:tcW w:w="51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equity</w:t>
            </w:r>
          </w:p>
        </w:tc>
        <w:tc>
          <w:tcPr>
            <w:tcW w:w="15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1,509,682</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1,755,497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51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7,255</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6,877</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Ship management creditors</w:t>
            </w: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1,751</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Amounts due to related parties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8</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97</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Derivative financial instruments</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7,854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4,472</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10</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93,386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83,651</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Borrowings, current portion</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147,448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178,773</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6</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5,946</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6,210</w:t>
            </w:r>
          </w:p>
        </w:tc>
        <w:tc>
          <w:tcPr>
            <w:tcW w:w="40" w:type="dxa"/>
            <w:vAlign w:val="bottom"/>
          </w:tcPr>
          <w:p>
            <w:pPr>
              <w:spacing w:after="0"/>
              <w:rPr>
                <w:sz w:val="17"/>
                <w:szCs w:val="17"/>
                <w:color w:val="auto"/>
              </w:rPr>
            </w:pPr>
          </w:p>
        </w:tc>
      </w:tr>
      <w:tr>
        <w:trPr>
          <w:trHeight w:val="196"/>
        </w:trPr>
        <w:tc>
          <w:tcPr>
            <w:tcW w:w="5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Total current liabilities</w:t>
            </w:r>
          </w:p>
        </w:tc>
        <w:tc>
          <w:tcPr>
            <w:tcW w:w="1540" w:type="dxa"/>
            <w:vAlign w:val="bottom"/>
            <w:tcBorders>
              <w:bottom w:val="single" w:sz="8" w:color="E5FFFF"/>
            </w:tcBorders>
          </w:tcPr>
          <w:p>
            <w:pPr>
              <w:spacing w:after="0"/>
              <w:rPr>
                <w:sz w:val="17"/>
                <w:szCs w:val="17"/>
                <w:color w:val="auto"/>
              </w:rPr>
            </w:pP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0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262,835</w:t>
            </w:r>
          </w:p>
        </w:tc>
        <w:tc>
          <w:tcPr>
            <w:tcW w:w="20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281,831</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5100" w:type="dxa"/>
            <w:vAlign w:val="bottom"/>
            <w:gridSpan w:val="2"/>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54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Derivative financial instruments</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22,485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Borrowings, non-current portion</w:t>
            </w:r>
          </w:p>
        </w:tc>
        <w:tc>
          <w:tcPr>
            <w:tcW w:w="2220" w:type="dxa"/>
            <w:vAlign w:val="bottom"/>
            <w:gridSpan w:val="2"/>
            <w:shd w:val="clear" w:color="auto" w:fill="E5FFFF"/>
          </w:tcPr>
          <w:p>
            <w:pPr>
              <w:jc w:val="center"/>
              <w:ind w:left="1459"/>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2,504,578</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2,394,251</w:t>
            </w:r>
          </w:p>
        </w:tc>
        <w:tc>
          <w:tcPr>
            <w:tcW w:w="40" w:type="dxa"/>
            <w:vAlign w:val="bottom"/>
          </w:tcPr>
          <w:p>
            <w:pPr>
              <w:spacing w:after="0"/>
              <w:rPr>
                <w:sz w:val="17"/>
                <w:szCs w:val="17"/>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Finance lease liability, non-current portion</w:t>
            </w:r>
          </w:p>
        </w:tc>
        <w:tc>
          <w:tcPr>
            <w:tcW w:w="2220" w:type="dxa"/>
            <w:vAlign w:val="bottom"/>
            <w:gridSpan w:val="2"/>
          </w:tcPr>
          <w:p>
            <w:pPr>
              <w:jc w:val="center"/>
              <w:ind w:left="1459"/>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214,455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209,008</w:t>
            </w:r>
          </w:p>
        </w:tc>
        <w:tc>
          <w:tcPr>
            <w:tcW w:w="40" w:type="dxa"/>
            <w:vAlign w:val="bottom"/>
          </w:tcPr>
          <w:p>
            <w:pPr>
              <w:spacing w:after="0"/>
              <w:rPr>
                <w:sz w:val="17"/>
                <w:szCs w:val="17"/>
                <w:color w:val="auto"/>
              </w:rPr>
            </w:pPr>
          </w:p>
        </w:tc>
      </w:tr>
      <w:tr>
        <w:trPr>
          <w:trHeight w:val="203"/>
        </w:trPr>
        <w:tc>
          <w:tcPr>
            <w:tcW w:w="5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5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1,129</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1,378</w:t>
            </w:r>
          </w:p>
        </w:tc>
        <w:tc>
          <w:tcPr>
            <w:tcW w:w="40" w:type="dxa"/>
            <w:vAlign w:val="bottom"/>
          </w:tcPr>
          <w:p>
            <w:pPr>
              <w:spacing w:after="0"/>
              <w:rPr>
                <w:sz w:val="17"/>
                <w:szCs w:val="17"/>
                <w:color w:val="auto"/>
              </w:rPr>
            </w:pPr>
          </w:p>
        </w:tc>
      </w:tr>
      <w:tr>
        <w:trPr>
          <w:trHeight w:val="196"/>
        </w:trPr>
        <w:tc>
          <w:tcPr>
            <w:tcW w:w="5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Total non-current liabilities</w:t>
            </w:r>
          </w:p>
        </w:tc>
        <w:tc>
          <w:tcPr>
            <w:tcW w:w="1540" w:type="dxa"/>
            <w:vAlign w:val="bottom"/>
            <w:tcBorders>
              <w:bottom w:val="single" w:sz="8" w:color="E5FFFF"/>
            </w:tcBorders>
          </w:tcPr>
          <w:p>
            <w:pPr>
              <w:spacing w:after="0"/>
              <w:rPr>
                <w:sz w:val="17"/>
                <w:szCs w:val="17"/>
                <w:color w:val="auto"/>
              </w:rPr>
            </w:pP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0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2,742,647</w:t>
            </w:r>
          </w:p>
        </w:tc>
        <w:tc>
          <w:tcPr>
            <w:tcW w:w="20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2,604,660</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0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equity and liabilities</w:t>
            </w:r>
          </w:p>
        </w:tc>
        <w:tc>
          <w:tcPr>
            <w:tcW w:w="1540" w:type="dxa"/>
            <w:vAlign w:val="bottom"/>
            <w:tcBorders>
              <w:bottom w:val="single" w:sz="8" w:color="E5FFFF"/>
            </w:tcBorders>
            <w:shd w:val="clear" w:color="auto" w:fill="E5FFFF"/>
          </w:tcPr>
          <w:p>
            <w:pPr>
              <w:spacing w:after="0"/>
              <w:rPr>
                <w:sz w:val="17"/>
                <w:szCs w:val="17"/>
                <w:color w:val="auto"/>
              </w:rPr>
            </w:pPr>
          </w:p>
        </w:tc>
        <w:tc>
          <w:tcPr>
            <w:tcW w:w="6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4,515,164</w:t>
            </w:r>
          </w:p>
        </w:tc>
        <w:tc>
          <w:tcPr>
            <w:tcW w:w="20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4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4,641,988</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-7710805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-7710805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6"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GasLog Ltd. and its Subsidiaries</w:t>
      </w:r>
    </w:p>
    <w:p>
      <w:pPr>
        <w:sectPr>
          <w:pgSz w:w="11900" w:h="16838" w:orient="portrait"/>
          <w:cols w:equalWidth="0" w:num="1">
            <w:col w:w="11460"/>
          </w:cols>
          <w:pgMar w:left="240" w:top="126" w:right="19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2016 and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6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120,727</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131,242</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339,578</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389,457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(26,821)</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(29,569)</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(83,242)</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(86,891)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(4,184)</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(1,939)</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(12,703)</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(6,810)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Depreciation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(31,373)</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(34,447)</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(89,021)</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(102,606)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(9,273)</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(9,988)</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(28,362)</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68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49,076</w:t>
            </w:r>
          </w:p>
        </w:tc>
        <w:tc>
          <w:tcPr>
            <w:tcW w:w="3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55,299</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126,250</w:t>
            </w:r>
          </w:p>
        </w:tc>
        <w:tc>
          <w:tcPr>
            <w:tcW w:w="28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162,937</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(46,094)</w:t>
            </w:r>
          </w:p>
        </w:tc>
        <w:tc>
          <w:tcPr>
            <w:tcW w:w="3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(34,709)</w:t>
            </w: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(106,756)</w:t>
            </w: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(104,311)</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Financial income</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193</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644</w:t>
            </w:r>
          </w:p>
        </w:tc>
        <w:tc>
          <w:tcPr>
            <w:tcW w:w="1240" w:type="dxa"/>
            <w:vAlign w:val="bottom"/>
          </w:tcPr>
          <w:p>
            <w:pPr>
              <w:jc w:val="right"/>
              <w:spacing w:after="0"/>
              <w:rPr>
                <w:sz w:val="20"/>
                <w:szCs w:val="20"/>
                <w:color w:val="auto"/>
              </w:rPr>
            </w:pPr>
            <w:r>
              <w:rPr>
                <w:rFonts w:ascii="Arial" w:cs="Arial" w:eastAsia="Arial" w:hAnsi="Arial"/>
                <w:sz w:val="16"/>
                <w:szCs w:val="16"/>
                <w:color w:val="auto"/>
              </w:rPr>
              <w:t>519</w:t>
            </w: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(19,931)</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3,137</w:t>
            </w: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(39,384)</w:t>
            </w:r>
          </w:p>
        </w:tc>
        <w:tc>
          <w:tcPr>
            <w:tcW w:w="13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Share of profit/(loss) of associate</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333</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(143)</w:t>
            </w:r>
          </w:p>
        </w:tc>
        <w:tc>
          <w:tcPr>
            <w:tcW w:w="1240" w:type="dxa"/>
            <w:vAlign w:val="bottom"/>
          </w:tcPr>
          <w:p>
            <w:pPr>
              <w:jc w:val="right"/>
              <w:spacing w:after="0"/>
              <w:rPr>
                <w:sz w:val="20"/>
                <w:szCs w:val="20"/>
                <w:color w:val="auto"/>
              </w:rPr>
            </w:pPr>
            <w:r>
              <w:rPr>
                <w:rFonts w:ascii="Arial" w:cs="Arial" w:eastAsia="Arial" w:hAnsi="Arial"/>
                <w:sz w:val="16"/>
                <w:szCs w:val="16"/>
                <w:color w:val="auto"/>
              </w:rPr>
              <w:t>996</w:t>
            </w: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704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6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(65,499)</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(31,071)</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(144,625)</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(108,413)</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(Loss)/profit for the period</w:t>
            </w:r>
          </w:p>
        </w:tc>
        <w:tc>
          <w:tcPr>
            <w:tcW w:w="680" w:type="dxa"/>
            <w:vAlign w:val="bottom"/>
            <w:tcBorders>
              <w:bottom w:val="single" w:sz="8" w:color="E5FFFF"/>
            </w:tcBorders>
          </w:tcPr>
          <w:p>
            <w:pPr>
              <w:spacing w:after="0"/>
              <w:rPr>
                <w:sz w:val="20"/>
                <w:szCs w:val="20"/>
                <w:color w:val="auto"/>
              </w:rPr>
            </w:pPr>
          </w:p>
        </w:tc>
        <w:tc>
          <w:tcPr>
            <w:tcW w:w="3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(16,423)</w:t>
            </w:r>
          </w:p>
        </w:tc>
        <w:tc>
          <w:tcPr>
            <w:tcW w:w="3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24,228</w:t>
            </w:r>
          </w:p>
        </w:tc>
        <w:tc>
          <w:tcPr>
            <w:tcW w:w="28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(18,375)</w:t>
            </w:r>
          </w:p>
        </w:tc>
        <w:tc>
          <w:tcPr>
            <w:tcW w:w="28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54,524</w:t>
            </w:r>
          </w:p>
        </w:tc>
        <w:tc>
          <w:tcPr>
            <w:tcW w:w="10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680" w:type="dxa"/>
            <w:vAlign w:val="bottom"/>
            <w:shd w:val="clear" w:color="auto" w:fill="E5FFFF"/>
          </w:tcPr>
          <w:p>
            <w:pPr>
              <w:spacing w:after="0"/>
              <w:rPr>
                <w:sz w:val="13"/>
                <w:szCs w:val="13"/>
                <w:color w:val="auto"/>
              </w:rPr>
            </w:pPr>
          </w:p>
        </w:tc>
        <w:tc>
          <w:tcPr>
            <w:tcW w:w="300" w:type="dxa"/>
            <w:vAlign w:val="bottom"/>
            <w:shd w:val="clear" w:color="auto" w:fill="E5FFFF"/>
          </w:tcPr>
          <w:p>
            <w:pPr>
              <w:spacing w:after="0"/>
              <w:rPr>
                <w:sz w:val="13"/>
                <w:szCs w:val="13"/>
                <w:color w:val="auto"/>
              </w:rPr>
            </w:pPr>
          </w:p>
        </w:tc>
        <w:tc>
          <w:tcPr>
            <w:tcW w:w="1260" w:type="dxa"/>
            <w:vAlign w:val="bottom"/>
            <w:shd w:val="clear" w:color="auto" w:fill="E5FFFF"/>
          </w:tcPr>
          <w:p>
            <w:pPr>
              <w:spacing w:after="0"/>
              <w:rPr>
                <w:sz w:val="13"/>
                <w:szCs w:val="13"/>
                <w:color w:val="auto"/>
              </w:rPr>
            </w:pPr>
          </w:p>
        </w:tc>
        <w:tc>
          <w:tcPr>
            <w:tcW w:w="30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26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(29,046)</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5,335</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(52,808)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12,623</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18,893</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34,433</w:t>
            </w:r>
          </w:p>
        </w:tc>
        <w:tc>
          <w:tcPr>
            <w:tcW w:w="28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47,952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E5FFFF"/>
            </w:tcBorders>
          </w:tcPr>
          <w:p>
            <w:pPr>
              <w:spacing w:after="0"/>
              <w:rPr>
                <w:sz w:val="20"/>
                <w:szCs w:val="20"/>
                <w:color w:val="auto"/>
              </w:rPr>
            </w:pPr>
          </w:p>
        </w:tc>
        <w:tc>
          <w:tcPr>
            <w:tcW w:w="680" w:type="dxa"/>
            <w:vAlign w:val="bottom"/>
            <w:tcBorders>
              <w:bottom w:val="single" w:sz="8" w:color="E5FFFF"/>
            </w:tcBorders>
          </w:tcPr>
          <w:p>
            <w:pPr>
              <w:spacing w:after="0"/>
              <w:rPr>
                <w:sz w:val="20"/>
                <w:szCs w:val="20"/>
                <w:color w:val="auto"/>
              </w:rPr>
            </w:pPr>
          </w:p>
        </w:tc>
        <w:tc>
          <w:tcPr>
            <w:tcW w:w="300" w:type="dxa"/>
            <w:vAlign w:val="bottom"/>
            <w:tcBorders>
              <w:bottom w:val="single" w:sz="8" w:color="E5FFFF"/>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(16,423)</w:t>
            </w:r>
          </w:p>
        </w:tc>
        <w:tc>
          <w:tcPr>
            <w:tcW w:w="300" w:type="dxa"/>
            <w:vAlign w:val="bottom"/>
            <w:tcBorders>
              <w:bottom w:val="single" w:sz="8" w:color="E5FF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24,228</w:t>
            </w:r>
          </w:p>
        </w:tc>
        <w:tc>
          <w:tcPr>
            <w:tcW w:w="280" w:type="dxa"/>
            <w:vAlign w:val="bottom"/>
            <w:tcBorders>
              <w:bottom w:val="single" w:sz="8" w:color="E5FF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(18,375</w:t>
            </w:r>
          </w:p>
        </w:tc>
        <w:tc>
          <w:tcPr>
            <w:tcW w:w="280" w:type="dxa"/>
            <w:vAlign w:val="bottom"/>
            <w:tcBorders>
              <w:bottom w:val="single" w:sz="8" w:color="E5FFFF"/>
            </w:tcBorders>
          </w:tcPr>
          <w:p>
            <w:pPr>
              <w:jc w:val="right"/>
              <w:ind w:right="139"/>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54,524</w:t>
            </w:r>
          </w:p>
        </w:tc>
        <w:tc>
          <w:tcPr>
            <w:tcW w:w="10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(Loss)/earnings per share – basic and diluted</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(0.39)</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0.03</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(0.75</w:t>
            </w: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040" w:type="dxa"/>
            <w:vAlign w:val="bottom"/>
            <w:gridSpan w:val="9"/>
          </w:tcPr>
          <w:p>
            <w:pPr>
              <w:jc w:val="right"/>
              <w:ind w:right="7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F-3</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2016 and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2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(Loss)/profit for the period</w:t>
            </w:r>
          </w:p>
        </w:tc>
        <w:tc>
          <w:tcPr>
            <w:tcW w:w="6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(16,423)</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24,228</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(18,375)</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54,524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w w:val="96"/>
              </w:rPr>
              <w:t>Items that may be reclassified subsequently to profit or loss:</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20"/>
                <w:szCs w:val="20"/>
                <w:color w:val="auto"/>
              </w:rPr>
            </w:pPr>
            <w:r>
              <w:rPr>
                <w:rFonts w:ascii="Arial" w:cs="Arial" w:eastAsia="Arial" w:hAnsi="Arial"/>
                <w:sz w:val="16"/>
                <w:szCs w:val="16"/>
                <w:color w:val="auto"/>
                <w:w w:val="96"/>
              </w:rPr>
              <w:t>Effective portion of changes in fair value of cash flow hedges, net</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180"/>
              <w:spacing w:after="0"/>
              <w:rPr>
                <w:sz w:val="20"/>
                <w:szCs w:val="20"/>
                <w:color w:val="auto"/>
              </w:rPr>
            </w:pPr>
            <w:r>
              <w:rPr>
                <w:rFonts w:ascii="Arial" w:cs="Arial" w:eastAsia="Arial" w:hAnsi="Arial"/>
                <w:sz w:val="16"/>
                <w:szCs w:val="16"/>
                <w:color w:val="auto"/>
              </w:rPr>
              <w:t>of amounts recycled to profit or loss</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5,436</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1,441</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(4,113)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09"/>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17,238</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23,514</w:t>
            </w:r>
          </w:p>
        </w:tc>
        <w:tc>
          <w:tcPr>
            <w:tcW w:w="28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4,368</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Other comprehensive income for the period</w:t>
            </w:r>
          </w:p>
        </w:tc>
        <w:tc>
          <w:tcPr>
            <w:tcW w:w="68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22,674</w:t>
            </w:r>
          </w:p>
        </w:tc>
        <w:tc>
          <w:tcPr>
            <w:tcW w:w="3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1,441</w:t>
            </w:r>
          </w:p>
        </w:tc>
        <w:tc>
          <w:tcPr>
            <w:tcW w:w="28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19,401</w:t>
            </w:r>
          </w:p>
        </w:tc>
        <w:tc>
          <w:tcPr>
            <w:tcW w:w="28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6,528</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6,251</w:t>
            </w:r>
          </w:p>
        </w:tc>
        <w:tc>
          <w:tcPr>
            <w:tcW w:w="3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25,669</w:t>
            </w:r>
          </w:p>
        </w:tc>
        <w:tc>
          <w:tcPr>
            <w:tcW w:w="28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1,026</w:t>
            </w:r>
          </w:p>
        </w:tc>
        <w:tc>
          <w:tcPr>
            <w:tcW w:w="28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61,052</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(6,372)</w:t>
            </w:r>
          </w:p>
        </w:tc>
        <w:tc>
          <w:tcPr>
            <w:tcW w:w="15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6,776</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(33,407)</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12,623</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18,893</w:t>
            </w:r>
          </w:p>
        </w:tc>
        <w:tc>
          <w:tcPr>
            <w:tcW w:w="1240" w:type="dxa"/>
            <w:vAlign w:val="bottom"/>
          </w:tcPr>
          <w:p>
            <w:pPr>
              <w:jc w:val="right"/>
              <w:spacing w:after="0"/>
              <w:rPr>
                <w:sz w:val="20"/>
                <w:szCs w:val="20"/>
                <w:color w:val="auto"/>
              </w:rPr>
            </w:pPr>
            <w:r>
              <w:rPr>
                <w:rFonts w:ascii="Arial" w:cs="Arial" w:eastAsia="Arial" w:hAnsi="Arial"/>
                <w:sz w:val="16"/>
                <w:szCs w:val="16"/>
                <w:color w:val="auto"/>
              </w:rPr>
              <w:t>34,433</w:t>
            </w: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47,952</w:t>
            </w:r>
          </w:p>
        </w:tc>
        <w:tc>
          <w:tcPr>
            <w:tcW w:w="0" w:type="dxa"/>
            <w:vAlign w:val="bottom"/>
          </w:tcPr>
          <w:p>
            <w:pPr>
              <w:spacing w:after="0"/>
              <w:rPr>
                <w:sz w:val="1"/>
                <w:szCs w:val="1"/>
                <w:color w:val="auto"/>
              </w:rPr>
            </w:pPr>
          </w:p>
        </w:tc>
      </w:tr>
      <w:tr>
        <w:trPr>
          <w:trHeight w:val="196"/>
        </w:trPr>
        <w:tc>
          <w:tcPr>
            <w:tcW w:w="4480" w:type="dxa"/>
            <w:vAlign w:val="bottom"/>
            <w:tcBorders>
              <w:top w:val="single" w:sz="8" w:color="E5FFFF"/>
              <w:bottom w:val="single" w:sz="8" w:color="E5FFFF"/>
            </w:tcBorders>
            <w:shd w:val="clear" w:color="auto" w:fill="E5FFFF"/>
          </w:tcPr>
          <w:p>
            <w:pPr>
              <w:spacing w:after="0"/>
              <w:rPr>
                <w:sz w:val="17"/>
                <w:szCs w:val="17"/>
                <w:color w:val="auto"/>
              </w:rPr>
            </w:pP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6,251</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25,669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1,026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61,052</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2016 and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Retained</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Share</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Preference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Contributed</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Treasury</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earnings/</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Attributable</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Non -</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capital</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surplus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shares</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to owners of</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controlling</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(Note 11)</w:t>
            </w:r>
          </w:p>
        </w:tc>
        <w:tc>
          <w:tcPr>
            <w:tcW w:w="18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(Note 11)</w:t>
            </w:r>
          </w:p>
        </w:tc>
        <w:tc>
          <w:tcPr>
            <w:tcW w:w="180" w:type="dxa"/>
            <w:vAlign w:val="bottom"/>
            <w:tcBorders>
              <w:bottom w:val="single" w:sz="8" w:color="E5FF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(Note 11)</w:t>
            </w:r>
          </w:p>
        </w:tc>
        <w:tc>
          <w:tcPr>
            <w:tcW w:w="1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Reserves</w:t>
            </w:r>
          </w:p>
        </w:tc>
        <w:tc>
          <w:tcPr>
            <w:tcW w:w="1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(Note 11)</w:t>
            </w:r>
          </w:p>
        </w:tc>
        <w:tc>
          <w:tcPr>
            <w:tcW w:w="16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deficit)</w:t>
            </w:r>
          </w:p>
        </w:tc>
        <w:tc>
          <w:tcPr>
            <w:tcW w:w="18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the Group</w:t>
            </w:r>
          </w:p>
        </w:tc>
        <w:tc>
          <w:tcPr>
            <w:tcW w:w="16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16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620" w:type="dxa"/>
            <w:vAlign w:val="bottom"/>
            <w:shd w:val="clear" w:color="auto" w:fill="E5FFFF"/>
          </w:tcPr>
          <w:p>
            <w:pPr>
              <w:spacing w:after="0" w:line="112" w:lineRule="exact"/>
              <w:rPr>
                <w:sz w:val="20"/>
                <w:szCs w:val="20"/>
                <w:color w:val="auto"/>
              </w:rPr>
            </w:pPr>
            <w:r>
              <w:rPr>
                <w:rFonts w:ascii="Arial" w:cs="Arial" w:eastAsia="Arial" w:hAnsi="Arial"/>
                <w:sz w:val="12"/>
                <w:szCs w:val="12"/>
                <w:b w:val="1"/>
                <w:bCs w:val="1"/>
                <w:color w:val="auto"/>
              </w:rPr>
              <w:t>Balance as of</w:t>
            </w: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810</w:t>
            </w:r>
          </w:p>
        </w:tc>
        <w:tc>
          <w:tcPr>
            <w:tcW w:w="92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46</w:t>
            </w:r>
          </w:p>
        </w:tc>
        <w:tc>
          <w:tcPr>
            <w:tcW w:w="180" w:type="dxa"/>
            <w:vAlign w:val="bottom"/>
            <w:shd w:val="clear" w:color="auto" w:fill="E5FFFF"/>
          </w:tcPr>
          <w:p>
            <w:pPr>
              <w:spacing w:after="0"/>
              <w:rPr>
                <w:sz w:val="9"/>
                <w:szCs w:val="9"/>
                <w:color w:val="auto"/>
              </w:rPr>
            </w:pPr>
          </w:p>
        </w:tc>
        <w:tc>
          <w:tcPr>
            <w:tcW w:w="104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1,020,292</w:t>
            </w:r>
          </w:p>
        </w:tc>
        <w:tc>
          <w:tcPr>
            <w:tcW w:w="180" w:type="dxa"/>
            <w:vAlign w:val="bottom"/>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140"/>
              <w:spacing w:after="0"/>
              <w:rPr>
                <w:sz w:val="20"/>
                <w:szCs w:val="20"/>
                <w:color w:val="auto"/>
              </w:rPr>
            </w:pPr>
            <w:r>
              <w:rPr>
                <w:rFonts w:ascii="Arial" w:cs="Arial" w:eastAsia="Arial" w:hAnsi="Arial"/>
                <w:sz w:val="14"/>
                <w:szCs w:val="14"/>
                <w:b w:val="1"/>
                <w:bCs w:val="1"/>
                <w:color w:val="auto"/>
              </w:rPr>
              <w:t>(8,829)</w:t>
            </w:r>
          </w:p>
        </w:tc>
        <w:tc>
          <w:tcPr>
            <w:tcW w:w="9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(12,491)</w:t>
            </w:r>
          </w:p>
        </w:tc>
        <w:tc>
          <w:tcPr>
            <w:tcW w:w="13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1,846</w:t>
            </w:r>
          </w:p>
        </w:tc>
        <w:tc>
          <w:tcPr>
            <w:tcW w:w="12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1,001,674</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506,246</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1,507,920</w:t>
            </w:r>
          </w:p>
        </w:tc>
        <w:tc>
          <w:tcPr>
            <w:tcW w:w="0" w:type="dxa"/>
            <w:vAlign w:val="bottom"/>
          </w:tcPr>
          <w:p>
            <w:pPr>
              <w:spacing w:after="0"/>
              <w:rPr>
                <w:sz w:val="1"/>
                <w:szCs w:val="1"/>
                <w:color w:val="auto"/>
              </w:rPr>
            </w:pPr>
          </w:p>
        </w:tc>
      </w:tr>
      <w:tr>
        <w:trPr>
          <w:trHeight w:val="171"/>
        </w:trPr>
        <w:tc>
          <w:tcPr>
            <w:tcW w:w="16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January 1, 2016</w:t>
            </w:r>
          </w:p>
        </w:tc>
        <w:tc>
          <w:tcPr>
            <w:tcW w:w="980" w:type="dxa"/>
            <w:vAlign w:val="bottom"/>
            <w:gridSpan w:val="2"/>
            <w:vMerge w:val="continue"/>
            <w:shd w:val="clear" w:color="auto" w:fill="E5FFFF"/>
          </w:tcPr>
          <w:p>
            <w:pPr>
              <w:spacing w:after="0"/>
              <w:rPr>
                <w:sz w:val="14"/>
                <w:szCs w:val="14"/>
                <w:color w:val="auto"/>
              </w:rPr>
            </w:pPr>
          </w:p>
        </w:tc>
        <w:tc>
          <w:tcPr>
            <w:tcW w:w="92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04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300" w:type="dxa"/>
            <w:vAlign w:val="bottom"/>
            <w:gridSpan w:val="2"/>
            <w:vMerge w:val="continue"/>
            <w:shd w:val="clear" w:color="auto" w:fill="E5FFFF"/>
          </w:tcPr>
          <w:p>
            <w:pPr>
              <w:spacing w:after="0"/>
              <w:rPr>
                <w:sz w:val="14"/>
                <w:szCs w:val="14"/>
                <w:color w:val="auto"/>
              </w:rPr>
            </w:pPr>
          </w:p>
        </w:tc>
        <w:tc>
          <w:tcPr>
            <w:tcW w:w="128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20" w:type="dxa"/>
            <w:vAlign w:val="bottom"/>
          </w:tcPr>
          <w:p>
            <w:pPr>
              <w:spacing w:after="0" w:line="110" w:lineRule="exact"/>
              <w:rPr>
                <w:sz w:val="20"/>
                <w:szCs w:val="20"/>
                <w:color w:val="auto"/>
              </w:rPr>
            </w:pPr>
            <w:r>
              <w:rPr>
                <w:rFonts w:ascii="Arial" w:cs="Arial" w:eastAsia="Arial" w:hAnsi="Arial"/>
                <w:sz w:val="12"/>
                <w:szCs w:val="12"/>
                <w:color w:val="auto"/>
              </w:rPr>
              <w:t>Net proceeds from</w:t>
            </w: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60"/>
              <w:spacing w:after="0" w:line="149" w:lineRule="exact"/>
              <w:rPr>
                <w:sz w:val="20"/>
                <w:szCs w:val="20"/>
                <w:color w:val="auto"/>
              </w:rPr>
            </w:pPr>
            <w:r>
              <w:rPr>
                <w:rFonts w:ascii="Arial" w:cs="Arial" w:eastAsia="Arial" w:hAnsi="Arial"/>
                <w:sz w:val="14"/>
                <w:szCs w:val="14"/>
                <w:color w:val="auto"/>
              </w:rPr>
              <w:t>GasLog Partners’</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160"/>
              <w:spacing w:after="0"/>
              <w:rPr>
                <w:sz w:val="20"/>
                <w:szCs w:val="20"/>
                <w:color w:val="auto"/>
              </w:rPr>
            </w:pPr>
            <w:r>
              <w:rPr>
                <w:rFonts w:ascii="Arial" w:cs="Arial" w:eastAsia="Arial" w:hAnsi="Arial"/>
                <w:sz w:val="14"/>
                <w:szCs w:val="14"/>
                <w:color w:val="auto"/>
              </w:rPr>
              <w:t>public offering</w:t>
            </w: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52,299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52,299</w:t>
            </w:r>
          </w:p>
        </w:tc>
        <w:tc>
          <w:tcPr>
            <w:tcW w:w="0" w:type="dxa"/>
            <w:vAlign w:val="bottom"/>
          </w:tcPr>
          <w:p>
            <w:pPr>
              <w:spacing w:after="0"/>
              <w:rPr>
                <w:sz w:val="1"/>
                <w:szCs w:val="1"/>
                <w:color w:val="auto"/>
              </w:rPr>
            </w:pPr>
          </w:p>
        </w:tc>
      </w:tr>
      <w:tr>
        <w:trPr>
          <w:trHeight w:val="130"/>
        </w:trPr>
        <w:tc>
          <w:tcPr>
            <w:tcW w:w="16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Dividend declared</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(common and</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preference shares)</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(39,525)</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(1,846)</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(41,371)</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(32,375)</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(73,746)</w:t>
            </w:r>
          </w:p>
        </w:tc>
        <w:tc>
          <w:tcPr>
            <w:tcW w:w="0" w:type="dxa"/>
            <w:vAlign w:val="bottom"/>
          </w:tcPr>
          <w:p>
            <w:pPr>
              <w:spacing w:after="0"/>
              <w:rPr>
                <w:sz w:val="1"/>
                <w:szCs w:val="1"/>
                <w:color w:val="auto"/>
              </w:rPr>
            </w:pPr>
          </w:p>
        </w:tc>
      </w:tr>
      <w:tr>
        <w:trPr>
          <w:trHeight w:val="130"/>
        </w:trPr>
        <w:tc>
          <w:tcPr>
            <w:tcW w:w="162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2,644</w:t>
            </w:r>
          </w:p>
        </w:tc>
        <w:tc>
          <w:tcPr>
            <w:tcW w:w="9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2,644</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82"/>
        </w:trPr>
        <w:tc>
          <w:tcPr>
            <w:tcW w:w="1620" w:type="dxa"/>
            <w:vAlign w:val="bottom"/>
          </w:tcPr>
          <w:p>
            <w:pPr>
              <w:ind w:left="160"/>
              <w:spacing w:after="0"/>
              <w:rPr>
                <w:sz w:val="20"/>
                <w:szCs w:val="20"/>
                <w:color w:val="auto"/>
              </w:rPr>
            </w:pPr>
            <w:r>
              <w:rPr>
                <w:rFonts w:ascii="Arial" w:cs="Arial" w:eastAsia="Arial" w:hAnsi="Arial"/>
                <w:sz w:val="14"/>
                <w:szCs w:val="14"/>
                <w:color w:val="auto"/>
              </w:rPr>
              <w:t>compensation, net of</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2" w:right="1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accrued dividend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(Note 16)</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Settlement of share-</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color w:val="auto"/>
              </w:rPr>
              <w:t>based compensation</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(1,481)</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1,426</w:t>
            </w: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(55)</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(Loss)/profit for the</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period</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(52,808)</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(52,808)</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34,433</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(18,375)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Other comprehensive</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color w:val="auto"/>
              </w:rPr>
              <w:t>income for the period</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19,401</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19,401</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19,401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w:t>
            </w: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income/(loss) for the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19,401</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(52,808)</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(33,407)</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34,433</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1,026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period</w:t>
            </w: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vMerge w:val="continue"/>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810</w:t>
            </w:r>
          </w:p>
        </w:tc>
        <w:tc>
          <w:tcPr>
            <w:tcW w:w="920" w:type="dxa"/>
            <w:vAlign w:val="bottom"/>
            <w:vMerge w:val="restart"/>
            <w:shd w:val="clear" w:color="auto" w:fill="E5FFFF"/>
          </w:tcPr>
          <w:p>
            <w:pPr>
              <w:ind w:left="780"/>
              <w:spacing w:after="0"/>
              <w:rPr>
                <w:sz w:val="20"/>
                <w:szCs w:val="20"/>
                <w:color w:val="auto"/>
              </w:rPr>
            </w:pPr>
            <w:r>
              <w:rPr>
                <w:rFonts w:ascii="Arial" w:cs="Arial" w:eastAsia="Arial" w:hAnsi="Arial"/>
                <w:sz w:val="14"/>
                <w:szCs w:val="14"/>
                <w:b w:val="1"/>
                <w:bCs w:val="1"/>
                <w:color w:val="auto"/>
                <w:w w:val="76"/>
              </w:rPr>
              <w:t>46</w:t>
            </w:r>
          </w:p>
        </w:tc>
        <w:tc>
          <w:tcPr>
            <w:tcW w:w="180" w:type="dxa"/>
            <w:vAlign w:val="bottom"/>
            <w:shd w:val="clear" w:color="auto" w:fill="E5FFFF"/>
          </w:tcPr>
          <w:p>
            <w:pPr>
              <w:spacing w:after="0"/>
              <w:rPr>
                <w:sz w:val="9"/>
                <w:szCs w:val="9"/>
                <w:color w:val="auto"/>
              </w:rPr>
            </w:pPr>
          </w:p>
        </w:tc>
        <w:tc>
          <w:tcPr>
            <w:tcW w:w="122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980,767</w:t>
            </w: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11,735</w:t>
            </w:r>
          </w:p>
        </w:tc>
        <w:tc>
          <w:tcPr>
            <w:tcW w:w="9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(11,065)</w:t>
            </w:r>
          </w:p>
        </w:tc>
        <w:tc>
          <w:tcPr>
            <w:tcW w:w="13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(52,808)</w:t>
            </w:r>
          </w:p>
        </w:tc>
        <w:tc>
          <w:tcPr>
            <w:tcW w:w="12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929,485</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560,603</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1,490,088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b w:val="1"/>
                <w:bCs w:val="1"/>
                <w:color w:val="auto"/>
              </w:rPr>
              <w:t>September 30, 2016</w:t>
            </w:r>
          </w:p>
        </w:tc>
        <w:tc>
          <w:tcPr>
            <w:tcW w:w="980" w:type="dxa"/>
            <w:vAlign w:val="bottom"/>
            <w:gridSpan w:val="2"/>
            <w:vMerge w:val="continue"/>
            <w:shd w:val="clear" w:color="auto" w:fill="E5FFFF"/>
          </w:tcPr>
          <w:p>
            <w:pPr>
              <w:spacing w:after="0"/>
              <w:rPr>
                <w:sz w:val="14"/>
                <w:szCs w:val="14"/>
                <w:color w:val="auto"/>
              </w:rPr>
            </w:pPr>
          </w:p>
        </w:tc>
        <w:tc>
          <w:tcPr>
            <w:tcW w:w="92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20" w:type="dxa"/>
            <w:vAlign w:val="bottom"/>
            <w:gridSpan w:val="2"/>
            <w:vMerge w:val="continue"/>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300" w:type="dxa"/>
            <w:vAlign w:val="bottom"/>
            <w:gridSpan w:val="2"/>
            <w:vMerge w:val="continue"/>
            <w:shd w:val="clear" w:color="auto" w:fill="E5FFFF"/>
          </w:tcPr>
          <w:p>
            <w:pPr>
              <w:spacing w:after="0"/>
              <w:rPr>
                <w:sz w:val="14"/>
                <w:szCs w:val="14"/>
                <w:color w:val="auto"/>
              </w:rPr>
            </w:pPr>
          </w:p>
        </w:tc>
        <w:tc>
          <w:tcPr>
            <w:tcW w:w="128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shd w:val="clear" w:color="auto" w:fill="E5FFFF"/>
          </w:tcPr>
          <w:p>
            <w:pPr>
              <w:spacing w:after="0" w:line="106" w:lineRule="exact"/>
              <w:rPr>
                <w:sz w:val="20"/>
                <w:szCs w:val="20"/>
                <w:color w:val="auto"/>
              </w:rPr>
            </w:pPr>
            <w:r>
              <w:rPr>
                <w:rFonts w:ascii="Arial" w:cs="Arial" w:eastAsia="Arial" w:hAnsi="Arial"/>
                <w:sz w:val="12"/>
                <w:szCs w:val="12"/>
                <w:b w:val="1"/>
                <w:bCs w:val="1"/>
                <w:color w:val="auto"/>
              </w:rPr>
              <w:t>Balance as of</w:t>
            </w: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810</w:t>
            </w:r>
          </w:p>
        </w:tc>
        <w:tc>
          <w:tcPr>
            <w:tcW w:w="920" w:type="dxa"/>
            <w:vAlign w:val="bottom"/>
            <w:vMerge w:val="restart"/>
            <w:shd w:val="clear" w:color="auto" w:fill="E5FFFF"/>
          </w:tcPr>
          <w:p>
            <w:pPr>
              <w:ind w:left="780"/>
              <w:spacing w:after="0"/>
              <w:rPr>
                <w:sz w:val="20"/>
                <w:szCs w:val="20"/>
                <w:color w:val="auto"/>
              </w:rPr>
            </w:pPr>
            <w:r>
              <w:rPr>
                <w:rFonts w:ascii="Arial" w:cs="Arial" w:eastAsia="Arial" w:hAnsi="Arial"/>
                <w:sz w:val="14"/>
                <w:szCs w:val="14"/>
                <w:b w:val="1"/>
                <w:bCs w:val="1"/>
                <w:color w:val="auto"/>
                <w:w w:val="76"/>
              </w:rPr>
              <w:t>46</w:t>
            </w:r>
          </w:p>
        </w:tc>
        <w:tc>
          <w:tcPr>
            <w:tcW w:w="180" w:type="dxa"/>
            <w:vAlign w:val="bottom"/>
            <w:shd w:val="clear" w:color="auto" w:fill="E5FFFF"/>
          </w:tcPr>
          <w:p>
            <w:pPr>
              <w:spacing w:after="0"/>
              <w:rPr>
                <w:sz w:val="9"/>
                <w:szCs w:val="9"/>
                <w:color w:val="auto"/>
              </w:rPr>
            </w:pPr>
          </w:p>
        </w:tc>
        <w:tc>
          <w:tcPr>
            <w:tcW w:w="122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966,974</w:t>
            </w: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10,160</w:t>
            </w:r>
          </w:p>
        </w:tc>
        <w:tc>
          <w:tcPr>
            <w:tcW w:w="96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(10,861)</w:t>
            </w:r>
          </w:p>
        </w:tc>
        <w:tc>
          <w:tcPr>
            <w:tcW w:w="13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(21,486)</w:t>
            </w:r>
          </w:p>
        </w:tc>
        <w:tc>
          <w:tcPr>
            <w:tcW w:w="12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945,643</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564,039</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1,509,682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b w:val="1"/>
                <w:bCs w:val="1"/>
                <w:color w:val="auto"/>
              </w:rPr>
              <w:t>January 1, 2017</w:t>
            </w:r>
          </w:p>
        </w:tc>
        <w:tc>
          <w:tcPr>
            <w:tcW w:w="980" w:type="dxa"/>
            <w:vAlign w:val="bottom"/>
            <w:gridSpan w:val="2"/>
            <w:vMerge w:val="continue"/>
            <w:shd w:val="clear" w:color="auto" w:fill="E5FFFF"/>
          </w:tcPr>
          <w:p>
            <w:pPr>
              <w:spacing w:after="0"/>
              <w:rPr>
                <w:sz w:val="14"/>
                <w:szCs w:val="14"/>
                <w:color w:val="auto"/>
              </w:rPr>
            </w:pPr>
          </w:p>
        </w:tc>
        <w:tc>
          <w:tcPr>
            <w:tcW w:w="92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20" w:type="dxa"/>
            <w:vAlign w:val="bottom"/>
            <w:gridSpan w:val="2"/>
            <w:vMerge w:val="continue"/>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300" w:type="dxa"/>
            <w:vAlign w:val="bottom"/>
            <w:gridSpan w:val="2"/>
            <w:vMerge w:val="continue"/>
            <w:shd w:val="clear" w:color="auto" w:fill="E5FFFF"/>
          </w:tcPr>
          <w:p>
            <w:pPr>
              <w:spacing w:after="0"/>
              <w:rPr>
                <w:sz w:val="14"/>
                <w:szCs w:val="14"/>
                <w:color w:val="auto"/>
              </w:rPr>
            </w:pPr>
          </w:p>
        </w:tc>
        <w:tc>
          <w:tcPr>
            <w:tcW w:w="128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00" w:type="dxa"/>
            <w:vAlign w:val="bottom"/>
          </w:tcPr>
          <w:p>
            <w:pPr>
              <w:spacing w:after="0" w:line="110" w:lineRule="exact"/>
              <w:rPr>
                <w:sz w:val="20"/>
                <w:szCs w:val="20"/>
                <w:color w:val="auto"/>
              </w:rPr>
            </w:pPr>
            <w:r>
              <w:rPr>
                <w:rFonts w:ascii="Arial" w:cs="Arial" w:eastAsia="Arial" w:hAnsi="Arial"/>
                <w:sz w:val="12"/>
                <w:szCs w:val="12"/>
                <w:color w:val="auto"/>
              </w:rPr>
              <w:t>Net proceeds from</w:t>
            </w: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GasLog Partners’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public offerings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(Note 3)</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269,708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269,708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Dividend declared</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rPr>
              <w:t>(common and</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E5FFFF"/>
          </w:tcPr>
          <w:p>
            <w:pPr>
              <w:ind w:left="140"/>
              <w:spacing w:after="0" w:line="149" w:lineRule="exact"/>
              <w:rPr>
                <w:sz w:val="20"/>
                <w:szCs w:val="20"/>
                <w:color w:val="auto"/>
              </w:rPr>
            </w:pPr>
            <w:r>
              <w:rPr>
                <w:rFonts w:ascii="Arial" w:cs="Arial" w:eastAsia="Arial" w:hAnsi="Arial"/>
                <w:sz w:val="14"/>
                <w:szCs w:val="14"/>
                <w:color w:val="auto"/>
              </w:rPr>
              <w:t>preference shares)</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color w:val="auto"/>
              </w:rPr>
              <w:t>(Note 11)</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(41,401)</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(41,401)</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(46,844)</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(88,245)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compensation, net of</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accrued dividend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(Note 16)</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3,149</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3,149</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Settlement of share-</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color w:val="auto"/>
              </w:rPr>
              <w:t>based compensation</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(2,061)</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2,212</w:t>
            </w: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151</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Profit for the period</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6,572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6,572</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47,952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54,524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Other comprehensive</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E5FFFF"/>
          </w:tcPr>
          <w:p>
            <w:pPr>
              <w:ind w:left="140"/>
              <w:spacing w:after="0"/>
              <w:rPr>
                <w:sz w:val="20"/>
                <w:szCs w:val="20"/>
                <w:color w:val="auto"/>
              </w:rPr>
            </w:pPr>
            <w:r>
              <w:rPr>
                <w:rFonts w:ascii="Arial" w:cs="Arial" w:eastAsia="Arial" w:hAnsi="Arial"/>
                <w:sz w:val="14"/>
                <w:szCs w:val="14"/>
                <w:color w:val="auto"/>
              </w:rPr>
              <w:t>income for the period</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ind w:left="7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6,528</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6,528</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w:t>
            </w: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 for the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6,528</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6,572</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13,100</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47,952</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61,052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period</w:t>
            </w: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vMerge w:val="continue"/>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810</w:t>
            </w:r>
          </w:p>
        </w:tc>
        <w:tc>
          <w:tcPr>
            <w:tcW w:w="920" w:type="dxa"/>
            <w:vAlign w:val="bottom"/>
            <w:vMerge w:val="restart"/>
            <w:shd w:val="clear" w:color="auto" w:fill="E5FFFF"/>
          </w:tcPr>
          <w:p>
            <w:pPr>
              <w:ind w:left="780"/>
              <w:spacing w:after="0"/>
              <w:rPr>
                <w:sz w:val="20"/>
                <w:szCs w:val="20"/>
                <w:color w:val="auto"/>
              </w:rPr>
            </w:pPr>
            <w:r>
              <w:rPr>
                <w:rFonts w:ascii="Arial" w:cs="Arial" w:eastAsia="Arial" w:hAnsi="Arial"/>
                <w:sz w:val="14"/>
                <w:szCs w:val="14"/>
                <w:b w:val="1"/>
                <w:bCs w:val="1"/>
                <w:color w:val="auto"/>
                <w:w w:val="76"/>
              </w:rPr>
              <w:t>46</w:t>
            </w:r>
          </w:p>
        </w:tc>
        <w:tc>
          <w:tcPr>
            <w:tcW w:w="180" w:type="dxa"/>
            <w:vAlign w:val="bottom"/>
            <w:shd w:val="clear" w:color="auto" w:fill="E5FFFF"/>
          </w:tcPr>
          <w:p>
            <w:pPr>
              <w:spacing w:after="0"/>
              <w:rPr>
                <w:sz w:val="9"/>
                <w:szCs w:val="9"/>
                <w:color w:val="auto"/>
              </w:rPr>
            </w:pPr>
          </w:p>
        </w:tc>
        <w:tc>
          <w:tcPr>
            <w:tcW w:w="122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925,573</w:t>
            </w: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17,776</w:t>
            </w:r>
          </w:p>
        </w:tc>
        <w:tc>
          <w:tcPr>
            <w:tcW w:w="960" w:type="dxa"/>
            <w:vAlign w:val="bottom"/>
            <w:gridSpan w:val="2"/>
            <w:vMerge w:val="restart"/>
            <w:shd w:val="clear" w:color="auto" w:fill="E5FFFF"/>
          </w:tcPr>
          <w:p>
            <w:pPr>
              <w:jc w:val="right"/>
              <w:ind w:right="120"/>
              <w:spacing w:after="0" w:line="263" w:lineRule="exact"/>
              <w:rPr>
                <w:sz w:val="20"/>
                <w:szCs w:val="20"/>
                <w:color w:val="auto"/>
              </w:rPr>
            </w:pPr>
            <w:r>
              <w:rPr>
                <w:rFonts w:ascii="Arial" w:cs="Arial" w:eastAsia="Arial" w:hAnsi="Arial"/>
                <w:sz w:val="14"/>
                <w:szCs w:val="14"/>
                <w:b w:val="1"/>
                <w:bCs w:val="1"/>
                <w:color w:val="auto"/>
              </w:rPr>
              <w:t>(8,649</w:t>
            </w:r>
            <w:r>
              <w:rPr>
                <w:rFonts w:ascii="Arial" w:cs="Arial" w:eastAsia="Arial" w:hAnsi="Arial"/>
                <w:sz w:val="28"/>
                <w:szCs w:val="28"/>
                <w:b w:val="1"/>
                <w:bCs w:val="1"/>
                <w:color w:val="auto"/>
                <w:vertAlign w:val="superscript"/>
              </w:rPr>
              <w:t>)</w:t>
            </w:r>
          </w:p>
        </w:tc>
        <w:tc>
          <w:tcPr>
            <w:tcW w:w="1300" w:type="dxa"/>
            <w:vAlign w:val="bottom"/>
            <w:gridSpan w:val="2"/>
            <w:vMerge w:val="restart"/>
            <w:shd w:val="clear" w:color="auto" w:fill="E5FFFF"/>
          </w:tcPr>
          <w:p>
            <w:pPr>
              <w:jc w:val="right"/>
              <w:ind w:right="120"/>
              <w:spacing w:after="0" w:line="263" w:lineRule="exact"/>
              <w:rPr>
                <w:sz w:val="20"/>
                <w:szCs w:val="20"/>
                <w:color w:val="auto"/>
              </w:rPr>
            </w:pPr>
            <w:r>
              <w:rPr>
                <w:rFonts w:ascii="Arial" w:cs="Arial" w:eastAsia="Arial" w:hAnsi="Arial"/>
                <w:sz w:val="14"/>
                <w:szCs w:val="14"/>
                <w:b w:val="1"/>
                <w:bCs w:val="1"/>
                <w:color w:val="auto"/>
              </w:rPr>
              <w:t>(14,914</w:t>
            </w:r>
            <w:r>
              <w:rPr>
                <w:rFonts w:ascii="Arial" w:cs="Arial" w:eastAsia="Arial" w:hAnsi="Arial"/>
                <w:sz w:val="28"/>
                <w:szCs w:val="28"/>
                <w:b w:val="1"/>
                <w:bCs w:val="1"/>
                <w:color w:val="auto"/>
                <w:vertAlign w:val="superscript"/>
              </w:rPr>
              <w:t>)</w:t>
            </w:r>
          </w:p>
        </w:tc>
        <w:tc>
          <w:tcPr>
            <w:tcW w:w="12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920,642</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834,855</w:t>
            </w:r>
          </w:p>
        </w:tc>
        <w:tc>
          <w:tcPr>
            <w:tcW w:w="9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1,755,497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0" w:type="dxa"/>
            <w:vAlign w:val="bottom"/>
            <w:shd w:val="clear" w:color="auto" w:fill="E5FFFF"/>
          </w:tcPr>
          <w:p>
            <w:pPr>
              <w:ind w:left="140"/>
              <w:spacing w:after="0" w:line="158" w:lineRule="exact"/>
              <w:rPr>
                <w:sz w:val="20"/>
                <w:szCs w:val="20"/>
                <w:color w:val="auto"/>
              </w:rPr>
            </w:pPr>
            <w:r>
              <w:rPr>
                <w:rFonts w:ascii="Arial" w:cs="Arial" w:eastAsia="Arial" w:hAnsi="Arial"/>
                <w:sz w:val="14"/>
                <w:szCs w:val="14"/>
                <w:b w:val="1"/>
                <w:bCs w:val="1"/>
                <w:color w:val="auto"/>
              </w:rPr>
              <w:t>September 30, 2017</w:t>
            </w:r>
          </w:p>
        </w:tc>
        <w:tc>
          <w:tcPr>
            <w:tcW w:w="980" w:type="dxa"/>
            <w:vAlign w:val="bottom"/>
            <w:gridSpan w:val="2"/>
            <w:vMerge w:val="continue"/>
            <w:shd w:val="clear" w:color="auto" w:fill="E5FFFF"/>
          </w:tcPr>
          <w:p>
            <w:pPr>
              <w:spacing w:after="0"/>
              <w:rPr>
                <w:sz w:val="13"/>
                <w:szCs w:val="13"/>
                <w:color w:val="auto"/>
              </w:rPr>
            </w:pPr>
          </w:p>
        </w:tc>
        <w:tc>
          <w:tcPr>
            <w:tcW w:w="920" w:type="dxa"/>
            <w:vAlign w:val="bottom"/>
            <w:vMerge w:val="continue"/>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220" w:type="dxa"/>
            <w:vAlign w:val="bottom"/>
            <w:gridSpan w:val="2"/>
            <w:vMerge w:val="continue"/>
            <w:shd w:val="clear" w:color="auto" w:fill="E5FFFF"/>
          </w:tcPr>
          <w:p>
            <w:pPr>
              <w:spacing w:after="0"/>
              <w:rPr>
                <w:sz w:val="13"/>
                <w:szCs w:val="13"/>
                <w:color w:val="auto"/>
              </w:rPr>
            </w:pPr>
          </w:p>
        </w:tc>
        <w:tc>
          <w:tcPr>
            <w:tcW w:w="980" w:type="dxa"/>
            <w:vAlign w:val="bottom"/>
            <w:gridSpan w:val="2"/>
            <w:vMerge w:val="continue"/>
            <w:shd w:val="clear" w:color="auto" w:fill="E5FFFF"/>
          </w:tcPr>
          <w:p>
            <w:pPr>
              <w:spacing w:after="0"/>
              <w:rPr>
                <w:sz w:val="13"/>
                <w:szCs w:val="13"/>
                <w:color w:val="auto"/>
              </w:rPr>
            </w:pPr>
          </w:p>
        </w:tc>
        <w:tc>
          <w:tcPr>
            <w:tcW w:w="960" w:type="dxa"/>
            <w:vAlign w:val="bottom"/>
            <w:gridSpan w:val="2"/>
            <w:vMerge w:val="continue"/>
            <w:shd w:val="clear" w:color="auto" w:fill="E5FFFF"/>
          </w:tcPr>
          <w:p>
            <w:pPr>
              <w:spacing w:after="0"/>
              <w:rPr>
                <w:sz w:val="13"/>
                <w:szCs w:val="13"/>
                <w:color w:val="auto"/>
              </w:rPr>
            </w:pPr>
          </w:p>
        </w:tc>
        <w:tc>
          <w:tcPr>
            <w:tcW w:w="1300" w:type="dxa"/>
            <w:vAlign w:val="bottom"/>
            <w:gridSpan w:val="2"/>
            <w:vMerge w:val="continue"/>
            <w:shd w:val="clear" w:color="auto" w:fill="E5FFFF"/>
          </w:tcPr>
          <w:p>
            <w:pPr>
              <w:spacing w:after="0"/>
              <w:rPr>
                <w:sz w:val="13"/>
                <w:szCs w:val="13"/>
                <w:color w:val="auto"/>
              </w:rPr>
            </w:pPr>
          </w:p>
        </w:tc>
        <w:tc>
          <w:tcPr>
            <w:tcW w:w="1280" w:type="dxa"/>
            <w:vAlign w:val="bottom"/>
            <w:gridSpan w:val="2"/>
            <w:vMerge w:val="continue"/>
            <w:shd w:val="clear" w:color="auto" w:fill="E5FFFF"/>
          </w:tcPr>
          <w:p>
            <w:pPr>
              <w:spacing w:after="0"/>
              <w:rPr>
                <w:sz w:val="13"/>
                <w:szCs w:val="13"/>
                <w:color w:val="auto"/>
              </w:rPr>
            </w:pPr>
          </w:p>
        </w:tc>
        <w:tc>
          <w:tcPr>
            <w:tcW w:w="1080" w:type="dxa"/>
            <w:vAlign w:val="bottom"/>
            <w:gridSpan w:val="2"/>
            <w:vMerge w:val="continue"/>
            <w:shd w:val="clear" w:color="auto" w:fill="E5FFFF"/>
          </w:tcPr>
          <w:p>
            <w:pPr>
              <w:spacing w:after="0"/>
              <w:rPr>
                <w:sz w:val="13"/>
                <w:szCs w:val="13"/>
                <w:color w:val="auto"/>
              </w:rPr>
            </w:pPr>
          </w:p>
        </w:tc>
        <w:tc>
          <w:tcPr>
            <w:tcW w:w="900" w:type="dxa"/>
            <w:vAlign w:val="bottom"/>
            <w:gridSpan w:val="2"/>
            <w:vMerge w:val="continue"/>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For the nine months ended September 30, 2016 and 2017</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7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754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Note</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September 30, 2016</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September 30, 2017</w:t>
            </w:r>
          </w:p>
        </w:tc>
      </w:tr>
      <w:tr>
        <w:trPr>
          <w:trHeight w:val="189"/>
        </w:trPr>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8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(Loss)/profit for the period</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(18,375)</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54,524</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1360" w:type="dxa"/>
            <w:vAlign w:val="bottom"/>
          </w:tcPr>
          <w:p>
            <w:pPr>
              <w:jc w:val="right"/>
              <w:spacing w:after="0"/>
              <w:rPr>
                <w:sz w:val="20"/>
                <w:szCs w:val="20"/>
                <w:color w:val="auto"/>
              </w:rPr>
            </w:pPr>
            <w:r>
              <w:rPr>
                <w:rFonts w:ascii="Arial" w:cs="Arial" w:eastAsia="Arial" w:hAnsi="Arial"/>
                <w:sz w:val="16"/>
                <w:szCs w:val="16"/>
                <w:color w:val="auto"/>
              </w:rPr>
              <w:t>89,021</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102,606</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Share of profit of associate</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(996)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(704)</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(519)</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(1,779)</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106,756</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104,311</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Unrealized foreign exchange loss/(gain) on cash and cash equivalents</w:t>
            </w:r>
          </w:p>
        </w:tc>
        <w:tc>
          <w:tcPr>
            <w:tcW w:w="1360" w:type="dxa"/>
            <w:vAlign w:val="bottom"/>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(761)</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Unrealized loss/(gain) on derivative financial instruments held for trading</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9,693</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(2,034)</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Recycled loss of cash flow hedges reclassified to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23,514</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4,368</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3,492</w:t>
            </w:r>
          </w:p>
        </w:tc>
      </w:tr>
      <w:tr>
        <w:trPr>
          <w:trHeight w:val="196"/>
        </w:trPr>
        <w:tc>
          <w:tcPr>
            <w:tcW w:w="7540" w:type="dxa"/>
            <w:vAlign w:val="bottom"/>
            <w:tcBorders>
              <w:bottom w:val="single" w:sz="8" w:color="E5FFFF"/>
            </w:tcBorders>
          </w:tcPr>
          <w:p>
            <w:pPr>
              <w:spacing w:after="0"/>
              <w:rPr>
                <w:sz w:val="17"/>
                <w:szCs w:val="17"/>
                <w:color w:val="auto"/>
              </w:rPr>
            </w:pPr>
          </w:p>
        </w:tc>
        <w:tc>
          <w:tcPr>
            <w:tcW w:w="58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212,057</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264,023</w:t>
            </w:r>
          </w:p>
        </w:tc>
        <w:tc>
          <w:tcPr>
            <w:tcW w:w="100" w:type="dxa"/>
            <w:vAlign w:val="bottom"/>
            <w:tcBorders>
              <w:bottom w:val="single" w:sz="8" w:color="E5FFFF"/>
            </w:tcBorders>
          </w:tcPr>
          <w:p>
            <w:pPr>
              <w:spacing w:after="0"/>
              <w:rPr>
                <w:sz w:val="17"/>
                <w:szCs w:val="17"/>
                <w:color w:val="auto"/>
              </w:rPr>
            </w:pPr>
          </w:p>
        </w:tc>
      </w:tr>
      <w:tr>
        <w:trPr>
          <w:trHeight w:val="196"/>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28,792</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(5,523)</w:t>
            </w:r>
          </w:p>
        </w:tc>
        <w:tc>
          <w:tcPr>
            <w:tcW w:w="100" w:type="dxa"/>
            <w:vAlign w:val="bottom"/>
            <w:shd w:val="clear" w:color="auto" w:fill="E5FFFF"/>
          </w:tcPr>
          <w:p>
            <w:pPr>
              <w:spacing w:after="0"/>
              <w:rPr>
                <w:sz w:val="17"/>
                <w:szCs w:val="17"/>
                <w:color w:val="auto"/>
              </w:rPr>
            </w:pPr>
          </w:p>
        </w:tc>
      </w:tr>
      <w:tr>
        <w:trPr>
          <w:trHeight w:val="196"/>
        </w:trPr>
        <w:tc>
          <w:tcPr>
            <w:tcW w:w="830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Cash provided by operations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240,849</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258,500</w:t>
            </w:r>
          </w:p>
        </w:tc>
        <w:tc>
          <w:tcPr>
            <w:tcW w:w="100" w:type="dxa"/>
            <w:vAlign w:val="bottom"/>
            <w:tcBorders>
              <w:bottom w:val="single" w:sz="8" w:color="E5FFFF"/>
            </w:tcBorders>
          </w:tcPr>
          <w:p>
            <w:pPr>
              <w:spacing w:after="0"/>
              <w:rPr>
                <w:sz w:val="17"/>
                <w:szCs w:val="17"/>
                <w:color w:val="auto"/>
              </w:rPr>
            </w:pPr>
          </w:p>
        </w:tc>
      </w:tr>
      <w:tr>
        <w:trPr>
          <w:trHeight w:val="196"/>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(59,763)</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(103,704)</w:t>
            </w:r>
          </w:p>
        </w:tc>
        <w:tc>
          <w:tcPr>
            <w:tcW w:w="100" w:type="dxa"/>
            <w:vAlign w:val="bottom"/>
            <w:shd w:val="clear" w:color="auto" w:fill="E5FFFF"/>
          </w:tcPr>
          <w:p>
            <w:pPr>
              <w:spacing w:after="0"/>
              <w:rPr>
                <w:sz w:val="17"/>
                <w:szCs w:val="17"/>
                <w:color w:val="auto"/>
              </w:rPr>
            </w:pPr>
          </w:p>
        </w:tc>
      </w:tr>
      <w:tr>
        <w:trPr>
          <w:trHeight w:val="196"/>
        </w:trPr>
        <w:tc>
          <w:tcPr>
            <w:tcW w:w="830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181,086</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154,796</w:t>
            </w:r>
          </w:p>
        </w:tc>
        <w:tc>
          <w:tcPr>
            <w:tcW w:w="100" w:type="dxa"/>
            <w:vAlign w:val="bottom"/>
            <w:tcBorders>
              <w:bottom w:val="single" w:sz="8" w:color="E5FFFF"/>
            </w:tcBorders>
          </w:tcPr>
          <w:p>
            <w:pPr>
              <w:spacing w:after="0"/>
              <w:rPr>
                <w:sz w:val="17"/>
                <w:szCs w:val="17"/>
                <w:color w:val="auto"/>
              </w:rPr>
            </w:pPr>
          </w:p>
        </w:tc>
      </w:tr>
      <w:tr>
        <w:trPr>
          <w:trHeight w:val="183"/>
        </w:trPr>
        <w:tc>
          <w:tcPr>
            <w:tcW w:w="8300" w:type="dxa"/>
            <w:vAlign w:val="bottom"/>
            <w:gridSpan w:val="3"/>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(576,784)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(69,567)</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1,413</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1,230</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Return of contributed capital from associate</w:t>
            </w: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(14,125)</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Purchase of short-term investments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(1,500)</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(37,244)</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7,500</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33,000</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Financial income received</w:t>
            </w:r>
          </w:p>
        </w:tc>
        <w:tc>
          <w:tcPr>
            <w:tcW w:w="1360" w:type="dxa"/>
            <w:vAlign w:val="bottom"/>
          </w:tcPr>
          <w:p>
            <w:pPr>
              <w:jc w:val="right"/>
              <w:spacing w:after="0"/>
              <w:rPr>
                <w:sz w:val="20"/>
                <w:szCs w:val="20"/>
                <w:color w:val="auto"/>
              </w:rPr>
            </w:pPr>
            <w:r>
              <w:rPr>
                <w:rFonts w:ascii="Arial" w:cs="Arial" w:eastAsia="Arial" w:hAnsi="Arial"/>
                <w:sz w:val="16"/>
                <w:szCs w:val="16"/>
                <w:color w:val="auto"/>
              </w:rPr>
              <w:t>523</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1,654</w:t>
            </w:r>
          </w:p>
        </w:tc>
      </w:tr>
      <w:tr>
        <w:trPr>
          <w:trHeight w:val="196"/>
        </w:trPr>
        <w:tc>
          <w:tcPr>
            <w:tcW w:w="830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(568,711)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(84,993)</w:t>
            </w:r>
          </w:p>
        </w:tc>
        <w:tc>
          <w:tcPr>
            <w:tcW w:w="100" w:type="dxa"/>
            <w:vAlign w:val="bottom"/>
            <w:tcBorders>
              <w:top w:val="single" w:sz="8" w:color="E5FFFF"/>
            </w:tcBorders>
            <w:shd w:val="clear" w:color="auto" w:fill="E5FFFF"/>
          </w:tcPr>
          <w:p>
            <w:pPr>
              <w:spacing w:after="0"/>
              <w:rPr>
                <w:sz w:val="17"/>
                <w:szCs w:val="17"/>
                <w:color w:val="auto"/>
              </w:rPr>
            </w:pPr>
          </w:p>
        </w:tc>
      </w:tr>
      <w:tr>
        <w:trPr>
          <w:trHeight w:val="183"/>
        </w:trPr>
        <w:tc>
          <w:tcPr>
            <w:tcW w:w="830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Proceeds from bank loans and bonds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2,113,621</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280,000</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Proceeds from sale and finance leaseback</w:t>
            </w:r>
          </w:p>
        </w:tc>
        <w:tc>
          <w:tcPr>
            <w:tcW w:w="1360" w:type="dxa"/>
            <w:vAlign w:val="bottom"/>
          </w:tcPr>
          <w:p>
            <w:pPr>
              <w:jc w:val="right"/>
              <w:spacing w:after="0"/>
              <w:rPr>
                <w:sz w:val="20"/>
                <w:szCs w:val="20"/>
                <w:color w:val="auto"/>
              </w:rPr>
            </w:pPr>
            <w:r>
              <w:rPr>
                <w:rFonts w:ascii="Arial" w:cs="Arial" w:eastAsia="Arial" w:hAnsi="Arial"/>
                <w:sz w:val="16"/>
                <w:szCs w:val="16"/>
                <w:color w:val="auto"/>
              </w:rPr>
              <w:t>217,000</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Bank loans and bonds repayments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(1,966,018)</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(371,987)</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Payment of loan issuance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(35,484)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(6,245)</w:t>
            </w:r>
          </w:p>
        </w:tc>
      </w:tr>
      <w:tr>
        <w:trPr>
          <w:trHeight w:val="19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Proceeds from GasLog Partners’ common unit offerings (net of underwriting discounts and</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83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commissions)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52,731</w:t>
            </w:r>
          </w:p>
        </w:tc>
        <w:tc>
          <w:tcPr>
            <w:tcW w:w="2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132,410</w:t>
            </w:r>
          </w:p>
        </w:tc>
      </w:tr>
      <w:tr>
        <w:trPr>
          <w:trHeight w:val="193"/>
        </w:trPr>
        <w:tc>
          <w:tcPr>
            <w:tcW w:w="8300" w:type="dxa"/>
            <w:vAlign w:val="bottom"/>
            <w:gridSpan w:val="3"/>
          </w:tcPr>
          <w:p>
            <w:pPr>
              <w:spacing w:after="0"/>
              <w:rPr>
                <w:sz w:val="20"/>
                <w:szCs w:val="20"/>
                <w:color w:val="auto"/>
              </w:rPr>
            </w:pPr>
            <w:r>
              <w:rPr>
                <w:rFonts w:ascii="Arial" w:cs="Arial" w:eastAsia="Arial" w:hAnsi="Arial"/>
                <w:sz w:val="16"/>
                <w:szCs w:val="16"/>
                <w:color w:val="auto"/>
              </w:rPr>
              <w:t>Proceeds from GasLog Partners’ preference unit offering (net of underwriting discounts and</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commissions)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139,222</w:t>
            </w:r>
          </w:p>
        </w:tc>
      </w:tr>
      <w:tr>
        <w:trPr>
          <w:trHeight w:val="209"/>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(245)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(1,216)</w:t>
            </w: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Payment for NOK bond repurchase at a premium</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(2,120)</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(1,459)</w:t>
            </w:r>
          </w:p>
        </w:tc>
      </w:tr>
      <w:tr>
        <w:trPr>
          <w:trHeight w:val="203"/>
        </w:trPr>
        <w:tc>
          <w:tcPr>
            <w:tcW w:w="830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 for cross currency swaps’ termination/modification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(31,986)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(20,603)</w:t>
            </w:r>
          </w:p>
        </w:tc>
      </w:tr>
    </w:tbl>
    <w:p>
      <w:pPr>
        <w:sectPr>
          <w:pgSz w:w="11900" w:h="16838" w:orient="portrait"/>
          <w:cols w:equalWidth="0" w:num="1">
            <w:col w:w="11420"/>
          </w:cols>
          <w:pgMar w:left="240" w:top="108" w:right="23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20" w:type="dxa"/>
            <w:vAlign w:val="bottom"/>
            <w:gridSpan w:val="2"/>
          </w:tcPr>
          <w:p>
            <w:pPr>
              <w:spacing w:after="0"/>
              <w:rPr>
                <w:sz w:val="20"/>
                <w:szCs w:val="20"/>
                <w:color w:val="auto"/>
              </w:rPr>
            </w:pPr>
            <w:r>
              <w:rPr>
                <w:rFonts w:ascii="Arial" w:cs="Arial" w:eastAsia="Arial" w:hAnsi="Arial"/>
                <w:sz w:val="16"/>
                <w:szCs w:val="16"/>
                <w:color w:val="auto"/>
              </w:rPr>
              <w:t>Payment for interest rate swaps’ termination</w:t>
            </w:r>
          </w:p>
        </w:tc>
        <w:tc>
          <w:tcPr>
            <w:tcW w:w="3920" w:type="dxa"/>
            <w:vAlign w:val="bottom"/>
            <w:gridSpan w:val="3"/>
          </w:tcPr>
          <w:p>
            <w:pPr>
              <w:jc w:val="right"/>
              <w:ind w:right="220"/>
              <w:spacing w:after="0"/>
              <w:rPr>
                <w:sz w:val="20"/>
                <w:szCs w:val="20"/>
                <w:color w:val="auto"/>
              </w:rPr>
            </w:pPr>
            <w:r>
              <w:rPr>
                <w:rFonts w:ascii="Arial" w:cs="Arial" w:eastAsia="Arial" w:hAnsi="Arial"/>
                <w:sz w:val="16"/>
                <w:szCs w:val="16"/>
                <w:color w:val="auto"/>
              </w:rPr>
              <w:t>(30,296)</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36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25,465</w:t>
            </w:r>
          </w:p>
        </w:tc>
        <w:tc>
          <w:tcPr>
            <w:tcW w:w="28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Decrease in restricted cash</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61,213</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392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(73,746)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(88,245)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Payments for vessel held under finance lease</w:t>
            </w:r>
          </w:p>
        </w:tc>
        <w:tc>
          <w:tcPr>
            <w:tcW w:w="3920" w:type="dxa"/>
            <w:vAlign w:val="bottom"/>
            <w:gridSpan w:val="3"/>
          </w:tcPr>
          <w:p>
            <w:pPr>
              <w:jc w:val="right"/>
              <w:ind w:right="220"/>
              <w:spacing w:after="0"/>
              <w:rPr>
                <w:sz w:val="20"/>
                <w:szCs w:val="20"/>
                <w:color w:val="auto"/>
              </w:rPr>
            </w:pPr>
            <w:r>
              <w:rPr>
                <w:rFonts w:ascii="Arial" w:cs="Arial" w:eastAsia="Arial" w:hAnsi="Arial"/>
                <w:sz w:val="16"/>
                <w:szCs w:val="16"/>
                <w:color w:val="auto"/>
              </w:rPr>
              <w:t>(714)</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color w:val="auto"/>
              </w:rPr>
              <w:t>Payments for finance lease liability</w:t>
            </w:r>
          </w:p>
        </w:tc>
        <w:tc>
          <w:tcPr>
            <w:tcW w:w="2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2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329,421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60,437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2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2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(58,332)</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131,001</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2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302,988</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227,024</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2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244,656</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358,025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280" w:type="dxa"/>
            <w:vAlign w:val="bottom"/>
            <w:shd w:val="clear" w:color="auto" w:fill="E5FFFF"/>
          </w:tcPr>
          <w:p>
            <w:pPr>
              <w:jc w:val="right"/>
              <w:ind w:right="319"/>
              <w:spacing w:after="0"/>
              <w:rPr>
                <w:sz w:val="20"/>
                <w:szCs w:val="20"/>
                <w:color w:val="auto"/>
              </w:rPr>
            </w:pPr>
            <w:r>
              <w:rPr>
                <w:rFonts w:ascii="Arial" w:cs="Arial" w:eastAsia="Arial" w:hAnsi="Arial"/>
                <w:sz w:val="16"/>
                <w:szCs w:val="16"/>
                <w:color w:val="auto"/>
              </w:rPr>
              <w:t>15</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3920" w:type="dxa"/>
            <w:vAlign w:val="bottom"/>
            <w:gridSpan w:val="3"/>
          </w:tcPr>
          <w:p>
            <w:pPr>
              <w:jc w:val="right"/>
              <w:ind w:right="280"/>
              <w:spacing w:after="0"/>
              <w:rPr>
                <w:sz w:val="20"/>
                <w:szCs w:val="20"/>
                <w:color w:val="auto"/>
              </w:rPr>
            </w:pPr>
            <w:r>
              <w:rPr>
                <w:rFonts w:ascii="Arial" w:cs="Arial" w:eastAsia="Arial" w:hAnsi="Arial"/>
                <w:sz w:val="16"/>
                <w:szCs w:val="16"/>
                <w:color w:val="auto"/>
              </w:rPr>
              <w:t>11,308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36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204</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5,487</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2016 and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60" w:firstLine="436"/>
        <w:spacing w:after="0" w:line="288" w:lineRule="auto"/>
        <w:rPr>
          <w:sz w:val="20"/>
          <w:szCs w:val="20"/>
          <w:color w:val="auto"/>
        </w:rPr>
      </w:pPr>
      <w:r>
        <w:rPr>
          <w:rFonts w:ascii="Arial" w:cs="Arial" w:eastAsia="Arial" w:hAnsi="Arial"/>
          <w:sz w:val="15"/>
          <w:szCs w:val="15"/>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September 30, 2017, entities controlled by members of the Livanos family, including GasLog’s chairman, are deemed to beneficially own approximately 40.16% of GasLog’s issued and outstanding common shares. As a result of his ownership of GasLog’s common shares, Mr. Livanos can effectively control the outcome of most matters on which GasLog’s shareholders are entitled to vote.</w:t>
      </w:r>
    </w:p>
    <w:p>
      <w:pPr>
        <w:spacing w:after="0" w:line="181"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As of September 30, 2017, GasLog holds a 26.1% interest (including the 2% interest through general partner units) in GasLog Partners LP (“GasLog Partners” or the “Partnership”). As a result of its 100%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180" w:firstLine="436"/>
        <w:spacing w:after="0" w:line="329"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September 30, 2017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7"/>
              </w:rPr>
              <w:t>Place of</w:t>
            </w: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 of</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0"/>
              </w:rPr>
              <w:t>capacity</w:t>
            </w: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incorporation</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incorporation</w:t>
            </w:r>
          </w:p>
        </w:tc>
        <w:tc>
          <w:tcPr>
            <w:tcW w:w="2480" w:type="dxa"/>
            <w:vAlign w:val="bottom"/>
            <w:gridSpan w:val="2"/>
          </w:tcPr>
          <w:p>
            <w:pPr>
              <w:ind w:left="540"/>
              <w:spacing w:after="0"/>
              <w:rPr>
                <w:sz w:val="20"/>
                <w:szCs w:val="20"/>
                <w:color w:val="auto"/>
              </w:rPr>
            </w:pPr>
            <w:r>
              <w:rPr>
                <w:rFonts w:ascii="Arial" w:cs="Arial" w:eastAsia="Arial" w:hAnsi="Arial"/>
                <w:sz w:val="16"/>
                <w:szCs w:val="16"/>
                <w:b w:val="1"/>
                <w:bCs w:val="1"/>
                <w:color w:val="auto"/>
              </w:rPr>
              <w:t>Principal activities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6"/>
              </w:rPr>
              <w:t>(cbm)</w:t>
            </w:r>
          </w:p>
        </w:tc>
        <w:tc>
          <w:tcPr>
            <w:tcW w:w="120" w:type="dxa"/>
            <w:vAlign w:val="bottom"/>
          </w:tcPr>
          <w:p>
            <w:pPr>
              <w:spacing w:after="0"/>
              <w:rPr>
                <w:sz w:val="18"/>
                <w:szCs w:val="18"/>
                <w:color w:val="auto"/>
              </w:rPr>
            </w:pPr>
          </w:p>
        </w:tc>
        <w:tc>
          <w:tcPr>
            <w:tcW w:w="2060" w:type="dxa"/>
            <w:vAlign w:val="bottom"/>
            <w:gridSpan w:val="2"/>
          </w:tcPr>
          <w:p>
            <w:pPr>
              <w:ind w:left="760"/>
              <w:spacing w:after="0"/>
              <w:rPr>
                <w:sz w:val="20"/>
                <w:szCs w:val="20"/>
                <w:color w:val="auto"/>
              </w:rPr>
            </w:pPr>
            <w:r>
              <w:rPr>
                <w:rFonts w:ascii="Arial" w:cs="Arial" w:eastAsia="Arial" w:hAnsi="Arial"/>
                <w:sz w:val="16"/>
                <w:szCs w:val="16"/>
                <w:b w:val="1"/>
                <w:bCs w:val="1"/>
                <w:color w:val="auto"/>
              </w:rPr>
              <w:t>Vessel</w:t>
            </w:r>
          </w:p>
        </w:tc>
        <w:tc>
          <w:tcPr>
            <w:tcW w:w="1260" w:type="dxa"/>
            <w:vAlign w:val="bottom"/>
          </w:tcPr>
          <w:p>
            <w:pPr>
              <w:spacing w:after="0"/>
              <w:rPr>
                <w:sz w:val="20"/>
                <w:szCs w:val="20"/>
                <w:color w:val="auto"/>
              </w:rPr>
            </w:pPr>
            <w:r>
              <w:rPr>
                <w:rFonts w:ascii="Arial" w:cs="Arial" w:eastAsia="Arial" w:hAnsi="Arial"/>
                <w:sz w:val="16"/>
                <w:szCs w:val="16"/>
                <w:b w:val="1"/>
                <w:bCs w:val="1"/>
                <w:color w:val="auto"/>
              </w:rPr>
              <w:t>Delivery date</w:t>
            </w:r>
          </w:p>
        </w:tc>
      </w:tr>
      <w:tr>
        <w:trPr>
          <w:trHeight w:val="202"/>
        </w:trPr>
        <w:tc>
          <w:tcPr>
            <w:tcW w:w="20" w:type="dxa"/>
            <w:vAlign w:val="bottom"/>
          </w:tcPr>
          <w:p>
            <w:pPr>
              <w:spacing w:after="0"/>
              <w:rPr>
                <w:sz w:val="17"/>
                <w:szCs w:val="17"/>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GasLog Investments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BVI</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July 2003</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Holding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GasLog Carriers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February 2008</w:t>
            </w:r>
          </w:p>
        </w:tc>
        <w:tc>
          <w:tcPr>
            <w:tcW w:w="2480" w:type="dxa"/>
            <w:vAlign w:val="bottom"/>
            <w:gridSpan w:val="2"/>
          </w:tcPr>
          <w:p>
            <w:pPr>
              <w:spacing w:after="0"/>
              <w:rPr>
                <w:sz w:val="20"/>
                <w:szCs w:val="20"/>
                <w:color w:val="auto"/>
              </w:rPr>
            </w:pPr>
            <w:r>
              <w:rPr>
                <w:rFonts w:ascii="Arial" w:cs="Arial" w:eastAsia="Arial" w:hAnsi="Arial"/>
                <w:sz w:val="16"/>
                <w:szCs w:val="16"/>
                <w:color w:val="auto"/>
              </w:rPr>
              <w:t>Holding company</w:t>
            </w:r>
          </w:p>
        </w:tc>
        <w:tc>
          <w:tcPr>
            <w:tcW w:w="660" w:type="dxa"/>
            <w:vAlign w:val="bottom"/>
          </w:tcPr>
          <w:p>
            <w:pPr>
              <w:spacing w:after="0"/>
              <w:rPr>
                <w:sz w:val="20"/>
                <w:szCs w:val="20"/>
                <w:color w:val="auto"/>
              </w:rPr>
            </w:pPr>
            <w:r>
              <w:rPr>
                <w:rFonts w:ascii="Arial" w:cs="Arial" w:eastAsia="Arial" w:hAnsi="Arial"/>
                <w:sz w:val="16"/>
                <w:szCs w:val="16"/>
                <w:color w:val="auto"/>
              </w:rPr>
              <w:t>—</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2020" w:type="dxa"/>
            <w:vAlign w:val="bottom"/>
          </w:tcPr>
          <w:p>
            <w:pPr>
              <w:ind w:left="200"/>
              <w:spacing w:after="0"/>
              <w:rPr>
                <w:sz w:val="20"/>
                <w:szCs w:val="20"/>
                <w:color w:val="auto"/>
              </w:rPr>
            </w:pPr>
            <w:r>
              <w:rPr>
                <w:rFonts w:ascii="Arial" w:cs="Arial" w:eastAsia="Arial" w:hAnsi="Arial"/>
                <w:sz w:val="16"/>
                <w:szCs w:val="16"/>
                <w:color w:val="auto"/>
              </w:rPr>
              <w:t>(“GasLog Carriers”)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GasLog Shipping Company</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January 2006</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Holding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2020" w:type="dxa"/>
            <w:vAlign w:val="bottom"/>
            <w:shd w:val="clear" w:color="auto" w:fill="E5FFFF"/>
          </w:tcPr>
          <w:p>
            <w:pPr>
              <w:ind w:left="200"/>
              <w:spacing w:after="0"/>
              <w:rPr>
                <w:sz w:val="20"/>
                <w:szCs w:val="20"/>
                <w:color w:val="auto"/>
              </w:rPr>
            </w:pPr>
            <w:r>
              <w:rPr>
                <w:rFonts w:ascii="Arial" w:cs="Arial" w:eastAsia="Arial" w:hAnsi="Arial"/>
                <w:sz w:val="16"/>
                <w:szCs w:val="16"/>
                <w:color w:val="auto"/>
              </w:rPr>
              <w:t>Ltd.</w:t>
            </w:r>
          </w:p>
        </w:tc>
        <w:tc>
          <w:tcPr>
            <w:tcW w:w="12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GasLog Partners GP LLC</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Marshall Islands</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January 2014</w:t>
            </w:r>
          </w:p>
        </w:tc>
        <w:tc>
          <w:tcPr>
            <w:tcW w:w="2480" w:type="dxa"/>
            <w:vAlign w:val="bottom"/>
            <w:gridSpan w:val="2"/>
          </w:tcPr>
          <w:p>
            <w:pPr>
              <w:spacing w:after="0"/>
              <w:rPr>
                <w:sz w:val="20"/>
                <w:szCs w:val="20"/>
                <w:color w:val="auto"/>
              </w:rPr>
            </w:pPr>
            <w:r>
              <w:rPr>
                <w:rFonts w:ascii="Arial" w:cs="Arial" w:eastAsia="Arial" w:hAnsi="Arial"/>
                <w:sz w:val="16"/>
                <w:szCs w:val="16"/>
                <w:color w:val="auto"/>
              </w:rPr>
              <w:t>Holding company</w:t>
            </w:r>
          </w:p>
        </w:tc>
        <w:tc>
          <w:tcPr>
            <w:tcW w:w="660" w:type="dxa"/>
            <w:vAlign w:val="bottom"/>
          </w:tcPr>
          <w:p>
            <w:pPr>
              <w:spacing w:after="0"/>
              <w:rPr>
                <w:sz w:val="20"/>
                <w:szCs w:val="20"/>
                <w:color w:val="auto"/>
              </w:rPr>
            </w:pPr>
            <w:r>
              <w:rPr>
                <w:rFonts w:ascii="Arial" w:cs="Arial" w:eastAsia="Arial" w:hAnsi="Arial"/>
                <w:sz w:val="16"/>
                <w:szCs w:val="16"/>
                <w:color w:val="auto"/>
              </w:rPr>
              <w:t>—</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w w:val="99"/>
              </w:rPr>
              <w:t>GasLog Cyprus Investments</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Cyprus</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December 2016</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Holding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2020" w:type="dxa"/>
            <w:vAlign w:val="bottom"/>
            <w:shd w:val="clear" w:color="auto" w:fill="E5FFFF"/>
          </w:tcPr>
          <w:p>
            <w:pPr>
              <w:ind w:left="200"/>
              <w:spacing w:after="0"/>
              <w:rPr>
                <w:sz w:val="20"/>
                <w:szCs w:val="20"/>
                <w:color w:val="auto"/>
              </w:rPr>
            </w:pPr>
            <w:r>
              <w:rPr>
                <w:rFonts w:ascii="Arial" w:cs="Arial" w:eastAsia="Arial" w:hAnsi="Arial"/>
                <w:sz w:val="16"/>
                <w:szCs w:val="16"/>
                <w:color w:val="auto"/>
              </w:rPr>
              <w:t>Ltd.</w:t>
            </w:r>
          </w:p>
        </w:tc>
        <w:tc>
          <w:tcPr>
            <w:tcW w:w="12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GasLog Services UK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England and</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May 2014</w:t>
            </w:r>
          </w:p>
        </w:tc>
        <w:tc>
          <w:tcPr>
            <w:tcW w:w="2480" w:type="dxa"/>
            <w:vAlign w:val="bottom"/>
            <w:gridSpan w:val="2"/>
          </w:tcPr>
          <w:p>
            <w:pPr>
              <w:spacing w:after="0"/>
              <w:rPr>
                <w:sz w:val="20"/>
                <w:szCs w:val="20"/>
                <w:color w:val="auto"/>
              </w:rPr>
            </w:pPr>
            <w:r>
              <w:rPr>
                <w:rFonts w:ascii="Arial" w:cs="Arial" w:eastAsia="Arial" w:hAnsi="Arial"/>
                <w:sz w:val="16"/>
                <w:szCs w:val="16"/>
                <w:color w:val="auto"/>
              </w:rPr>
              <w:t>Service company</w:t>
            </w:r>
          </w:p>
        </w:tc>
        <w:tc>
          <w:tcPr>
            <w:tcW w:w="660" w:type="dxa"/>
            <w:vAlign w:val="bottom"/>
          </w:tcPr>
          <w:p>
            <w:pPr>
              <w:spacing w:after="0"/>
              <w:rPr>
                <w:sz w:val="20"/>
                <w:szCs w:val="20"/>
                <w:color w:val="auto"/>
              </w:rPr>
            </w:pPr>
            <w:r>
              <w:rPr>
                <w:rFonts w:ascii="Arial" w:cs="Arial" w:eastAsia="Arial" w:hAnsi="Arial"/>
                <w:sz w:val="16"/>
                <w:szCs w:val="16"/>
                <w:color w:val="auto"/>
              </w:rPr>
              <w:t>—</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Wales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GasLog Services US Inc.</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Delaware</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May 2014</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Service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GasLog Asia Pte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Singapore</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May 2015</w:t>
            </w:r>
          </w:p>
        </w:tc>
        <w:tc>
          <w:tcPr>
            <w:tcW w:w="2480" w:type="dxa"/>
            <w:vAlign w:val="bottom"/>
            <w:gridSpan w:val="2"/>
          </w:tcPr>
          <w:p>
            <w:pPr>
              <w:spacing w:after="0"/>
              <w:rPr>
                <w:sz w:val="20"/>
                <w:szCs w:val="20"/>
                <w:color w:val="auto"/>
              </w:rPr>
            </w:pPr>
            <w:r>
              <w:rPr>
                <w:rFonts w:ascii="Arial" w:cs="Arial" w:eastAsia="Arial" w:hAnsi="Arial"/>
                <w:sz w:val="16"/>
                <w:szCs w:val="16"/>
                <w:color w:val="auto"/>
              </w:rPr>
              <w:t>Service company</w:t>
            </w:r>
          </w:p>
        </w:tc>
        <w:tc>
          <w:tcPr>
            <w:tcW w:w="660" w:type="dxa"/>
            <w:vAlign w:val="bottom"/>
          </w:tcPr>
          <w:p>
            <w:pPr>
              <w:spacing w:after="0"/>
              <w:rPr>
                <w:sz w:val="20"/>
                <w:szCs w:val="20"/>
                <w:color w:val="auto"/>
              </w:rPr>
            </w:pPr>
            <w:r>
              <w:rPr>
                <w:rFonts w:ascii="Arial" w:cs="Arial" w:eastAsia="Arial" w:hAnsi="Arial"/>
                <w:sz w:val="16"/>
                <w:szCs w:val="16"/>
                <w:color w:val="auto"/>
              </w:rPr>
              <w:t>—</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GasLog LNG Services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August 2004</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 management services</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GasLog Monaco S.A.M.</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Monaco</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February 2010</w:t>
            </w:r>
          </w:p>
        </w:tc>
        <w:tc>
          <w:tcPr>
            <w:tcW w:w="2480" w:type="dxa"/>
            <w:vAlign w:val="bottom"/>
            <w:gridSpan w:val="2"/>
          </w:tcPr>
          <w:p>
            <w:pPr>
              <w:spacing w:after="0"/>
              <w:rPr>
                <w:sz w:val="20"/>
                <w:szCs w:val="20"/>
                <w:color w:val="auto"/>
              </w:rPr>
            </w:pPr>
            <w:r>
              <w:rPr>
                <w:rFonts w:ascii="Arial" w:cs="Arial" w:eastAsia="Arial" w:hAnsi="Arial"/>
                <w:sz w:val="16"/>
                <w:szCs w:val="16"/>
                <w:color w:val="auto"/>
              </w:rPr>
              <w:t>Service company</w:t>
            </w:r>
          </w:p>
        </w:tc>
        <w:tc>
          <w:tcPr>
            <w:tcW w:w="660" w:type="dxa"/>
            <w:vAlign w:val="bottom"/>
          </w:tcPr>
          <w:p>
            <w:pPr>
              <w:spacing w:after="0"/>
              <w:rPr>
                <w:sz w:val="20"/>
                <w:szCs w:val="20"/>
                <w:color w:val="auto"/>
              </w:rPr>
            </w:pPr>
            <w:r>
              <w:rPr>
                <w:rFonts w:ascii="Arial" w:cs="Arial" w:eastAsia="Arial" w:hAnsi="Arial"/>
                <w:sz w:val="16"/>
                <w:szCs w:val="16"/>
                <w:color w:val="auto"/>
              </w:rPr>
              <w:t>—</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GAS-one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February 2008</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Savannah</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May 2010</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GAS-two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February 2008</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Singapore</w:t>
            </w:r>
          </w:p>
        </w:tc>
        <w:tc>
          <w:tcPr>
            <w:tcW w:w="1260" w:type="dxa"/>
            <w:vAlign w:val="bottom"/>
          </w:tcPr>
          <w:p>
            <w:pPr>
              <w:spacing w:after="0"/>
              <w:rPr>
                <w:sz w:val="20"/>
                <w:szCs w:val="20"/>
                <w:color w:val="auto"/>
              </w:rPr>
            </w:pPr>
            <w:r>
              <w:rPr>
                <w:rFonts w:ascii="Arial" w:cs="Arial" w:eastAsia="Arial" w:hAnsi="Arial"/>
                <w:sz w:val="16"/>
                <w:szCs w:val="16"/>
                <w:color w:val="auto"/>
              </w:rPr>
              <w:t>July 2010</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GAS-six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February 2011</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Skagen</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July 2013</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GAS-eight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March 2011</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tcPr>
          <w:p>
            <w:pPr>
              <w:ind w:left="120"/>
              <w:spacing w:after="0"/>
              <w:rPr>
                <w:sz w:val="20"/>
                <w:szCs w:val="20"/>
                <w:color w:val="auto"/>
              </w:rPr>
            </w:pPr>
            <w:r>
              <w:rPr>
                <w:rFonts w:ascii="Arial" w:cs="Arial" w:eastAsia="Arial" w:hAnsi="Arial"/>
                <w:sz w:val="16"/>
                <w:szCs w:val="16"/>
                <w:i w:val="1"/>
                <w:iCs w:val="1"/>
                <w:color w:val="auto"/>
              </w:rPr>
              <w:t>Solaris</w:t>
            </w:r>
          </w:p>
        </w:tc>
        <w:tc>
          <w:tcPr>
            <w:tcW w:w="1260" w:type="dxa"/>
            <w:vAlign w:val="bottom"/>
          </w:tcPr>
          <w:p>
            <w:pPr>
              <w:spacing w:after="0"/>
              <w:rPr>
                <w:sz w:val="20"/>
                <w:szCs w:val="20"/>
                <w:color w:val="auto"/>
              </w:rPr>
            </w:pPr>
            <w:r>
              <w:rPr>
                <w:rFonts w:ascii="Arial" w:cs="Arial" w:eastAsia="Arial" w:hAnsi="Arial"/>
                <w:sz w:val="16"/>
                <w:szCs w:val="16"/>
                <w:color w:val="auto"/>
              </w:rPr>
              <w:t>June 2014</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GAS-nine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June 2011</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Saratoga</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December 2014</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GAS-ten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June 2011</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155,000</w:t>
            </w:r>
          </w:p>
        </w:tc>
        <w:tc>
          <w:tcPr>
            <w:tcW w:w="218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Salem</w:t>
            </w:r>
          </w:p>
        </w:tc>
        <w:tc>
          <w:tcPr>
            <w:tcW w:w="1260" w:type="dxa"/>
            <w:vAlign w:val="bottom"/>
          </w:tcPr>
          <w:p>
            <w:pPr>
              <w:spacing w:after="0"/>
              <w:rPr>
                <w:sz w:val="20"/>
                <w:szCs w:val="20"/>
                <w:color w:val="auto"/>
              </w:rPr>
            </w:pPr>
            <w:r>
              <w:rPr>
                <w:rFonts w:ascii="Arial" w:cs="Arial" w:eastAsia="Arial" w:hAnsi="Arial"/>
                <w:sz w:val="16"/>
                <w:szCs w:val="16"/>
                <w:color w:val="auto"/>
              </w:rPr>
              <w:t>April 2015</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GAS-twelve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December 2012</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174,000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Glasgow</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June 2016</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GAS-fourteen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July 2013</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174,000</w:t>
            </w:r>
          </w:p>
        </w:tc>
        <w:tc>
          <w:tcPr>
            <w:tcW w:w="218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Gibraltar</w:t>
            </w:r>
          </w:p>
        </w:tc>
        <w:tc>
          <w:tcPr>
            <w:tcW w:w="1260" w:type="dxa"/>
            <w:vAlign w:val="bottom"/>
          </w:tcPr>
          <w:p>
            <w:pPr>
              <w:spacing w:after="0"/>
              <w:rPr>
                <w:sz w:val="20"/>
                <w:szCs w:val="20"/>
                <w:color w:val="auto"/>
              </w:rPr>
            </w:pPr>
            <w:r>
              <w:rPr>
                <w:rFonts w:ascii="Arial" w:cs="Arial" w:eastAsia="Arial" w:hAnsi="Arial"/>
                <w:sz w:val="16"/>
                <w:szCs w:val="16"/>
                <w:color w:val="auto"/>
              </w:rPr>
              <w:t>October 2016</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GAS-fifteen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August 2013</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153,600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Chelsea</w:t>
            </w:r>
          </w:p>
        </w:tc>
        <w:tc>
          <w:tcPr>
            <w:tcW w:w="1260" w:type="dxa"/>
            <w:vAlign w:val="bottom"/>
            <w:shd w:val="clear" w:color="auto" w:fill="E5FFFF"/>
          </w:tcPr>
          <w:p>
            <w:pPr>
              <w:spacing w:after="0"/>
              <w:rPr>
                <w:sz w:val="20"/>
                <w:szCs w:val="20"/>
                <w:color w:val="auto"/>
              </w:rPr>
            </w:pPr>
            <w:r>
              <w:rPr>
                <w:rFonts w:ascii="Arial" w:cs="Arial" w:eastAsia="Arial" w:hAnsi="Arial"/>
                <w:sz w:val="16"/>
                <w:szCs w:val="16"/>
                <w:color w:val="auto"/>
              </w:rPr>
              <w:t>October 2013</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GAS-eighteen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January 2014</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145,000</w:t>
            </w:r>
          </w:p>
        </w:tc>
        <w:tc>
          <w:tcPr>
            <w:tcW w:w="2180" w:type="dxa"/>
            <w:vAlign w:val="bottom"/>
            <w:gridSpan w:val="3"/>
          </w:tcPr>
          <w:p>
            <w:pPr>
              <w:ind w:left="120"/>
              <w:spacing w:after="0"/>
              <w:rPr>
                <w:sz w:val="20"/>
                <w:szCs w:val="20"/>
                <w:color w:val="auto"/>
              </w:rPr>
            </w:pPr>
            <w:r>
              <w:rPr>
                <w:rFonts w:ascii="Arial" w:cs="Arial" w:eastAsia="Arial" w:hAnsi="Arial"/>
                <w:sz w:val="16"/>
                <w:szCs w:val="16"/>
                <w:i w:val="1"/>
                <w:iCs w:val="1"/>
                <w:color w:val="auto"/>
              </w:rPr>
              <w:t>Methane Lydon Volney</w:t>
            </w:r>
          </w:p>
        </w:tc>
        <w:tc>
          <w:tcPr>
            <w:tcW w:w="1260" w:type="dxa"/>
            <w:vAlign w:val="bottom"/>
          </w:tcPr>
          <w:p>
            <w:pPr>
              <w:spacing w:after="0"/>
              <w:rPr>
                <w:sz w:val="20"/>
                <w:szCs w:val="20"/>
                <w:color w:val="auto"/>
              </w:rPr>
            </w:pPr>
            <w:r>
              <w:rPr>
                <w:rFonts w:ascii="Arial" w:cs="Arial" w:eastAsia="Arial" w:hAnsi="Arial"/>
                <w:sz w:val="16"/>
                <w:szCs w:val="16"/>
                <w:color w:val="auto"/>
              </w:rPr>
              <w:t>April 2014</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GAS-twenty two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May 2014</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174,000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Hull No. 2130</w:t>
            </w:r>
          </w:p>
        </w:tc>
        <w:tc>
          <w:tcPr>
            <w:tcW w:w="126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Q1 2018</w:t>
            </w:r>
            <w:r>
              <w:rPr>
                <w:rFonts w:ascii="Arial" w:cs="Arial" w:eastAsia="Arial" w:hAnsi="Arial"/>
                <w:sz w:val="21"/>
                <w:szCs w:val="21"/>
                <w:color w:val="auto"/>
                <w:vertAlign w:val="superscript"/>
              </w:rPr>
              <w:t>(1)</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GAS-twenty three Ltd.</w:t>
            </w:r>
          </w:p>
        </w:tc>
        <w:tc>
          <w:tcPr>
            <w:tcW w:w="1300" w:type="dxa"/>
            <w:vAlign w:val="bottom"/>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6"/>
                <w:szCs w:val="16"/>
                <w:color w:val="auto"/>
              </w:rPr>
              <w:t>May 2014</w:t>
            </w:r>
          </w:p>
        </w:tc>
        <w:tc>
          <w:tcPr>
            <w:tcW w:w="2480" w:type="dxa"/>
            <w:vAlign w:val="bottom"/>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Pr>
          <w:p>
            <w:pPr>
              <w:spacing w:after="0"/>
              <w:rPr>
                <w:sz w:val="20"/>
                <w:szCs w:val="20"/>
                <w:color w:val="auto"/>
              </w:rPr>
            </w:pPr>
            <w:r>
              <w:rPr>
                <w:rFonts w:ascii="Arial" w:cs="Arial" w:eastAsia="Arial" w:hAnsi="Arial"/>
                <w:sz w:val="16"/>
                <w:szCs w:val="16"/>
                <w:color w:val="auto"/>
              </w:rPr>
              <w:t>174,000</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Hull No. 2131</w:t>
            </w:r>
          </w:p>
        </w:tc>
        <w:tc>
          <w:tcPr>
            <w:tcW w:w="1260" w:type="dxa"/>
            <w:vAlign w:val="bottom"/>
          </w:tcPr>
          <w:p>
            <w:pPr>
              <w:spacing w:after="0" w:line="203" w:lineRule="exact"/>
              <w:rPr>
                <w:sz w:val="20"/>
                <w:szCs w:val="20"/>
                <w:color w:val="auto"/>
              </w:rPr>
            </w:pPr>
            <w:r>
              <w:rPr>
                <w:rFonts w:ascii="Arial" w:cs="Arial" w:eastAsia="Arial" w:hAnsi="Arial"/>
                <w:sz w:val="16"/>
                <w:szCs w:val="16"/>
                <w:color w:val="auto"/>
              </w:rPr>
              <w:t>Q1 2019</w:t>
            </w:r>
            <w:r>
              <w:rPr>
                <w:rFonts w:ascii="Arial" w:cs="Arial" w:eastAsia="Arial" w:hAnsi="Arial"/>
                <w:sz w:val="21"/>
                <w:szCs w:val="21"/>
                <w:color w:val="auto"/>
                <w:vertAlign w:val="superscript"/>
              </w:rPr>
              <w:t>(1)</w:t>
            </w:r>
          </w:p>
        </w:tc>
      </w:tr>
      <w:tr>
        <w:trPr>
          <w:trHeight w:val="203"/>
        </w:trPr>
        <w:tc>
          <w:tcPr>
            <w:tcW w:w="20" w:type="dxa"/>
            <w:vAlign w:val="bottom"/>
          </w:tcPr>
          <w:p>
            <w:pPr>
              <w:spacing w:after="0"/>
              <w:rPr>
                <w:sz w:val="17"/>
                <w:szCs w:val="17"/>
                <w:color w:val="auto"/>
              </w:rPr>
            </w:pPr>
          </w:p>
        </w:tc>
        <w:tc>
          <w:tcPr>
            <w:tcW w:w="2020" w:type="dxa"/>
            <w:vAlign w:val="bottom"/>
            <w:shd w:val="clear" w:color="auto" w:fill="E5FFFF"/>
          </w:tcPr>
          <w:p>
            <w:pPr>
              <w:spacing w:after="0"/>
              <w:rPr>
                <w:sz w:val="20"/>
                <w:szCs w:val="20"/>
                <w:color w:val="auto"/>
              </w:rPr>
            </w:pPr>
            <w:r>
              <w:rPr>
                <w:rFonts w:ascii="Arial" w:cs="Arial" w:eastAsia="Arial" w:hAnsi="Arial"/>
                <w:sz w:val="16"/>
                <w:szCs w:val="16"/>
                <w:color w:val="auto"/>
              </w:rPr>
              <w:t>GAS-twenty four Ltd.</w:t>
            </w:r>
          </w:p>
        </w:tc>
        <w:tc>
          <w:tcPr>
            <w:tcW w:w="1300" w:type="dxa"/>
            <w:vAlign w:val="bottom"/>
            <w:gridSpan w:val="2"/>
            <w:shd w:val="clear" w:color="auto" w:fill="E5FFFF"/>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June 2014</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shd w:val="clear" w:color="auto" w:fill="E5FFFF"/>
          </w:tcPr>
          <w:p>
            <w:pPr>
              <w:spacing w:after="0"/>
              <w:rPr>
                <w:sz w:val="20"/>
                <w:szCs w:val="20"/>
                <w:color w:val="auto"/>
              </w:rPr>
            </w:pPr>
            <w:r>
              <w:rPr>
                <w:rFonts w:ascii="Arial" w:cs="Arial" w:eastAsia="Arial" w:hAnsi="Arial"/>
                <w:sz w:val="16"/>
                <w:szCs w:val="16"/>
                <w:color w:val="auto"/>
              </w:rPr>
              <w:t>174,000</w:t>
            </w:r>
          </w:p>
        </w:tc>
        <w:tc>
          <w:tcPr>
            <w:tcW w:w="2180" w:type="dxa"/>
            <w:vAlign w:val="bottom"/>
            <w:gridSpan w:val="3"/>
            <w:shd w:val="clear" w:color="auto" w:fill="E5FFFF"/>
          </w:tcPr>
          <w:p>
            <w:pPr>
              <w:ind w:left="120"/>
              <w:spacing w:after="0"/>
              <w:rPr>
                <w:sz w:val="20"/>
                <w:szCs w:val="20"/>
                <w:color w:val="auto"/>
              </w:rPr>
            </w:pPr>
            <w:r>
              <w:rPr>
                <w:rFonts w:ascii="Arial" w:cs="Arial" w:eastAsia="Arial" w:hAnsi="Arial"/>
                <w:sz w:val="16"/>
                <w:szCs w:val="16"/>
                <w:color w:val="auto"/>
              </w:rPr>
              <w:t>Hull No. 2800</w:t>
            </w:r>
          </w:p>
        </w:tc>
        <w:tc>
          <w:tcPr>
            <w:tcW w:w="126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Q1 2018</w:t>
            </w:r>
            <w:r>
              <w:rPr>
                <w:rFonts w:ascii="Arial" w:cs="Arial" w:eastAsia="Arial" w:hAnsi="Arial"/>
                <w:sz w:val="21"/>
                <w:szCs w:val="21"/>
                <w:color w:val="auto"/>
                <w:vertAlign w:val="superscript"/>
              </w:rPr>
              <w:t>(1)</w:t>
            </w:r>
          </w:p>
        </w:tc>
      </w:tr>
      <w:tr>
        <w:trPr>
          <w:trHeight w:val="203"/>
        </w:trPr>
        <w:tc>
          <w:tcPr>
            <w:tcW w:w="20" w:type="dxa"/>
            <w:vAlign w:val="bottom"/>
            <w:tcBorders>
              <w:bottom w:val="single" w:sz="8" w:color="E5FFFF"/>
            </w:tcBorders>
          </w:tcPr>
          <w:p>
            <w:pPr>
              <w:spacing w:after="0"/>
              <w:rPr>
                <w:sz w:val="17"/>
                <w:szCs w:val="17"/>
                <w:color w:val="auto"/>
              </w:rPr>
            </w:pPr>
          </w:p>
        </w:tc>
        <w:tc>
          <w:tcPr>
            <w:tcW w:w="20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GAS-twenty five Ltd.</w:t>
            </w:r>
          </w:p>
        </w:tc>
        <w:tc>
          <w:tcPr>
            <w:tcW w:w="1300" w:type="dxa"/>
            <w:vAlign w:val="bottom"/>
            <w:tcBorders>
              <w:bottom w:val="single" w:sz="8" w:color="E5FFFF"/>
            </w:tcBorders>
            <w:gridSpan w:val="2"/>
          </w:tcPr>
          <w:p>
            <w:pPr>
              <w:ind w:left="120"/>
              <w:spacing w:after="0"/>
              <w:rPr>
                <w:sz w:val="20"/>
                <w:szCs w:val="20"/>
                <w:color w:val="auto"/>
              </w:rPr>
            </w:pPr>
            <w:r>
              <w:rPr>
                <w:rFonts w:ascii="Arial" w:cs="Arial" w:eastAsia="Arial" w:hAnsi="Arial"/>
                <w:sz w:val="16"/>
                <w:szCs w:val="16"/>
                <w:color w:val="auto"/>
              </w:rPr>
              <w:t>Bermuda</w:t>
            </w:r>
          </w:p>
        </w:tc>
        <w:tc>
          <w:tcPr>
            <w:tcW w:w="1500" w:type="dxa"/>
            <w:vAlign w:val="bottom"/>
            <w:tcBorders>
              <w:bottom w:val="single" w:sz="8" w:color="E5FFFF"/>
            </w:tcBorders>
            <w:gridSpan w:val="3"/>
          </w:tcPr>
          <w:p>
            <w:pPr>
              <w:ind w:left="120"/>
              <w:spacing w:after="0"/>
              <w:rPr>
                <w:sz w:val="20"/>
                <w:szCs w:val="20"/>
                <w:color w:val="auto"/>
              </w:rPr>
            </w:pPr>
            <w:r>
              <w:rPr>
                <w:rFonts w:ascii="Arial" w:cs="Arial" w:eastAsia="Arial" w:hAnsi="Arial"/>
                <w:sz w:val="16"/>
                <w:szCs w:val="16"/>
                <w:color w:val="auto"/>
              </w:rPr>
              <w:t>June 2014</w:t>
            </w:r>
          </w:p>
        </w:tc>
        <w:tc>
          <w:tcPr>
            <w:tcW w:w="248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Vessel-owning company</w:t>
            </w:r>
          </w:p>
        </w:tc>
        <w:tc>
          <w:tcPr>
            <w:tcW w:w="6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174,000</w:t>
            </w:r>
          </w:p>
        </w:tc>
        <w:tc>
          <w:tcPr>
            <w:tcW w:w="2180" w:type="dxa"/>
            <w:vAlign w:val="bottom"/>
            <w:tcBorders>
              <w:bottom w:val="single" w:sz="8" w:color="E5FFFF"/>
            </w:tcBorders>
            <w:gridSpan w:val="3"/>
          </w:tcPr>
          <w:p>
            <w:pPr>
              <w:ind w:left="120"/>
              <w:spacing w:after="0"/>
              <w:rPr>
                <w:sz w:val="20"/>
                <w:szCs w:val="20"/>
                <w:color w:val="auto"/>
              </w:rPr>
            </w:pPr>
            <w:r>
              <w:rPr>
                <w:rFonts w:ascii="Arial" w:cs="Arial" w:eastAsia="Arial" w:hAnsi="Arial"/>
                <w:sz w:val="16"/>
                <w:szCs w:val="16"/>
                <w:color w:val="auto"/>
              </w:rPr>
              <w:t>Hull No. 2801</w:t>
            </w:r>
          </w:p>
        </w:tc>
        <w:tc>
          <w:tcPr>
            <w:tcW w:w="126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Q1 2018</w:t>
            </w:r>
            <w:r>
              <w:rPr>
                <w:rFonts w:ascii="Arial" w:cs="Arial" w:eastAsia="Arial" w:hAnsi="Arial"/>
                <w:sz w:val="21"/>
                <w:szCs w:val="21"/>
                <w:color w:val="auto"/>
                <w:vertAlign w:val="superscript"/>
              </w:rPr>
              <w:t>(1)</w:t>
            </w:r>
          </w:p>
        </w:tc>
      </w:tr>
    </w:tbl>
    <w:p>
      <w:pPr>
        <w:sectPr>
          <w:pgSz w:w="11900" w:h="16900" w:orient="portrait"/>
          <w:cols w:equalWidth="0" w:num="1">
            <w:col w:w="11420"/>
          </w:cols>
          <w:pgMar w:left="240" w:top="130"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GAS-twenty six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January 2015</w:t>
            </w:r>
          </w:p>
        </w:tc>
        <w:tc>
          <w:tcPr>
            <w:tcW w:w="2420" w:type="dxa"/>
            <w:vAlign w:val="bottom"/>
            <w:shd w:val="clear" w:color="auto" w:fill="E5FFFF"/>
          </w:tcPr>
          <w:p>
            <w:pPr>
              <w:ind w:left="200"/>
              <w:spacing w:after="0"/>
              <w:rPr>
                <w:sz w:val="20"/>
                <w:szCs w:val="20"/>
                <w:color w:val="auto"/>
              </w:rPr>
            </w:pPr>
            <w:r>
              <w:rPr>
                <w:rFonts w:ascii="Arial" w:cs="Arial" w:eastAsia="Arial" w:hAnsi="Arial"/>
                <w:sz w:val="16"/>
                <w:szCs w:val="16"/>
                <w:color w:val="auto"/>
                <w:w w:val="94"/>
              </w:rPr>
              <w:t xml:space="preserve">Finance lease asset company </w:t>
            </w:r>
            <w:r>
              <w:rPr>
                <w:rFonts w:ascii="Arial" w:cs="Arial" w:eastAsia="Arial" w:hAnsi="Arial"/>
                <w:sz w:val="21"/>
                <w:szCs w:val="21"/>
                <w:color w:val="auto"/>
                <w:w w:val="94"/>
                <w:vertAlign w:val="superscript"/>
              </w:rPr>
              <w:t>(2)</w:t>
            </w:r>
          </w:p>
        </w:tc>
        <w:tc>
          <w:tcPr>
            <w:tcW w:w="880" w:type="dxa"/>
            <w:vAlign w:val="bottom"/>
            <w:shd w:val="clear" w:color="auto" w:fill="E5FFFF"/>
          </w:tcPr>
          <w:p>
            <w:pPr>
              <w:ind w:left="260"/>
              <w:spacing w:after="0"/>
              <w:rPr>
                <w:sz w:val="20"/>
                <w:szCs w:val="20"/>
                <w:color w:val="auto"/>
              </w:rPr>
            </w:pPr>
            <w:r>
              <w:rPr>
                <w:rFonts w:ascii="Arial" w:cs="Arial" w:eastAsia="Arial" w:hAnsi="Arial"/>
                <w:sz w:val="16"/>
                <w:szCs w:val="16"/>
                <w:color w:val="auto"/>
              </w:rPr>
              <w:t>170,000</w:t>
            </w:r>
          </w:p>
        </w:tc>
        <w:tc>
          <w:tcPr>
            <w:tcW w:w="2020" w:type="dxa"/>
            <w:vAlign w:val="bottom"/>
            <w:shd w:val="clear" w:color="auto" w:fill="E5FFFF"/>
          </w:tcPr>
          <w:p>
            <w:pPr>
              <w:ind w:left="160"/>
              <w:spacing w:after="0"/>
              <w:rPr>
                <w:sz w:val="20"/>
                <w:szCs w:val="20"/>
                <w:color w:val="auto"/>
              </w:rPr>
            </w:pPr>
            <w:r>
              <w:rPr>
                <w:rFonts w:ascii="Arial" w:cs="Arial" w:eastAsia="Arial" w:hAnsi="Arial"/>
                <w:sz w:val="16"/>
                <w:szCs w:val="16"/>
                <w:i w:val="1"/>
                <w:iCs w:val="1"/>
                <w:color w:val="auto"/>
              </w:rPr>
              <w:t>Methane Julia Louise</w:t>
            </w:r>
          </w:p>
        </w:tc>
        <w:tc>
          <w:tcPr>
            <w:tcW w:w="1460" w:type="dxa"/>
            <w:vAlign w:val="bottom"/>
            <w:shd w:val="clear" w:color="auto" w:fill="E5FFFF"/>
          </w:tcPr>
          <w:p>
            <w:pPr>
              <w:ind w:left="200"/>
              <w:spacing w:after="0"/>
              <w:rPr>
                <w:sz w:val="20"/>
                <w:szCs w:val="20"/>
                <w:color w:val="auto"/>
              </w:rPr>
            </w:pPr>
            <w:r>
              <w:rPr>
                <w:rFonts w:ascii="Arial" w:cs="Arial" w:eastAsia="Arial" w:hAnsi="Arial"/>
                <w:sz w:val="16"/>
                <w:szCs w:val="16"/>
                <w:color w:val="auto"/>
              </w:rPr>
              <w:t>March 2015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GAS-twenty seven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40"/>
              <w:spacing w:after="0"/>
              <w:rPr>
                <w:sz w:val="20"/>
                <w:szCs w:val="20"/>
                <w:color w:val="auto"/>
              </w:rPr>
            </w:pPr>
            <w:r>
              <w:rPr>
                <w:rFonts w:ascii="Arial" w:cs="Arial" w:eastAsia="Arial" w:hAnsi="Arial"/>
                <w:sz w:val="16"/>
                <w:szCs w:val="16"/>
                <w:color w:val="auto"/>
              </w:rPr>
              <w:t>January 2015</w:t>
            </w:r>
          </w:p>
        </w:tc>
        <w:tc>
          <w:tcPr>
            <w:tcW w:w="2420" w:type="dxa"/>
            <w:vAlign w:val="bottom"/>
          </w:tcPr>
          <w:p>
            <w:pPr>
              <w:ind w:left="20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60"/>
              <w:spacing w:after="0"/>
              <w:rPr>
                <w:sz w:val="20"/>
                <w:szCs w:val="20"/>
                <w:color w:val="auto"/>
              </w:rPr>
            </w:pPr>
            <w:r>
              <w:rPr>
                <w:rFonts w:ascii="Arial" w:cs="Arial" w:eastAsia="Arial" w:hAnsi="Arial"/>
                <w:sz w:val="16"/>
                <w:szCs w:val="16"/>
                <w:color w:val="auto"/>
              </w:rPr>
              <w:t>170,000</w:t>
            </w:r>
          </w:p>
        </w:tc>
        <w:tc>
          <w:tcPr>
            <w:tcW w:w="2020" w:type="dxa"/>
            <w:vAlign w:val="bottom"/>
          </w:tcPr>
          <w:p>
            <w:pPr>
              <w:ind w:left="160"/>
              <w:spacing w:after="0"/>
              <w:rPr>
                <w:sz w:val="20"/>
                <w:szCs w:val="20"/>
                <w:color w:val="auto"/>
              </w:rPr>
            </w:pPr>
            <w:r>
              <w:rPr>
                <w:rFonts w:ascii="Arial" w:cs="Arial" w:eastAsia="Arial" w:hAnsi="Arial"/>
                <w:sz w:val="16"/>
                <w:szCs w:val="16"/>
                <w:i w:val="1"/>
                <w:iCs w:val="1"/>
                <w:color w:val="auto"/>
              </w:rPr>
              <w:t>Methane Becki Anne</w:t>
            </w:r>
          </w:p>
        </w:tc>
        <w:tc>
          <w:tcPr>
            <w:tcW w:w="1460" w:type="dxa"/>
            <w:vAlign w:val="bottom"/>
          </w:tcPr>
          <w:p>
            <w:pPr>
              <w:ind w:left="200"/>
              <w:spacing w:after="0"/>
              <w:rPr>
                <w:sz w:val="20"/>
                <w:szCs w:val="20"/>
                <w:color w:val="auto"/>
              </w:rPr>
            </w:pPr>
            <w:r>
              <w:rPr>
                <w:rFonts w:ascii="Arial" w:cs="Arial" w:eastAsia="Arial" w:hAnsi="Arial"/>
                <w:sz w:val="16"/>
                <w:szCs w:val="16"/>
                <w:color w:val="auto"/>
              </w:rPr>
              <w:t>March 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GAS-twenty eight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40"/>
              <w:spacing w:after="0"/>
              <w:rPr>
                <w:sz w:val="20"/>
                <w:szCs w:val="20"/>
                <w:color w:val="auto"/>
              </w:rPr>
            </w:pPr>
            <w:r>
              <w:rPr>
                <w:rFonts w:ascii="Arial" w:cs="Arial" w:eastAsia="Arial" w:hAnsi="Arial"/>
                <w:sz w:val="16"/>
                <w:szCs w:val="16"/>
                <w:color w:val="auto"/>
                <w:w w:val="98"/>
              </w:rPr>
              <w:t>September 2016</w:t>
            </w:r>
          </w:p>
        </w:tc>
        <w:tc>
          <w:tcPr>
            <w:tcW w:w="2420" w:type="dxa"/>
            <w:vAlign w:val="bottom"/>
            <w:shd w:val="clear" w:color="auto" w:fill="E5FFFF"/>
          </w:tcPr>
          <w:p>
            <w:pPr>
              <w:ind w:left="20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60"/>
              <w:spacing w:after="0"/>
              <w:rPr>
                <w:sz w:val="20"/>
                <w:szCs w:val="20"/>
                <w:color w:val="auto"/>
              </w:rPr>
            </w:pPr>
            <w:r>
              <w:rPr>
                <w:rFonts w:ascii="Arial" w:cs="Arial" w:eastAsia="Arial" w:hAnsi="Arial"/>
                <w:sz w:val="16"/>
                <w:szCs w:val="16"/>
                <w:color w:val="auto"/>
              </w:rPr>
              <w:t>180,000</w:t>
            </w:r>
          </w:p>
        </w:tc>
        <w:tc>
          <w:tcPr>
            <w:tcW w:w="20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Hull No. 2212</w:t>
            </w:r>
          </w:p>
        </w:tc>
        <w:tc>
          <w:tcPr>
            <w:tcW w:w="1460" w:type="dxa"/>
            <w:vAlign w:val="bottom"/>
            <w:shd w:val="clear" w:color="auto" w:fill="E5FFFF"/>
          </w:tcPr>
          <w:p>
            <w:pPr>
              <w:ind w:left="200"/>
              <w:spacing w:after="0" w:line="203" w:lineRule="exact"/>
              <w:rPr>
                <w:sz w:val="20"/>
                <w:szCs w:val="20"/>
                <w:color w:val="auto"/>
              </w:rPr>
            </w:pPr>
            <w:r>
              <w:rPr>
                <w:rFonts w:ascii="Arial" w:cs="Arial" w:eastAsia="Arial" w:hAnsi="Arial"/>
                <w:sz w:val="16"/>
                <w:szCs w:val="16"/>
                <w:color w:val="auto"/>
              </w:rPr>
              <w:t>Q2 2019</w:t>
            </w:r>
            <w:r>
              <w:rPr>
                <w:rFonts w:ascii="Arial" w:cs="Arial" w:eastAsia="Arial" w:hAnsi="Arial"/>
                <w:sz w:val="21"/>
                <w:szCs w:val="21"/>
                <w:color w:val="auto"/>
                <w:vertAlign w:val="superscript"/>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GAS-twenty nine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40"/>
              <w:spacing w:after="0"/>
              <w:rPr>
                <w:sz w:val="20"/>
                <w:szCs w:val="20"/>
                <w:color w:val="auto"/>
              </w:rPr>
            </w:pPr>
            <w:r>
              <w:rPr>
                <w:rFonts w:ascii="Arial" w:cs="Arial" w:eastAsia="Arial" w:hAnsi="Arial"/>
                <w:sz w:val="16"/>
                <w:szCs w:val="16"/>
                <w:color w:val="auto"/>
                <w:w w:val="98"/>
              </w:rPr>
              <w:t>September 2016</w:t>
            </w:r>
          </w:p>
        </w:tc>
        <w:tc>
          <w:tcPr>
            <w:tcW w:w="2420" w:type="dxa"/>
            <w:vAlign w:val="bottom"/>
          </w:tcPr>
          <w:p>
            <w:pPr>
              <w:ind w:left="200"/>
              <w:spacing w:after="0"/>
              <w:rPr>
                <w:sz w:val="20"/>
                <w:szCs w:val="20"/>
                <w:color w:val="auto"/>
              </w:rPr>
            </w:pPr>
            <w:r>
              <w:rPr>
                <w:rFonts w:ascii="Arial" w:cs="Arial" w:eastAsia="Arial" w:hAnsi="Arial"/>
                <w:sz w:val="16"/>
                <w:szCs w:val="16"/>
                <w:color w:val="auto"/>
              </w:rPr>
              <w:t>Dormant</w:t>
            </w:r>
          </w:p>
        </w:tc>
        <w:tc>
          <w:tcPr>
            <w:tcW w:w="880" w:type="dxa"/>
            <w:vAlign w:val="bottom"/>
          </w:tcPr>
          <w:p>
            <w:pPr>
              <w:ind w:left="260"/>
              <w:spacing w:after="0"/>
              <w:rPr>
                <w:sz w:val="20"/>
                <w:szCs w:val="20"/>
                <w:color w:val="auto"/>
              </w:rPr>
            </w:pPr>
            <w:r>
              <w:rPr>
                <w:rFonts w:ascii="Arial" w:cs="Arial" w:eastAsia="Arial" w:hAnsi="Arial"/>
                <w:sz w:val="16"/>
                <w:szCs w:val="16"/>
                <w:color w:val="auto"/>
              </w:rPr>
              <w:t>—</w:t>
            </w:r>
          </w:p>
        </w:tc>
        <w:tc>
          <w:tcPr>
            <w:tcW w:w="2020" w:type="dxa"/>
            <w:vAlign w:val="bottom"/>
          </w:tcPr>
          <w:p>
            <w:pPr>
              <w:ind w:left="160"/>
              <w:spacing w:after="0"/>
              <w:rPr>
                <w:sz w:val="20"/>
                <w:szCs w:val="20"/>
                <w:color w:val="auto"/>
              </w:rPr>
            </w:pPr>
            <w:r>
              <w:rPr>
                <w:rFonts w:ascii="Arial" w:cs="Arial" w:eastAsia="Arial" w:hAnsi="Arial"/>
                <w:sz w:val="16"/>
                <w:szCs w:val="16"/>
                <w:color w:val="auto"/>
              </w:rPr>
              <w:t>—</w:t>
            </w:r>
          </w:p>
        </w:tc>
        <w:tc>
          <w:tcPr>
            <w:tcW w:w="1460" w:type="dxa"/>
            <w:vAlign w:val="bottom"/>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Shipping Limited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BVI</w:t>
            </w:r>
          </w:p>
        </w:tc>
        <w:tc>
          <w:tcPr>
            <w:tcW w:w="13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July 2003</w:t>
            </w:r>
          </w:p>
        </w:tc>
        <w:tc>
          <w:tcPr>
            <w:tcW w:w="2420" w:type="dxa"/>
            <w:vAlign w:val="bottom"/>
            <w:shd w:val="clear" w:color="auto" w:fill="E5FFFF"/>
          </w:tcPr>
          <w:p>
            <w:pPr>
              <w:ind w:left="200"/>
              <w:spacing w:after="0"/>
              <w:rPr>
                <w:sz w:val="20"/>
                <w:szCs w:val="20"/>
                <w:color w:val="auto"/>
              </w:rPr>
            </w:pPr>
            <w:r>
              <w:rPr>
                <w:rFonts w:ascii="Arial" w:cs="Arial" w:eastAsia="Arial" w:hAnsi="Arial"/>
                <w:sz w:val="16"/>
                <w:szCs w:val="16"/>
                <w:color w:val="auto"/>
              </w:rPr>
              <w:t>Dormant</w:t>
            </w:r>
          </w:p>
        </w:tc>
        <w:tc>
          <w:tcPr>
            <w:tcW w:w="880" w:type="dxa"/>
            <w:vAlign w:val="bottom"/>
            <w:shd w:val="clear" w:color="auto" w:fill="E5FFFF"/>
          </w:tcPr>
          <w:p>
            <w:pPr>
              <w:ind w:left="260"/>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w w:val="92"/>
              </w:rPr>
              <w:t>26.10% interest subsidiaries:</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 LP</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w w:val="98"/>
              </w:rPr>
              <w:t>Marshall Islands</w:t>
            </w:r>
          </w:p>
        </w:tc>
        <w:tc>
          <w:tcPr>
            <w:tcW w:w="13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January 2014</w:t>
            </w:r>
          </w:p>
        </w:tc>
        <w:tc>
          <w:tcPr>
            <w:tcW w:w="2420" w:type="dxa"/>
            <w:vAlign w:val="bottom"/>
            <w:shd w:val="clear" w:color="auto" w:fill="E5FFFF"/>
          </w:tcPr>
          <w:p>
            <w:pPr>
              <w:ind w:left="200"/>
              <w:spacing w:after="0"/>
              <w:rPr>
                <w:sz w:val="20"/>
                <w:szCs w:val="20"/>
                <w:color w:val="auto"/>
              </w:rPr>
            </w:pPr>
            <w:r>
              <w:rPr>
                <w:rFonts w:ascii="Arial" w:cs="Arial" w:eastAsia="Arial" w:hAnsi="Arial"/>
                <w:sz w:val="16"/>
                <w:szCs w:val="16"/>
                <w:color w:val="auto"/>
              </w:rPr>
              <w:t>Holding company</w:t>
            </w:r>
          </w:p>
        </w:tc>
        <w:tc>
          <w:tcPr>
            <w:tcW w:w="880" w:type="dxa"/>
            <w:vAlign w:val="bottom"/>
            <w:shd w:val="clear" w:color="auto" w:fill="E5FFFF"/>
          </w:tcPr>
          <w:p>
            <w:pPr>
              <w:ind w:left="260"/>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GasLog Partners Holdings</w:t>
            </w:r>
          </w:p>
        </w:tc>
        <w:tc>
          <w:tcPr>
            <w:tcW w:w="1240" w:type="dxa"/>
            <w:vAlign w:val="bottom"/>
          </w:tcPr>
          <w:p>
            <w:pPr>
              <w:ind w:left="80"/>
              <w:spacing w:after="0"/>
              <w:rPr>
                <w:sz w:val="20"/>
                <w:szCs w:val="20"/>
                <w:color w:val="auto"/>
              </w:rPr>
            </w:pPr>
            <w:r>
              <w:rPr>
                <w:rFonts w:ascii="Arial" w:cs="Arial" w:eastAsia="Arial" w:hAnsi="Arial"/>
                <w:sz w:val="16"/>
                <w:szCs w:val="16"/>
                <w:color w:val="auto"/>
                <w:w w:val="98"/>
              </w:rPr>
              <w:t>Marshall Islands</w:t>
            </w:r>
          </w:p>
        </w:tc>
        <w:tc>
          <w:tcPr>
            <w:tcW w:w="1320" w:type="dxa"/>
            <w:vAlign w:val="bottom"/>
          </w:tcPr>
          <w:p>
            <w:pPr>
              <w:ind w:left="140"/>
              <w:spacing w:after="0"/>
              <w:rPr>
                <w:sz w:val="20"/>
                <w:szCs w:val="20"/>
                <w:color w:val="auto"/>
              </w:rPr>
            </w:pPr>
            <w:r>
              <w:rPr>
                <w:rFonts w:ascii="Arial" w:cs="Arial" w:eastAsia="Arial" w:hAnsi="Arial"/>
                <w:sz w:val="16"/>
                <w:szCs w:val="16"/>
                <w:color w:val="auto"/>
              </w:rPr>
              <w:t>April 2014</w:t>
            </w:r>
          </w:p>
        </w:tc>
        <w:tc>
          <w:tcPr>
            <w:tcW w:w="2420" w:type="dxa"/>
            <w:vAlign w:val="bottom"/>
          </w:tcPr>
          <w:p>
            <w:pPr>
              <w:ind w:left="200"/>
              <w:spacing w:after="0"/>
              <w:rPr>
                <w:sz w:val="20"/>
                <w:szCs w:val="20"/>
                <w:color w:val="auto"/>
              </w:rPr>
            </w:pPr>
            <w:r>
              <w:rPr>
                <w:rFonts w:ascii="Arial" w:cs="Arial" w:eastAsia="Arial" w:hAnsi="Arial"/>
                <w:sz w:val="16"/>
                <w:szCs w:val="16"/>
                <w:color w:val="auto"/>
              </w:rPr>
              <w:t>Holding company</w:t>
            </w:r>
          </w:p>
        </w:tc>
        <w:tc>
          <w:tcPr>
            <w:tcW w:w="880" w:type="dxa"/>
            <w:vAlign w:val="bottom"/>
          </w:tcPr>
          <w:p>
            <w:pPr>
              <w:ind w:left="260"/>
              <w:spacing w:after="0"/>
              <w:rPr>
                <w:sz w:val="20"/>
                <w:szCs w:val="20"/>
                <w:color w:val="auto"/>
              </w:rPr>
            </w:pPr>
            <w:r>
              <w:rPr>
                <w:rFonts w:ascii="Arial" w:cs="Arial" w:eastAsia="Arial" w:hAnsi="Arial"/>
                <w:sz w:val="16"/>
                <w:szCs w:val="16"/>
                <w:color w:val="auto"/>
              </w:rPr>
              <w:t>—</w:t>
            </w:r>
          </w:p>
        </w:tc>
        <w:tc>
          <w:tcPr>
            <w:tcW w:w="2020" w:type="dxa"/>
            <w:vAlign w:val="bottom"/>
          </w:tcPr>
          <w:p>
            <w:pPr>
              <w:ind w:left="160"/>
              <w:spacing w:after="0"/>
              <w:rPr>
                <w:sz w:val="20"/>
                <w:szCs w:val="20"/>
                <w:color w:val="auto"/>
              </w:rPr>
            </w:pPr>
            <w:r>
              <w:rPr>
                <w:rFonts w:ascii="Arial" w:cs="Arial" w:eastAsia="Arial" w:hAnsi="Arial"/>
                <w:sz w:val="16"/>
                <w:szCs w:val="16"/>
                <w:color w:val="auto"/>
              </w:rPr>
              <w:t>—</w:t>
            </w:r>
          </w:p>
        </w:tc>
        <w:tc>
          <w:tcPr>
            <w:tcW w:w="1460" w:type="dxa"/>
            <w:vAlign w:val="bottom"/>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gridSpan w:val="2"/>
          </w:tcPr>
          <w:p>
            <w:pPr>
              <w:ind w:left="200"/>
              <w:spacing w:after="0"/>
              <w:rPr>
                <w:sz w:val="20"/>
                <w:szCs w:val="20"/>
                <w:color w:val="auto"/>
              </w:rPr>
            </w:pPr>
            <w:r>
              <w:rPr>
                <w:rFonts w:ascii="Arial" w:cs="Arial" w:eastAsia="Arial" w:hAnsi="Arial"/>
                <w:sz w:val="16"/>
                <w:szCs w:val="16"/>
                <w:color w:val="auto"/>
              </w:rPr>
              <w:t>LLC</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20" w:type="dxa"/>
            <w:vAlign w:val="bottom"/>
          </w:tcPr>
          <w:p>
            <w:pPr>
              <w:ind w:left="960"/>
              <w:spacing w:after="0"/>
              <w:rPr>
                <w:sz w:val="20"/>
                <w:szCs w:val="20"/>
                <w:color w:val="auto"/>
              </w:rPr>
            </w:pPr>
            <w:r>
              <w:rPr>
                <w:rFonts w:ascii="Arial" w:cs="Arial" w:eastAsia="Arial" w:hAnsi="Arial"/>
                <w:sz w:val="16"/>
                <w:szCs w:val="16"/>
                <w:color w:val="auto"/>
              </w:rPr>
              <w:t>F-7</w:t>
            </w: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400" w:type="dxa"/>
            <w:vAlign w:val="bottom"/>
            <w:tcBorders>
              <w:bottom w:val="single" w:sz="8" w:color="808080"/>
            </w:tcBorders>
            <w:gridSpan w:val="2"/>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GAS-three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April 2010</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155,000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GasLog Shanghai</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January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GAS-four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00"/>
              <w:spacing w:after="0"/>
              <w:rPr>
                <w:sz w:val="20"/>
                <w:szCs w:val="20"/>
                <w:color w:val="auto"/>
              </w:rPr>
            </w:pPr>
            <w:r>
              <w:rPr>
                <w:rFonts w:ascii="Arial" w:cs="Arial" w:eastAsia="Arial" w:hAnsi="Arial"/>
                <w:sz w:val="16"/>
                <w:szCs w:val="16"/>
                <w:color w:val="auto"/>
              </w:rPr>
              <w:t>April 2010</w:t>
            </w:r>
          </w:p>
        </w:tc>
        <w:tc>
          <w:tcPr>
            <w:tcW w:w="2420" w:type="dxa"/>
            <w:vAlign w:val="bottom"/>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00"/>
              <w:spacing w:after="0"/>
              <w:rPr>
                <w:sz w:val="20"/>
                <w:szCs w:val="20"/>
                <w:color w:val="auto"/>
              </w:rPr>
            </w:pPr>
            <w:r>
              <w:rPr>
                <w:rFonts w:ascii="Arial" w:cs="Arial" w:eastAsia="Arial" w:hAnsi="Arial"/>
                <w:sz w:val="16"/>
                <w:szCs w:val="16"/>
                <w:color w:val="auto"/>
              </w:rPr>
              <w:t>155,000</w:t>
            </w:r>
          </w:p>
        </w:tc>
        <w:tc>
          <w:tcPr>
            <w:tcW w:w="2020" w:type="dxa"/>
            <w:vAlign w:val="bottom"/>
          </w:tcPr>
          <w:p>
            <w:pPr>
              <w:ind w:left="100"/>
              <w:spacing w:after="0"/>
              <w:rPr>
                <w:sz w:val="20"/>
                <w:szCs w:val="20"/>
                <w:color w:val="auto"/>
              </w:rPr>
            </w:pPr>
            <w:r>
              <w:rPr>
                <w:rFonts w:ascii="Arial" w:cs="Arial" w:eastAsia="Arial" w:hAnsi="Arial"/>
                <w:sz w:val="16"/>
                <w:szCs w:val="16"/>
                <w:i w:val="1"/>
                <w:iCs w:val="1"/>
                <w:color w:val="auto"/>
              </w:rPr>
              <w:t>GasLog Santiago</w:t>
            </w:r>
          </w:p>
        </w:tc>
        <w:tc>
          <w:tcPr>
            <w:tcW w:w="1460" w:type="dxa"/>
            <w:vAlign w:val="bottom"/>
          </w:tcPr>
          <w:p>
            <w:pPr>
              <w:ind w:left="180"/>
              <w:spacing w:after="0"/>
              <w:rPr>
                <w:sz w:val="20"/>
                <w:szCs w:val="20"/>
                <w:color w:val="auto"/>
              </w:rPr>
            </w:pPr>
            <w:r>
              <w:rPr>
                <w:rFonts w:ascii="Arial" w:cs="Arial" w:eastAsia="Arial" w:hAnsi="Arial"/>
                <w:sz w:val="16"/>
                <w:szCs w:val="16"/>
                <w:color w:val="auto"/>
              </w:rPr>
              <w:t>March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GAS-five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February 2011</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155,000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GasLog Sydney</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May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GAS-seven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00"/>
              <w:spacing w:after="0"/>
              <w:rPr>
                <w:sz w:val="20"/>
                <w:szCs w:val="20"/>
                <w:color w:val="auto"/>
              </w:rPr>
            </w:pPr>
            <w:r>
              <w:rPr>
                <w:rFonts w:ascii="Arial" w:cs="Arial" w:eastAsia="Arial" w:hAnsi="Arial"/>
                <w:sz w:val="16"/>
                <w:szCs w:val="16"/>
                <w:color w:val="auto"/>
              </w:rPr>
              <w:t>March 2011</w:t>
            </w:r>
          </w:p>
        </w:tc>
        <w:tc>
          <w:tcPr>
            <w:tcW w:w="2420" w:type="dxa"/>
            <w:vAlign w:val="bottom"/>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00"/>
              <w:spacing w:after="0"/>
              <w:rPr>
                <w:sz w:val="20"/>
                <w:szCs w:val="20"/>
                <w:color w:val="auto"/>
              </w:rPr>
            </w:pPr>
            <w:r>
              <w:rPr>
                <w:rFonts w:ascii="Arial" w:cs="Arial" w:eastAsia="Arial" w:hAnsi="Arial"/>
                <w:sz w:val="16"/>
                <w:szCs w:val="16"/>
                <w:color w:val="auto"/>
              </w:rPr>
              <w:t>155,000</w:t>
            </w:r>
          </w:p>
        </w:tc>
        <w:tc>
          <w:tcPr>
            <w:tcW w:w="2020" w:type="dxa"/>
            <w:vAlign w:val="bottom"/>
          </w:tcPr>
          <w:p>
            <w:pPr>
              <w:ind w:left="100"/>
              <w:spacing w:after="0"/>
              <w:rPr>
                <w:sz w:val="20"/>
                <w:szCs w:val="20"/>
                <w:color w:val="auto"/>
              </w:rPr>
            </w:pPr>
            <w:r>
              <w:rPr>
                <w:rFonts w:ascii="Arial" w:cs="Arial" w:eastAsia="Arial" w:hAnsi="Arial"/>
                <w:sz w:val="16"/>
                <w:szCs w:val="16"/>
                <w:i w:val="1"/>
                <w:iCs w:val="1"/>
                <w:color w:val="auto"/>
              </w:rPr>
              <w:t>GasLog Seattle</w:t>
            </w:r>
          </w:p>
        </w:tc>
        <w:tc>
          <w:tcPr>
            <w:tcW w:w="1460" w:type="dxa"/>
            <w:vAlign w:val="bottom"/>
          </w:tcPr>
          <w:p>
            <w:pPr>
              <w:ind w:left="180"/>
              <w:spacing w:after="0"/>
              <w:rPr>
                <w:sz w:val="20"/>
                <w:szCs w:val="20"/>
                <w:color w:val="auto"/>
              </w:rPr>
            </w:pPr>
            <w:r>
              <w:rPr>
                <w:rFonts w:ascii="Arial" w:cs="Arial" w:eastAsia="Arial" w:hAnsi="Arial"/>
                <w:sz w:val="16"/>
                <w:szCs w:val="16"/>
                <w:color w:val="auto"/>
              </w:rPr>
              <w:t>December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GAS-eleven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December 2012</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174,000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GasLog Greece</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March 2016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GAS-thirteen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00"/>
              <w:spacing w:after="0"/>
              <w:rPr>
                <w:sz w:val="20"/>
                <w:szCs w:val="20"/>
                <w:color w:val="auto"/>
              </w:rPr>
            </w:pPr>
            <w:r>
              <w:rPr>
                <w:rFonts w:ascii="Arial" w:cs="Arial" w:eastAsia="Arial" w:hAnsi="Arial"/>
                <w:sz w:val="16"/>
                <w:szCs w:val="16"/>
                <w:color w:val="auto"/>
              </w:rPr>
              <w:t>July 2013</w:t>
            </w:r>
          </w:p>
        </w:tc>
        <w:tc>
          <w:tcPr>
            <w:tcW w:w="2420" w:type="dxa"/>
            <w:vAlign w:val="bottom"/>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00"/>
              <w:spacing w:after="0"/>
              <w:rPr>
                <w:sz w:val="20"/>
                <w:szCs w:val="20"/>
                <w:color w:val="auto"/>
              </w:rPr>
            </w:pPr>
            <w:r>
              <w:rPr>
                <w:rFonts w:ascii="Arial" w:cs="Arial" w:eastAsia="Arial" w:hAnsi="Arial"/>
                <w:sz w:val="16"/>
                <w:szCs w:val="16"/>
                <w:color w:val="auto"/>
              </w:rPr>
              <w:t>174,000</w:t>
            </w:r>
          </w:p>
        </w:tc>
        <w:tc>
          <w:tcPr>
            <w:tcW w:w="2020" w:type="dxa"/>
            <w:vAlign w:val="bottom"/>
          </w:tcPr>
          <w:p>
            <w:pPr>
              <w:ind w:left="100"/>
              <w:spacing w:after="0"/>
              <w:rPr>
                <w:sz w:val="20"/>
                <w:szCs w:val="20"/>
                <w:color w:val="auto"/>
              </w:rPr>
            </w:pPr>
            <w:r>
              <w:rPr>
                <w:rFonts w:ascii="Arial" w:cs="Arial" w:eastAsia="Arial" w:hAnsi="Arial"/>
                <w:sz w:val="16"/>
                <w:szCs w:val="16"/>
                <w:i w:val="1"/>
                <w:iCs w:val="1"/>
                <w:color w:val="auto"/>
              </w:rPr>
              <w:t>GasLog Geneva</w:t>
            </w:r>
          </w:p>
        </w:tc>
        <w:tc>
          <w:tcPr>
            <w:tcW w:w="1460" w:type="dxa"/>
            <w:vAlign w:val="bottom"/>
          </w:tcPr>
          <w:p>
            <w:pPr>
              <w:ind w:left="180"/>
              <w:spacing w:after="0"/>
              <w:rPr>
                <w:sz w:val="20"/>
                <w:szCs w:val="20"/>
                <w:color w:val="auto"/>
              </w:rPr>
            </w:pPr>
            <w:r>
              <w:rPr>
                <w:rFonts w:ascii="Arial" w:cs="Arial" w:eastAsia="Arial" w:hAnsi="Arial"/>
                <w:sz w:val="16"/>
                <w:szCs w:val="16"/>
                <w:color w:val="auto"/>
              </w:rPr>
              <w:t>September 2016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GAS-sixteen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January 2014</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Methane Rita Andrea</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April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GAS-seventeen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00"/>
              <w:spacing w:after="0"/>
              <w:rPr>
                <w:sz w:val="20"/>
                <w:szCs w:val="20"/>
                <w:color w:val="auto"/>
              </w:rPr>
            </w:pPr>
            <w:r>
              <w:rPr>
                <w:rFonts w:ascii="Arial" w:cs="Arial" w:eastAsia="Arial" w:hAnsi="Arial"/>
                <w:sz w:val="16"/>
                <w:szCs w:val="16"/>
                <w:color w:val="auto"/>
              </w:rPr>
              <w:t>January 2014</w:t>
            </w:r>
          </w:p>
        </w:tc>
        <w:tc>
          <w:tcPr>
            <w:tcW w:w="2420" w:type="dxa"/>
            <w:vAlign w:val="bottom"/>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tcPr>
          <w:p>
            <w:pPr>
              <w:ind w:left="100"/>
              <w:spacing w:after="0"/>
              <w:rPr>
                <w:sz w:val="20"/>
                <w:szCs w:val="20"/>
                <w:color w:val="auto"/>
              </w:rPr>
            </w:pPr>
            <w:r>
              <w:rPr>
                <w:rFonts w:ascii="Arial" w:cs="Arial" w:eastAsia="Arial" w:hAnsi="Arial"/>
                <w:sz w:val="16"/>
                <w:szCs w:val="16"/>
                <w:i w:val="1"/>
                <w:iCs w:val="1"/>
                <w:color w:val="auto"/>
              </w:rPr>
              <w:t>Methane Jane Elizabeth</w:t>
            </w:r>
          </w:p>
        </w:tc>
        <w:tc>
          <w:tcPr>
            <w:tcW w:w="1460" w:type="dxa"/>
            <w:vAlign w:val="bottom"/>
          </w:tcPr>
          <w:p>
            <w:pPr>
              <w:ind w:left="180"/>
              <w:spacing w:after="0"/>
              <w:rPr>
                <w:sz w:val="20"/>
                <w:szCs w:val="20"/>
                <w:color w:val="auto"/>
              </w:rPr>
            </w:pPr>
            <w:r>
              <w:rPr>
                <w:rFonts w:ascii="Arial" w:cs="Arial" w:eastAsia="Arial" w:hAnsi="Arial"/>
                <w:sz w:val="16"/>
                <w:szCs w:val="16"/>
                <w:color w:val="auto"/>
              </w:rPr>
              <w:t>April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GAS-nineteen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April 2014</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Methane Alison Victoria</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June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GAS-twenty Ltd.</w:t>
            </w:r>
          </w:p>
        </w:tc>
        <w:tc>
          <w:tcPr>
            <w:tcW w:w="1240" w:type="dxa"/>
            <w:vAlign w:val="bottom"/>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tcPr>
          <w:p>
            <w:pPr>
              <w:ind w:left="100"/>
              <w:spacing w:after="0"/>
              <w:rPr>
                <w:sz w:val="20"/>
                <w:szCs w:val="20"/>
                <w:color w:val="auto"/>
              </w:rPr>
            </w:pPr>
            <w:r>
              <w:rPr>
                <w:rFonts w:ascii="Arial" w:cs="Arial" w:eastAsia="Arial" w:hAnsi="Arial"/>
                <w:sz w:val="16"/>
                <w:szCs w:val="16"/>
                <w:color w:val="auto"/>
              </w:rPr>
              <w:t>April 2014</w:t>
            </w:r>
          </w:p>
        </w:tc>
        <w:tc>
          <w:tcPr>
            <w:tcW w:w="2420" w:type="dxa"/>
            <w:vAlign w:val="bottom"/>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tcPr>
          <w:p>
            <w:pPr>
              <w:ind w:left="100"/>
              <w:spacing w:after="0"/>
              <w:rPr>
                <w:sz w:val="20"/>
                <w:szCs w:val="20"/>
                <w:color w:val="auto"/>
              </w:rPr>
            </w:pPr>
            <w:r>
              <w:rPr>
                <w:rFonts w:ascii="Arial" w:cs="Arial" w:eastAsia="Arial" w:hAnsi="Arial"/>
                <w:sz w:val="16"/>
                <w:szCs w:val="16"/>
                <w:i w:val="1"/>
                <w:iCs w:val="1"/>
                <w:color w:val="auto"/>
              </w:rPr>
              <w:t>Methane Shirley Elisabeth</w:t>
            </w:r>
          </w:p>
        </w:tc>
        <w:tc>
          <w:tcPr>
            <w:tcW w:w="1460" w:type="dxa"/>
            <w:vAlign w:val="bottom"/>
          </w:tcPr>
          <w:p>
            <w:pPr>
              <w:ind w:left="180"/>
              <w:spacing w:after="0"/>
              <w:rPr>
                <w:sz w:val="20"/>
                <w:szCs w:val="20"/>
                <w:color w:val="auto"/>
              </w:rPr>
            </w:pPr>
            <w:r>
              <w:rPr>
                <w:rFonts w:ascii="Arial" w:cs="Arial" w:eastAsia="Arial" w:hAnsi="Arial"/>
                <w:sz w:val="16"/>
                <w:szCs w:val="16"/>
                <w:color w:val="auto"/>
              </w:rPr>
              <w:t>June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GAS-twenty one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April 2014</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Methane Heather Sally</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June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25% interest associate:</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Egypt LNG Shipping Ltd.</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Bermuda</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May 2010</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Vessel-owning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145,000</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i w:val="1"/>
                <w:iCs w:val="1"/>
                <w:color w:val="auto"/>
              </w:rPr>
              <w:t>Methane Nile Eagle</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December 2007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20% interest associate:</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Gastrade S.A. (“Gastrade”)</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rPr>
              <w:t>Greece</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June 2010</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Service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33.33% joint venture:</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The Cool Pool Limited (the</w:t>
            </w:r>
          </w:p>
        </w:tc>
        <w:tc>
          <w:tcPr>
            <w:tcW w:w="1240" w:type="dxa"/>
            <w:vAlign w:val="bottom"/>
            <w:shd w:val="clear" w:color="auto" w:fill="E5FFFF"/>
          </w:tcPr>
          <w:p>
            <w:pPr>
              <w:ind w:left="80"/>
              <w:spacing w:after="0"/>
              <w:rPr>
                <w:sz w:val="20"/>
                <w:szCs w:val="20"/>
                <w:color w:val="auto"/>
              </w:rPr>
            </w:pPr>
            <w:r>
              <w:rPr>
                <w:rFonts w:ascii="Arial" w:cs="Arial" w:eastAsia="Arial" w:hAnsi="Arial"/>
                <w:sz w:val="16"/>
                <w:szCs w:val="16"/>
                <w:color w:val="auto"/>
                <w:w w:val="98"/>
              </w:rPr>
              <w:t>Marshall Islands</w:t>
            </w:r>
          </w:p>
        </w:tc>
        <w:tc>
          <w:tcPr>
            <w:tcW w:w="13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September 2015</w:t>
            </w:r>
          </w:p>
        </w:tc>
        <w:tc>
          <w:tcPr>
            <w:tcW w:w="2420" w:type="dxa"/>
            <w:vAlign w:val="bottom"/>
            <w:shd w:val="clear" w:color="auto" w:fill="E5FFFF"/>
          </w:tcPr>
          <w:p>
            <w:pPr>
              <w:ind w:left="140"/>
              <w:spacing w:after="0"/>
              <w:rPr>
                <w:sz w:val="20"/>
                <w:szCs w:val="20"/>
                <w:color w:val="auto"/>
              </w:rPr>
            </w:pPr>
            <w:r>
              <w:rPr>
                <w:rFonts w:ascii="Arial" w:cs="Arial" w:eastAsia="Arial" w:hAnsi="Arial"/>
                <w:sz w:val="16"/>
                <w:szCs w:val="16"/>
                <w:color w:val="auto"/>
              </w:rPr>
              <w:t>Service company</w:t>
            </w:r>
          </w:p>
        </w:tc>
        <w:tc>
          <w:tcPr>
            <w:tcW w:w="8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FFFF"/>
          </w:tcPr>
          <w:p>
            <w:pPr>
              <w:ind w:lef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gridSpan w:val="2"/>
            <w:shd w:val="clear" w:color="auto" w:fill="E5FFFF"/>
          </w:tcPr>
          <w:p>
            <w:pPr>
              <w:ind w:left="200"/>
              <w:spacing w:after="0" w:line="213" w:lineRule="exact"/>
              <w:rPr>
                <w:sz w:val="20"/>
                <w:szCs w:val="20"/>
                <w:color w:val="auto"/>
              </w:rPr>
            </w:pPr>
            <w:r>
              <w:rPr>
                <w:rFonts w:ascii="Arial" w:cs="Arial" w:eastAsia="Arial" w:hAnsi="Arial"/>
                <w:sz w:val="16"/>
                <w:szCs w:val="16"/>
                <w:color w:val="auto"/>
              </w:rPr>
              <w:t xml:space="preserve">“Cool Pool”) </w:t>
            </w:r>
            <w:r>
              <w:rPr>
                <w:rFonts w:ascii="Arial" w:cs="Arial" w:eastAsia="Arial" w:hAnsi="Arial"/>
                <w:sz w:val="21"/>
                <w:szCs w:val="21"/>
                <w:color w:val="auto"/>
                <w:vertAlign w:val="superscript"/>
              </w:rPr>
              <w:t>(3)</w:t>
            </w:r>
          </w:p>
        </w:tc>
        <w:tc>
          <w:tcPr>
            <w:tcW w:w="12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24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0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-2839720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-2839720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1"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For newbuildings, expected delivery quarters as of September 30, 2017 are presented.</w:t>
      </w:r>
    </w:p>
    <w:p>
      <w:pPr>
        <w:ind w:left="240" w:hanging="232"/>
        <w:spacing w:after="0" w:line="182" w:lineRule="auto"/>
        <w:tabs>
          <w:tab w:leader="none" w:pos="240" w:val="left"/>
        </w:tabs>
        <w:numPr>
          <w:ilvl w:val="0"/>
          <w:numId w:val="13"/>
        </w:numPr>
        <w:rPr>
          <w:rFonts w:ascii="Arial" w:cs="Arial" w:eastAsia="Arial" w:hAnsi="Arial"/>
          <w:sz w:val="17"/>
          <w:szCs w:val="17"/>
          <w:color w:val="auto"/>
          <w:vertAlign w:val="superscript"/>
        </w:rPr>
      </w:pPr>
      <w:r>
        <w:rPr>
          <w:rFonts w:ascii="Arial" w:cs="Arial" w:eastAsia="Arial" w:hAnsi="Arial"/>
          <w:sz w:val="12"/>
          <w:szCs w:val="12"/>
          <w:color w:val="auto"/>
        </w:rPr>
        <w:t xml:space="preserve">On February 24, 2016,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a subsidiary of Mitsui Co. Ltd. (“Mitsui”). Refer to Note 6.</w:t>
      </w:r>
    </w:p>
    <w:p>
      <w:pPr>
        <w:ind w:left="240" w:right="140" w:hanging="232"/>
        <w:spacing w:after="0" w:line="221" w:lineRule="auto"/>
        <w:tabs>
          <w:tab w:leader="none" w:pos="240"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On October 1, 2015, GasLog Carriers, Dynagas Ltd. (“Dynagas”) and Golar LNG Limited (“Golar”) (“Pool Owners”) and the Cool Pool Limited signed a LNG carrier pooling agreement (the “LNG Carrier Pool” or “Pool Agreement”) to market their vessels, which are currently operating in the LNG shipping spot market. As of September 30, 2017, the LNG Carrier Pool (named the “Cool Pool”) consists of 18 modern, high quality and essentially equivalent vessels powered by fuel efficient tri-fuel diesel electric (“TFDE”) propulsion technology. The participation of the Pool Owners’ vessels in the Cool Pool are as follows: Dynagas: three vessels; GasLog Carriers: five vessels; and Golar: ten vessels.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120" w:firstLine="436"/>
        <w:spacing w:after="0" w:line="293"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International Financial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2016 filed with the SEC on March 1, 2017. On November 1, 2017 GasLog’s board of directors authorized the unaudited condensed consolidated financial statements for issuance.</w:t>
      </w:r>
    </w:p>
    <w:p>
      <w:pPr>
        <w:spacing w:after="0" w:line="176" w:lineRule="exact"/>
        <w:rPr>
          <w:sz w:val="20"/>
          <w:szCs w:val="20"/>
          <w:color w:val="auto"/>
        </w:rPr>
      </w:pPr>
    </w:p>
    <w:p>
      <w:pPr>
        <w:ind w:right="6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580" w:firstLine="396"/>
        <w:spacing w:after="0" w:line="278" w:lineRule="auto"/>
        <w:rPr>
          <w:sz w:val="20"/>
          <w:szCs w:val="20"/>
          <w:color w:val="auto"/>
        </w:rPr>
      </w:pPr>
      <w:r>
        <w:rPr>
          <w:rFonts w:ascii="Arial" w:cs="Arial" w:eastAsia="Arial" w:hAnsi="Arial"/>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2016.</w:t>
      </w:r>
    </w:p>
    <w:p>
      <w:pPr>
        <w:spacing w:after="0" w:line="184" w:lineRule="exact"/>
        <w:rPr>
          <w:sz w:val="20"/>
          <w:szCs w:val="20"/>
          <w:color w:val="auto"/>
        </w:rPr>
      </w:pPr>
    </w:p>
    <w:p>
      <w:pPr>
        <w:ind w:right="400" w:firstLine="396"/>
        <w:spacing w:after="0" w:line="293" w:lineRule="auto"/>
        <w:rPr>
          <w:sz w:val="20"/>
          <w:szCs w:val="20"/>
          <w:color w:val="auto"/>
        </w:rPr>
      </w:pPr>
      <w:r>
        <w:rPr>
          <w:rFonts w:ascii="Arial" w:cs="Arial" w:eastAsia="Arial" w:hAnsi="Arial"/>
          <w:sz w:val="16"/>
          <w:szCs w:val="16"/>
          <w:color w:val="auto"/>
        </w:rPr>
        <w:t>Certain prior-period amounts have been reclassified to conform with the current period presentation within the unaudited condensed consolidated statements of cash flows from the line item “payment for finance lease liability” to “interest paid” for an amount of $1,467.</w:t>
      </w:r>
    </w:p>
    <w:p>
      <w:pPr>
        <w:spacing w:after="0" w:line="172" w:lineRule="exact"/>
        <w:rPr>
          <w:sz w:val="20"/>
          <w:szCs w:val="20"/>
          <w:color w:val="auto"/>
        </w:rPr>
      </w:pPr>
    </w:p>
    <w:p>
      <w:pPr>
        <w:ind w:right="80" w:firstLine="432"/>
        <w:spacing w:after="0" w:line="273" w:lineRule="auto"/>
        <w:rPr>
          <w:sz w:val="20"/>
          <w:szCs w:val="20"/>
          <w:color w:val="auto"/>
        </w:rPr>
      </w:pPr>
      <w:r>
        <w:rPr>
          <w:rFonts w:ascii="Arial" w:cs="Arial" w:eastAsia="Arial" w:hAnsi="Arial"/>
          <w:sz w:val="16"/>
          <w:szCs w:val="16"/>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comply with its financial covenants for at least twelve months from the end of the reporting period and therefore it is appropriate to prepare the financial statements on a going concern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60" w:firstLine="383"/>
        <w:spacing w:after="0" w:line="269" w:lineRule="auto"/>
        <w:rPr>
          <w:sz w:val="20"/>
          <w:szCs w:val="20"/>
          <w:color w:val="auto"/>
        </w:rPr>
      </w:pPr>
      <w:r>
        <w:rPr>
          <w:rFonts w:ascii="Arial" w:cs="Arial" w:eastAsia="Arial" w:hAnsi="Arial"/>
          <w:sz w:val="16"/>
          <w:szCs w:val="16"/>
          <w:color w:val="auto"/>
        </w:rPr>
        <w:t xml:space="preserve">In January 2016, the IASB issued amendments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Group’s consolidated financial statements; please refer to Notes 6, 7 and 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60" w:firstLine="419"/>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 Group were in issue but not yet effective:</w:t>
      </w:r>
    </w:p>
    <w:p>
      <w:pPr>
        <w:sectPr>
          <w:pgSz w:w="11900" w:h="16838" w:orient="portrait"/>
          <w:cols w:equalWidth="0" w:num="1">
            <w:col w:w="11460"/>
          </w:cols>
          <w:pgMar w:left="240" w:top="101" w:right="19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324"/>
        <w:spacing w:after="0" w:line="287" w:lineRule="auto"/>
        <w:rPr>
          <w:sz w:val="20"/>
          <w:szCs w:val="20"/>
          <w:color w:val="auto"/>
        </w:rPr>
      </w:pPr>
      <w:r>
        <w:rPr>
          <w:rFonts w:ascii="Arial" w:cs="Arial" w:eastAsia="Arial" w:hAnsi="Arial"/>
          <w:sz w:val="15"/>
          <w:szCs w:val="15"/>
          <w:color w:val="auto"/>
        </w:rPr>
        <w:t xml:space="preserve">In May 2014, the IASB issued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IAS 11 </w:t>
      </w:r>
      <w:r>
        <w:rPr>
          <w:rFonts w:ascii="Arial" w:cs="Arial" w:eastAsia="Arial" w:hAnsi="Arial"/>
          <w:sz w:val="15"/>
          <w:szCs w:val="15"/>
          <w:i w:val="1"/>
          <w:iCs w:val="1"/>
          <w:color w:val="auto"/>
        </w:rPr>
        <w:t>Construction Contracts</w:t>
      </w:r>
      <w:r>
        <w:rPr>
          <w:rFonts w:ascii="Arial" w:cs="Arial" w:eastAsia="Arial" w:hAnsi="Arial"/>
          <w:sz w:val="15"/>
          <w:szCs w:val="15"/>
          <w:color w:val="auto"/>
        </w:rPr>
        <w:t xml:space="preserve"> and a number of revenue-related interpretations. The standard was amended in September 2015 to delay the effective date to annual periods 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The Group will adopt the standard as of January 1, 2018 and is expecting that the adoption will not have a material effect on the Group’s consolidated financial statements, other than additional disclosure requirements in the notes to the consolidated financial statements, since the Group has chartered its vessels under time charter agreements and a bareboat agreement, and in this respect revenue is accounted under the leases standard.</w:t>
      </w:r>
    </w:p>
    <w:p>
      <w:pPr>
        <w:spacing w:after="0" w:line="183" w:lineRule="exact"/>
        <w:rPr>
          <w:sz w:val="20"/>
          <w:szCs w:val="20"/>
          <w:color w:val="auto"/>
        </w:rPr>
      </w:pPr>
    </w:p>
    <w:p>
      <w:pPr>
        <w:ind w:right="120" w:firstLine="383"/>
        <w:spacing w:after="0" w:line="267" w:lineRule="auto"/>
        <w:rPr>
          <w:sz w:val="20"/>
          <w:szCs w:val="20"/>
          <w:color w:val="auto"/>
        </w:rPr>
      </w:pPr>
      <w:r>
        <w:rPr>
          <w:rFonts w:ascii="Arial" w:cs="Arial" w:eastAsia="Arial" w:hAnsi="Arial"/>
          <w:sz w:val="16"/>
          <w:szCs w:val="16"/>
          <w:color w:val="auto"/>
        </w:rPr>
        <w:t xml:space="preserve">In July 2014, the IASB issued the complete version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The Group applies cash flow hedge accounting on its cross-currency swaps in relation to its NOK Bond (but does not apply hedge accounting on its cash flow interest rate swaps in relation to its floating debt) and the new rules under IFRS 9 on hedge accounting are not expected to have a material effect on the Group’s consolidated financial statements. Management continues to evaluate the impact of this standard on the Group’s consolidated financial statements.</w:t>
      </w:r>
    </w:p>
    <w:p>
      <w:pPr>
        <w:spacing w:after="0" w:line="197" w:lineRule="exact"/>
        <w:rPr>
          <w:sz w:val="20"/>
          <w:szCs w:val="20"/>
          <w:color w:val="auto"/>
        </w:rPr>
      </w:pPr>
    </w:p>
    <w:p>
      <w:pPr>
        <w:ind w:right="80" w:firstLine="324"/>
        <w:spacing w:after="0" w:line="268"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related Interpretations. The standard is effective from January 1, 2019, with early adoption permitted only with concurrent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Management anticipates that the implementation of this standard will not have a material impact on the Group’s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changes for lessors are fairly minor.</w:t>
      </w:r>
    </w:p>
    <w:p>
      <w:pPr>
        <w:spacing w:after="0" w:line="193" w:lineRule="exact"/>
        <w:rPr>
          <w:sz w:val="20"/>
          <w:szCs w:val="20"/>
          <w:color w:val="auto"/>
        </w:rPr>
      </w:pPr>
    </w:p>
    <w:p>
      <w:pPr>
        <w:ind w:right="20" w:firstLine="383"/>
        <w:spacing w:after="0" w:line="270" w:lineRule="auto"/>
        <w:rPr>
          <w:sz w:val="20"/>
          <w:szCs w:val="20"/>
          <w:color w:val="auto"/>
        </w:rPr>
      </w:pPr>
      <w:r>
        <w:rPr>
          <w:rFonts w:ascii="Arial" w:cs="Arial" w:eastAsia="Arial" w:hAnsi="Arial"/>
          <w:sz w:val="16"/>
          <w:szCs w:val="16"/>
          <w:color w:val="auto"/>
        </w:rPr>
        <w:t xml:space="preserve">In June 2016, the IASB issued amendments to IFRS 2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consolidated financial statements.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impact of all other IFRS standards and amendments issued but not yet adopted is not expected to be material.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40" w:firstLine="256"/>
        <w:spacing w:after="0" w:line="270" w:lineRule="auto"/>
        <w:rPr>
          <w:sz w:val="20"/>
          <w:szCs w:val="20"/>
          <w:color w:val="auto"/>
        </w:rPr>
      </w:pPr>
      <w:r>
        <w:rPr>
          <w:rFonts w:ascii="Arial" w:cs="Arial" w:eastAsia="Arial" w:hAnsi="Arial"/>
          <w:sz w:val="16"/>
          <w:szCs w:val="16"/>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$78,196 (excluding $1,619 from the sale of the general partner units to GasLog) and have been allocated to non-controlling interest. In connection with this offering (and the partial exercise of the option to purchase additional units), the Partnership issued 78,980 general partner units to its general partner in order for GasLog to retain its 2.0% general partner interest.</w:t>
      </w:r>
    </w:p>
    <w:p>
      <w:pPr>
        <w:spacing w:after="0" w:line="190" w:lineRule="exact"/>
        <w:rPr>
          <w:sz w:val="20"/>
          <w:szCs w:val="20"/>
          <w:color w:val="auto"/>
        </w:rPr>
      </w:pPr>
    </w:p>
    <w:p>
      <w:pPr>
        <w:ind w:right="20" w:firstLine="256"/>
        <w:spacing w:after="0" w:line="271" w:lineRule="auto"/>
        <w:rPr>
          <w:sz w:val="20"/>
          <w:szCs w:val="20"/>
          <w:color w:val="auto"/>
        </w:rPr>
      </w:pPr>
      <w:r>
        <w:rPr>
          <w:rFonts w:ascii="Arial" w:cs="Arial" w:eastAsia="Arial" w:hAnsi="Arial"/>
          <w:sz w:val="16"/>
          <w:szCs w:val="16"/>
          <w:color w:val="auto"/>
        </w:rPr>
        <w:t>On May 15, 2017, GasLog Partners completed a public offering of 5,750,000 8.625% Series A Cumulative Redeemable Perpetual Fixed to Floating Preference Rate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$138,782. The Series A Preference Units are listed on the New York Stock Exchange under the symbol “GLOP PR A”. The initial distribution on the Series A Preference Units will be payable on September 15, 2017.</w:t>
      </w:r>
    </w:p>
    <w:p>
      <w:pPr>
        <w:spacing w:after="0" w:line="190" w:lineRule="exact"/>
        <w:rPr>
          <w:sz w:val="20"/>
          <w:szCs w:val="20"/>
          <w:color w:val="auto"/>
        </w:rPr>
      </w:pPr>
    </w:p>
    <w:p>
      <w:pPr>
        <w:ind w:firstLine="256"/>
        <w:spacing w:after="0" w:line="287" w:lineRule="auto"/>
        <w:rPr>
          <w:sz w:val="20"/>
          <w:szCs w:val="20"/>
          <w:color w:val="auto"/>
        </w:rPr>
      </w:pPr>
      <w:r>
        <w:rPr>
          <w:rFonts w:ascii="Arial" w:cs="Arial" w:eastAsia="Arial" w:hAnsi="Arial"/>
          <w:sz w:val="15"/>
          <w:szCs w:val="15"/>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September 30, 2017, GasLog Partners had issued and received payment for 2,351,885 common units at a weighted average price of $22.91 per common unit for total net proceeds of $52,730, after broker commissions of $711 and other expenses of $446. In connection with the issuance of common units under the ATM Programme during this period, the Partnership also issued 47,998 general partner units to its general partner in order for GasLog to retain its 2.0% general partner interest. During the quarter ended September 30, 2017, GasLog Partners had issued and received payment for 1,941,008 common units at a weighted average price of $22.96 per common unit for total net proceeds of $43,912, after broker commissions of $557 and other expenses of $101. In connection with the issuance of common units under the ATM Programme during this period, the Partnership also issued 39,613 general partner units to its general partner in order for GasLog to retain its 2.0% general partner interest.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256"/>
        <w:spacing w:after="0" w:line="278" w:lineRule="auto"/>
        <w:rPr>
          <w:sz w:val="20"/>
          <w:szCs w:val="20"/>
          <w:color w:val="auto"/>
        </w:rPr>
      </w:pPr>
      <w:r>
        <w:rPr>
          <w:rFonts w:ascii="Arial" w:cs="Arial" w:eastAsia="Arial" w:hAnsi="Arial"/>
          <w:sz w:val="16"/>
          <w:szCs w:val="16"/>
          <w:color w:val="auto"/>
        </w:rPr>
        <w:t>Additionally, on May 16, 2017 the subordination period on the subordinated units of GasLog Partners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84" w:lineRule="exact"/>
        <w:rPr>
          <w:sz w:val="20"/>
          <w:szCs w:val="20"/>
          <w:color w:val="auto"/>
        </w:rPr>
      </w:pPr>
    </w:p>
    <w:p>
      <w:pPr>
        <w:ind w:right="440" w:firstLine="256"/>
        <w:spacing w:after="0" w:line="293" w:lineRule="auto"/>
        <w:rPr>
          <w:sz w:val="20"/>
          <w:szCs w:val="20"/>
          <w:color w:val="auto"/>
        </w:rPr>
      </w:pPr>
      <w:r>
        <w:rPr>
          <w:rFonts w:ascii="Arial" w:cs="Arial" w:eastAsia="Arial" w:hAnsi="Arial"/>
          <w:sz w:val="16"/>
          <w:szCs w:val="16"/>
          <w:color w:val="auto"/>
        </w:rPr>
        <w:t>The profit allocation to non-controlling interest is based on the distribution policy for available cash stated in the Partnership Agreement and is illustrated in the table below:</w:t>
      </w:r>
    </w:p>
    <w:p>
      <w:pPr>
        <w:sectPr>
          <w:pgSz w:w="11900" w:h="16838" w:orient="portrait"/>
          <w:cols w:equalWidth="0" w:num="1">
            <w:col w:w="11420"/>
          </w:cols>
          <w:pgMar w:left="240" w:top="346" w:right="239" w:bottom="0" w:gutter="0" w:footer="0" w:header="0"/>
        </w:sectPr>
      </w:pPr>
    </w:p>
    <w:bookmarkStart w:id="24" w:name="page25"/>
    <w:bookmarkEnd w:id="24"/>
    <w:tbl>
      <w:tblPr>
        <w:tblLayout w:type="fixed"/>
        <w:tblInd w:w="58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5220" w:type="dxa"/>
            <w:vAlign w:val="bottom"/>
            <w:tcBorders>
              <w:bottom w:val="single" w:sz="8" w:color="auto"/>
            </w:tcBorders>
            <w:gridSpan w:val="5"/>
          </w:tcPr>
          <w:p>
            <w:pPr>
              <w:ind w:left="2000"/>
              <w:spacing w:after="0"/>
              <w:rPr>
                <w:sz w:val="20"/>
                <w:szCs w:val="20"/>
                <w:color w:val="auto"/>
              </w:rPr>
            </w:pPr>
            <w:r>
              <w:rPr>
                <w:rFonts w:ascii="Arial" w:cs="Arial" w:eastAsia="Arial" w:hAnsi="Arial"/>
                <w:sz w:val="16"/>
                <w:szCs w:val="16"/>
                <w:b w:val="1"/>
                <w:bCs w:val="1"/>
                <w:color w:val="auto"/>
                <w:w w:val="93"/>
              </w:rPr>
              <w:t>Marginal Percentage Interest in Distributions</w:t>
            </w: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85"/>
        </w:trPr>
        <w:tc>
          <w:tcPr>
            <w:tcW w:w="3600" w:type="dxa"/>
            <w:vAlign w:val="bottom"/>
          </w:tcPr>
          <w:p>
            <w:pPr>
              <w:spacing w:after="0"/>
              <w:rPr>
                <w:sz w:val="16"/>
                <w:szCs w:val="16"/>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 Quarterly</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3600" w:type="dxa"/>
            <w:vAlign w:val="bottom"/>
          </w:tcPr>
          <w:p>
            <w:pPr>
              <w:spacing w:after="0"/>
              <w:rPr>
                <w:sz w:val="17"/>
                <w:szCs w:val="17"/>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Distribution</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General</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Holders of</w:t>
            </w:r>
          </w:p>
        </w:tc>
      </w:tr>
      <w:tr>
        <w:trPr>
          <w:trHeight w:val="213"/>
        </w:trPr>
        <w:tc>
          <w:tcPr>
            <w:tcW w:w="3600" w:type="dxa"/>
            <w:vAlign w:val="bottom"/>
          </w:tcPr>
          <w:p>
            <w:pPr>
              <w:spacing w:after="0"/>
              <w:rPr>
                <w:sz w:val="18"/>
                <w:szCs w:val="18"/>
                <w:color w:val="auto"/>
              </w:rPr>
            </w:pPr>
          </w:p>
        </w:tc>
        <w:tc>
          <w:tcPr>
            <w:tcW w:w="3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Target Amount</w:t>
            </w:r>
          </w:p>
        </w:tc>
        <w:tc>
          <w:tcPr>
            <w:tcW w:w="1580" w:type="dxa"/>
            <w:vAlign w:val="bottom"/>
            <w:gridSpan w:val="3"/>
          </w:tcPr>
          <w:p>
            <w:pPr>
              <w:ind w:left="200"/>
              <w:spacing w:after="0"/>
              <w:rPr>
                <w:sz w:val="20"/>
                <w:szCs w:val="20"/>
                <w:color w:val="auto"/>
              </w:rPr>
            </w:pPr>
            <w:r>
              <w:rPr>
                <w:rFonts w:ascii="Arial" w:cs="Arial" w:eastAsia="Arial" w:hAnsi="Arial"/>
                <w:sz w:val="16"/>
                <w:szCs w:val="16"/>
                <w:b w:val="1"/>
                <w:bCs w:val="1"/>
                <w:color w:val="auto"/>
              </w:rPr>
              <w:t>Unitholders</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Partner</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IDRs</w:t>
            </w:r>
          </w:p>
        </w:tc>
      </w:tr>
      <w:tr>
        <w:trPr>
          <w:trHeight w:val="199"/>
        </w:trPr>
        <w:tc>
          <w:tcPr>
            <w:tcW w:w="3600" w:type="dxa"/>
            <w:vAlign w:val="bottom"/>
            <w:tcBorders>
              <w:top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Minimum Quarterly Distribution</w:t>
            </w:r>
          </w:p>
        </w:tc>
        <w:tc>
          <w:tcPr>
            <w:tcW w:w="3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ind w:right="139"/>
              <w:spacing w:after="0"/>
              <w:rPr>
                <w:sz w:val="20"/>
                <w:szCs w:val="20"/>
                <w:color w:val="auto"/>
              </w:rPr>
            </w:pPr>
            <w:r>
              <w:rPr>
                <w:rFonts w:ascii="Arial" w:cs="Arial" w:eastAsia="Arial" w:hAnsi="Arial"/>
                <w:sz w:val="16"/>
                <w:szCs w:val="16"/>
                <w:color w:val="auto"/>
              </w:rPr>
              <w:t>0%</w:t>
            </w:r>
          </w:p>
        </w:tc>
      </w:tr>
      <w:tr>
        <w:trPr>
          <w:trHeight w:val="203"/>
        </w:trPr>
        <w:tc>
          <w:tcPr>
            <w:tcW w:w="3600" w:type="dxa"/>
            <w:vAlign w:val="bottom"/>
          </w:tcPr>
          <w:p>
            <w:pPr>
              <w:ind w:left="20"/>
              <w:spacing w:after="0"/>
              <w:rPr>
                <w:sz w:val="20"/>
                <w:szCs w:val="20"/>
                <w:color w:val="auto"/>
              </w:rPr>
            </w:pPr>
            <w:r>
              <w:rPr>
                <w:rFonts w:ascii="Arial" w:cs="Arial" w:eastAsia="Arial" w:hAnsi="Arial"/>
                <w:sz w:val="16"/>
                <w:szCs w:val="16"/>
                <w:color w:val="auto"/>
              </w:rPr>
              <w:t>First Target Distribution</w:t>
            </w:r>
          </w:p>
        </w:tc>
        <w:tc>
          <w:tcPr>
            <w:tcW w:w="3640" w:type="dxa"/>
            <w:vAlign w:val="bottom"/>
            <w:gridSpan w:val="2"/>
          </w:tcPr>
          <w:p>
            <w:pPr>
              <w:jc w:val="right"/>
              <w:ind w:right="240"/>
              <w:spacing w:after="0"/>
              <w:rPr>
                <w:sz w:val="20"/>
                <w:szCs w:val="20"/>
                <w:color w:val="auto"/>
              </w:rPr>
            </w:pPr>
            <w:r>
              <w:rPr>
                <w:rFonts w:ascii="Arial" w:cs="Arial" w:eastAsia="Arial" w:hAnsi="Arial"/>
                <w:sz w:val="16"/>
                <w:szCs w:val="16"/>
                <w:color w:val="auto"/>
              </w:rPr>
              <w:t>$0.375 up to $0.43125</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w:t>
            </w:r>
          </w:p>
        </w:tc>
      </w:tr>
      <w:tr>
        <w:trPr>
          <w:trHeight w:val="203"/>
        </w:trPr>
        <w:tc>
          <w:tcPr>
            <w:tcW w:w="3600" w:type="dxa"/>
            <w:vAlign w:val="bottom"/>
            <w:shd w:val="clear" w:color="auto" w:fill="E5FFFF"/>
          </w:tcPr>
          <w:p>
            <w:pPr>
              <w:ind w:left="20"/>
              <w:spacing w:after="0"/>
              <w:rPr>
                <w:sz w:val="20"/>
                <w:szCs w:val="20"/>
                <w:color w:val="auto"/>
              </w:rPr>
            </w:pPr>
            <w:r>
              <w:rPr>
                <w:rFonts w:ascii="Arial" w:cs="Arial" w:eastAsia="Arial" w:hAnsi="Arial"/>
                <w:sz w:val="16"/>
                <w:szCs w:val="16"/>
                <w:color w:val="auto"/>
              </w:rPr>
              <w:t>Second Target Distribution</w:t>
            </w:r>
          </w:p>
        </w:tc>
        <w:tc>
          <w:tcPr>
            <w:tcW w:w="3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$0.43125 up to $0.46875</w:t>
            </w:r>
          </w:p>
        </w:tc>
        <w:tc>
          <w:tcPr>
            <w:tcW w:w="12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85.0%</w:t>
            </w:r>
          </w:p>
        </w:tc>
        <w:tc>
          <w:tcPr>
            <w:tcW w:w="2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13.0%</w:t>
            </w:r>
          </w:p>
        </w:tc>
      </w:tr>
      <w:tr>
        <w:trPr>
          <w:trHeight w:val="203"/>
        </w:trPr>
        <w:tc>
          <w:tcPr>
            <w:tcW w:w="3600" w:type="dxa"/>
            <w:vAlign w:val="bottom"/>
          </w:tcPr>
          <w:p>
            <w:pPr>
              <w:ind w:left="20"/>
              <w:spacing w:after="0"/>
              <w:rPr>
                <w:sz w:val="20"/>
                <w:szCs w:val="20"/>
                <w:color w:val="auto"/>
              </w:rPr>
            </w:pPr>
            <w:r>
              <w:rPr>
                <w:rFonts w:ascii="Arial" w:cs="Arial" w:eastAsia="Arial" w:hAnsi="Arial"/>
                <w:sz w:val="16"/>
                <w:szCs w:val="16"/>
                <w:color w:val="auto"/>
              </w:rPr>
              <w:t>Third Target Distribution</w:t>
            </w:r>
          </w:p>
        </w:tc>
        <w:tc>
          <w:tcPr>
            <w:tcW w:w="3640" w:type="dxa"/>
            <w:vAlign w:val="bottom"/>
            <w:gridSpan w:val="2"/>
          </w:tcPr>
          <w:p>
            <w:pPr>
              <w:jc w:val="right"/>
              <w:ind w:right="240"/>
              <w:spacing w:after="0"/>
              <w:rPr>
                <w:sz w:val="20"/>
                <w:szCs w:val="20"/>
                <w:color w:val="auto"/>
              </w:rPr>
            </w:pPr>
            <w:r>
              <w:rPr>
                <w:rFonts w:ascii="Arial" w:cs="Arial" w:eastAsia="Arial" w:hAnsi="Arial"/>
                <w:sz w:val="16"/>
                <w:szCs w:val="16"/>
                <w:color w:val="auto"/>
              </w:rPr>
              <w:t>$0.46875 up to $0.5625</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75.0%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23.0%</w:t>
            </w:r>
          </w:p>
        </w:tc>
      </w:tr>
      <w:tr>
        <w:trPr>
          <w:trHeight w:val="203"/>
        </w:trPr>
        <w:tc>
          <w:tcPr>
            <w:tcW w:w="3600" w:type="dxa"/>
            <w:vAlign w:val="bottom"/>
            <w:shd w:val="clear" w:color="auto" w:fill="E5FFFF"/>
          </w:tcPr>
          <w:p>
            <w:pPr>
              <w:ind w:left="20"/>
              <w:spacing w:after="0"/>
              <w:rPr>
                <w:sz w:val="20"/>
                <w:szCs w:val="20"/>
                <w:color w:val="auto"/>
              </w:rPr>
            </w:pPr>
            <w:r>
              <w:rPr>
                <w:rFonts w:ascii="Arial" w:cs="Arial" w:eastAsia="Arial" w:hAnsi="Arial"/>
                <w:sz w:val="16"/>
                <w:szCs w:val="16"/>
                <w:color w:val="auto"/>
              </w:rPr>
              <w:t>Thereafter</w:t>
            </w:r>
          </w:p>
        </w:tc>
        <w:tc>
          <w:tcPr>
            <w:tcW w:w="3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Above $0.5625</w:t>
            </w:r>
          </w:p>
        </w:tc>
        <w:tc>
          <w:tcPr>
            <w:tcW w:w="12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50.0%</w:t>
            </w:r>
          </w:p>
        </w:tc>
        <w:tc>
          <w:tcPr>
            <w:tcW w:w="2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48.0%</w:t>
            </w:r>
          </w:p>
        </w:tc>
      </w:tr>
    </w:tbl>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252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w w:val="88"/>
              </w:rPr>
              <w:t>Allocation of GasLog Partners’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i w:val="1"/>
                <w:iCs w:val="1"/>
                <w:color w:val="auto"/>
                <w:w w:val="85"/>
              </w:rPr>
              <w:t>(*)</w:t>
            </w:r>
          </w:p>
        </w:tc>
        <w:tc>
          <w:tcPr>
            <w:tcW w:w="1660" w:type="dxa"/>
            <w:vAlign w:val="bottom"/>
            <w:vMerge w:val="restart"/>
          </w:tcPr>
          <w:p>
            <w:pPr>
              <w:spacing w:after="0"/>
              <w:rPr>
                <w:sz w:val="12"/>
                <w:szCs w:val="12"/>
                <w:color w:val="auto"/>
              </w:rPr>
            </w:pPr>
          </w:p>
        </w:tc>
        <w:tc>
          <w:tcPr>
            <w:tcW w:w="3300" w:type="dxa"/>
            <w:vAlign w:val="bottom"/>
            <w:gridSpan w:val="4"/>
            <w:vMerge w:val="restart"/>
          </w:tcPr>
          <w:p>
            <w:pPr>
              <w:ind w:left="560"/>
              <w:spacing w:after="0"/>
              <w:rPr>
                <w:sz w:val="20"/>
                <w:szCs w:val="20"/>
                <w:color w:val="auto"/>
              </w:rPr>
            </w:pPr>
            <w:r>
              <w:rPr>
                <w:rFonts w:ascii="Arial" w:cs="Arial" w:eastAsia="Arial" w:hAnsi="Arial"/>
                <w:sz w:val="16"/>
                <w:szCs w:val="16"/>
                <w:b w:val="1"/>
                <w:bCs w:val="1"/>
                <w:color w:val="auto"/>
              </w:rPr>
              <w:t>For the three months ended</w:t>
            </w:r>
          </w:p>
        </w:tc>
        <w:tc>
          <w:tcPr>
            <w:tcW w:w="314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34"/>
        </w:trPr>
        <w:tc>
          <w:tcPr>
            <w:tcW w:w="25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3300" w:type="dxa"/>
            <w:vAlign w:val="bottom"/>
            <w:gridSpan w:val="4"/>
            <w:vMerge w:val="continue"/>
          </w:tcPr>
          <w:p>
            <w:pPr>
              <w:spacing w:after="0"/>
              <w:rPr>
                <w:sz w:val="2"/>
                <w:szCs w:val="2"/>
                <w:color w:val="auto"/>
              </w:rPr>
            </w:pPr>
          </w:p>
        </w:tc>
        <w:tc>
          <w:tcPr>
            <w:tcW w:w="31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3"/>
          </w:tcPr>
          <w:p>
            <w:pPr>
              <w:ind w:left="2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E5FFFF"/>
            </w:tcBorders>
          </w:tcPr>
          <w:p>
            <w:pPr>
              <w:spacing w:after="0"/>
              <w:rPr>
                <w:sz w:val="18"/>
                <w:szCs w:val="18"/>
                <w:color w:val="auto"/>
              </w:rPr>
            </w:pPr>
          </w:p>
        </w:tc>
        <w:tc>
          <w:tcPr>
            <w:tcW w:w="250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00" w:type="dxa"/>
            <w:vAlign w:val="bottom"/>
            <w:gridSpan w:val="4"/>
            <w:shd w:val="clear" w:color="auto" w:fill="E5FFFF"/>
          </w:tcPr>
          <w:p>
            <w:pPr>
              <w:ind w:left="20"/>
              <w:spacing w:after="0"/>
              <w:rPr>
                <w:sz w:val="20"/>
                <w:szCs w:val="20"/>
                <w:color w:val="auto"/>
              </w:rPr>
            </w:pPr>
            <w:r>
              <w:rPr>
                <w:rFonts w:ascii="Arial" w:cs="Arial" w:eastAsia="Arial" w:hAnsi="Arial"/>
                <w:sz w:val="16"/>
                <w:szCs w:val="16"/>
                <w:color w:val="auto"/>
              </w:rPr>
              <w:t>Partnership’s profit attributable to:</w:t>
            </w:r>
          </w:p>
        </w:tc>
        <w:tc>
          <w:tcPr>
            <w:tcW w:w="13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gridSpan w:val="4"/>
          </w:tcPr>
          <w:p>
            <w:pPr>
              <w:ind w:left="20"/>
              <w:spacing w:after="0"/>
              <w:rPr>
                <w:sz w:val="20"/>
                <w:szCs w:val="20"/>
                <w:color w:val="auto"/>
              </w:rPr>
            </w:pPr>
            <w:r>
              <w:rPr>
                <w:rFonts w:ascii="Arial" w:cs="Arial" w:eastAsia="Arial" w:hAnsi="Arial"/>
                <w:sz w:val="16"/>
                <w:szCs w:val="16"/>
                <w:color w:val="auto"/>
              </w:rPr>
              <w:t>Common unitholders</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12,707</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20,941</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34,680</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53,014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4"/>
            <w:shd w:val="clear" w:color="auto" w:fill="E5FFFF"/>
          </w:tcPr>
          <w:p>
            <w:pPr>
              <w:ind w:left="20"/>
              <w:spacing w:after="0"/>
              <w:rPr>
                <w:sz w:val="20"/>
                <w:szCs w:val="20"/>
                <w:color w:val="auto"/>
              </w:rPr>
            </w:pPr>
            <w:r>
              <w:rPr>
                <w:rFonts w:ascii="Arial" w:cs="Arial" w:eastAsia="Arial" w:hAnsi="Arial"/>
                <w:sz w:val="16"/>
                <w:szCs w:val="16"/>
                <w:color w:val="auto"/>
              </w:rPr>
              <w:t>Subordinated unitholders</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5,079</w:t>
            </w:r>
          </w:p>
        </w:tc>
        <w:tc>
          <w:tcPr>
            <w:tcW w:w="1640" w:type="dxa"/>
            <w:vAlign w:val="bottom"/>
            <w:gridSpan w:val="2"/>
            <w:shd w:val="clear" w:color="auto" w:fill="E5FFFF"/>
          </w:tcPr>
          <w:p>
            <w:pPr>
              <w:ind w:left="1080"/>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14,970</w:t>
            </w: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5,085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4"/>
          </w:tcPr>
          <w:p>
            <w:pPr>
              <w:ind w:left="20"/>
              <w:spacing w:after="0"/>
              <w:rPr>
                <w:sz w:val="20"/>
                <w:szCs w:val="20"/>
                <w:color w:val="auto"/>
              </w:rPr>
            </w:pPr>
            <w:r>
              <w:rPr>
                <w:rFonts w:ascii="Arial" w:cs="Arial" w:eastAsia="Arial" w:hAnsi="Arial"/>
                <w:sz w:val="16"/>
                <w:szCs w:val="16"/>
                <w:color w:val="auto"/>
              </w:rPr>
              <w:t>General partner</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377</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443</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1,049</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4"/>
            <w:shd w:val="clear" w:color="auto" w:fill="E5FFFF"/>
          </w:tcPr>
          <w:p>
            <w:pPr>
              <w:ind w:left="20"/>
              <w:spacing w:after="0"/>
              <w:rPr>
                <w:sz w:val="20"/>
                <w:szCs w:val="20"/>
                <w:color w:val="auto"/>
              </w:rPr>
            </w:pPr>
            <w:r>
              <w:rPr>
                <w:rFonts w:ascii="Arial" w:cs="Arial" w:eastAsia="Arial" w:hAnsi="Arial"/>
                <w:sz w:val="16"/>
                <w:szCs w:val="16"/>
                <w:color w:val="auto"/>
              </w:rPr>
              <w:t>Incentive distribution rights (“IDRs”)</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708</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815</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1,744</w:t>
            </w:r>
          </w:p>
        </w:tc>
        <w:tc>
          <w:tcPr>
            <w:tcW w:w="15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03"/>
        </w:trPr>
        <w:tc>
          <w:tcPr>
            <w:tcW w:w="4300" w:type="dxa"/>
            <w:vAlign w:val="bottom"/>
            <w:gridSpan w:val="4"/>
          </w:tcPr>
          <w:p>
            <w:pPr>
              <w:ind w:left="20"/>
              <w:spacing w:after="0"/>
              <w:rPr>
                <w:sz w:val="20"/>
                <w:szCs w:val="20"/>
                <w:color w:val="auto"/>
              </w:rPr>
            </w:pPr>
            <w:r>
              <w:rPr>
                <w:rFonts w:ascii="Arial" w:cs="Arial" w:eastAsia="Arial" w:hAnsi="Arial"/>
                <w:sz w:val="16"/>
                <w:szCs w:val="16"/>
                <w:color w:val="auto"/>
              </w:rPr>
              <w:t>Accrued preferred equity distributions</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3,100</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E5FFFF"/>
              <w:bottom w:val="single" w:sz="8" w:color="E5FFFF"/>
            </w:tcBorders>
            <w:gridSpan w:val="4"/>
            <w:shd w:val="clear" w:color="auto" w:fill="E5FFFF"/>
          </w:tcPr>
          <w:p>
            <w:pPr>
              <w:ind w:left="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18,871</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52,443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65,679</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4"/>
            <w:vMerge w:val="restart"/>
          </w:tcPr>
          <w:p>
            <w:pPr>
              <w:ind w:left="20"/>
              <w:spacing w:after="0"/>
              <w:rPr>
                <w:sz w:val="20"/>
                <w:szCs w:val="20"/>
                <w:color w:val="auto"/>
              </w:rPr>
            </w:pPr>
            <w:r>
              <w:rPr>
                <w:rFonts w:ascii="Arial" w:cs="Arial" w:eastAsia="Arial" w:hAnsi="Arial"/>
                <w:sz w:val="16"/>
                <w:szCs w:val="16"/>
                <w:color w:val="auto"/>
              </w:rPr>
              <w:t>Partnership’s profit allocated to GasLog</w:t>
            </w: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gridSpan w:val="4"/>
            <w:vMerge w:val="continue"/>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6,248</w:t>
            </w:r>
          </w:p>
        </w:tc>
        <w:tc>
          <w:tcPr>
            <w:tcW w:w="3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6,406</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18,010</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gridSpan w:val="4"/>
            <w:shd w:val="clear" w:color="auto" w:fill="E5FFFF"/>
          </w:tcPr>
          <w:p>
            <w:pPr>
              <w:ind w:left="20"/>
              <w:spacing w:after="0"/>
              <w:rPr>
                <w:sz w:val="20"/>
                <w:szCs w:val="20"/>
                <w:color w:val="auto"/>
              </w:rPr>
            </w:pPr>
            <w:r>
              <w:rPr>
                <w:rFonts w:ascii="Arial" w:cs="Arial" w:eastAsia="Arial" w:hAnsi="Arial"/>
                <w:sz w:val="16"/>
                <w:szCs w:val="16"/>
                <w:color w:val="auto"/>
              </w:rPr>
              <w:t>Partnership’s profit allocated to non-controlling interest</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12,623</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18,893</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34,433</w:t>
            </w: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47,952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4"/>
          </w:tcPr>
          <w:p>
            <w:pPr>
              <w:ind w:left="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18,871</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25,299</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52,443</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65,679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0" w:right="700" w:hanging="192"/>
        <w:spacing w:after="0" w:line="253" w:lineRule="auto"/>
        <w:tabs>
          <w:tab w:leader="none" w:pos="18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profits of GAS-seven Ltd., GAS-eleven Ltd. and GAS-thirteen Ltd. for the period after their transfers to the Partnership on November 1, 2016, May 3, 2017 and July 3, 2017,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gridSpan w:val="2"/>
          </w:tcPr>
          <w:p>
            <w:pPr>
              <w:spacing w:after="0"/>
              <w:rPr>
                <w:sz w:val="20"/>
                <w:szCs w:val="20"/>
                <w:color w:val="auto"/>
              </w:rPr>
            </w:pPr>
            <w:r>
              <w:rPr>
                <w:rFonts w:ascii="Arial" w:cs="Arial" w:eastAsia="Arial" w:hAnsi="Arial"/>
                <w:sz w:val="16"/>
                <w:szCs w:val="16"/>
                <w:b w:val="1"/>
                <w:bCs w:val="1"/>
                <w:color w:val="auto"/>
              </w:rPr>
              <w:t>4. Investment in Associates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9"/>
        </w:trPr>
        <w:tc>
          <w:tcPr>
            <w:tcW w:w="9820" w:type="dxa"/>
            <w:vAlign w:val="bottom"/>
            <w:gridSpan w:val="2"/>
          </w:tcPr>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58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80" w:type="dxa"/>
            <w:vAlign w:val="bottom"/>
          </w:tcPr>
          <w:p>
            <w:pPr>
              <w:spacing w:after="0"/>
              <w:rPr>
                <w:sz w:val="18"/>
                <w:szCs w:val="18"/>
                <w:color w:val="auto"/>
              </w:rPr>
            </w:pPr>
          </w:p>
        </w:tc>
        <w:tc>
          <w:tcPr>
            <w:tcW w:w="92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9240" w:type="dxa"/>
            <w:vAlign w:val="bottom"/>
            <w:shd w:val="clear" w:color="auto" w:fill="E5FFFF"/>
          </w:tcPr>
          <w:p>
            <w:pPr>
              <w:spacing w:after="0"/>
              <w:rPr>
                <w:sz w:val="20"/>
                <w:szCs w:val="20"/>
                <w:color w:val="auto"/>
              </w:rPr>
            </w:pPr>
            <w:r>
              <w:rPr>
                <w:rFonts w:ascii="Arial" w:cs="Arial" w:eastAsia="Arial" w:hAnsi="Arial"/>
                <w:sz w:val="16"/>
                <w:szCs w:val="16"/>
                <w:color w:val="auto"/>
              </w:rPr>
              <w:t>As of January 1, 2017</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6,265</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9240" w:type="dxa"/>
            <w:vAlign w:val="bottom"/>
          </w:tcPr>
          <w:p>
            <w:pPr>
              <w:spacing w:after="0"/>
              <w:rPr>
                <w:sz w:val="20"/>
                <w:szCs w:val="20"/>
                <w:color w:val="auto"/>
              </w:rPr>
            </w:pPr>
            <w:r>
              <w:rPr>
                <w:rFonts w:ascii="Arial" w:cs="Arial" w:eastAsia="Arial" w:hAnsi="Arial"/>
                <w:sz w:val="16"/>
                <w:szCs w:val="16"/>
                <w:color w:val="auto"/>
              </w:rPr>
              <w:t>Additions</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14,125</w:t>
            </w:r>
          </w:p>
        </w:tc>
        <w:tc>
          <w:tcPr>
            <w:tcW w:w="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92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w:t>
            </w: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704</w:t>
            </w:r>
          </w:p>
        </w:tc>
        <w:tc>
          <w:tcPr>
            <w:tcW w:w="80" w:type="dxa"/>
            <w:vAlign w:val="bottom"/>
            <w:shd w:val="clear" w:color="auto" w:fill="E5FF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9240" w:type="dxa"/>
            <w:vAlign w:val="bottom"/>
          </w:tcPr>
          <w:p>
            <w:pPr>
              <w:spacing w:after="0"/>
              <w:rPr>
                <w:sz w:val="20"/>
                <w:szCs w:val="20"/>
                <w:color w:val="auto"/>
              </w:rPr>
            </w:pPr>
            <w:r>
              <w:rPr>
                <w:rFonts w:ascii="Arial" w:cs="Arial" w:eastAsia="Arial" w:hAnsi="Arial"/>
                <w:sz w:val="16"/>
                <w:szCs w:val="16"/>
                <w:color w:val="auto"/>
              </w:rPr>
              <w:t>Return of investment from associate</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(59)</w:t>
            </w:r>
          </w:p>
        </w:tc>
      </w:tr>
      <w:tr>
        <w:trPr>
          <w:trHeight w:val="203"/>
        </w:trPr>
        <w:tc>
          <w:tcPr>
            <w:tcW w:w="580" w:type="dxa"/>
            <w:vAlign w:val="bottom"/>
          </w:tcPr>
          <w:p>
            <w:pPr>
              <w:spacing w:after="0"/>
              <w:rPr>
                <w:sz w:val="17"/>
                <w:szCs w:val="17"/>
                <w:color w:val="auto"/>
              </w:rPr>
            </w:pPr>
          </w:p>
        </w:tc>
        <w:tc>
          <w:tcPr>
            <w:tcW w:w="924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w:t>
            </w:r>
          </w:p>
        </w:tc>
        <w:tc>
          <w:tcPr>
            <w:tcW w:w="148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(565)</w:t>
            </w:r>
          </w:p>
        </w:tc>
      </w:tr>
      <w:tr>
        <w:trPr>
          <w:trHeight w:val="196"/>
        </w:trPr>
        <w:tc>
          <w:tcPr>
            <w:tcW w:w="580" w:type="dxa"/>
            <w:vAlign w:val="bottom"/>
          </w:tcPr>
          <w:p>
            <w:pPr>
              <w:spacing w:after="0"/>
              <w:rPr>
                <w:sz w:val="17"/>
                <w:szCs w:val="17"/>
                <w:color w:val="auto"/>
              </w:rPr>
            </w:pPr>
          </w:p>
        </w:tc>
        <w:tc>
          <w:tcPr>
            <w:tcW w:w="9240" w:type="dxa"/>
            <w:vAlign w:val="bottom"/>
          </w:tcPr>
          <w:p>
            <w:pPr>
              <w:spacing w:after="0"/>
              <w:rPr>
                <w:sz w:val="20"/>
                <w:szCs w:val="20"/>
                <w:color w:val="auto"/>
              </w:rPr>
            </w:pPr>
            <w:r>
              <w:rPr>
                <w:rFonts w:ascii="Arial" w:cs="Arial" w:eastAsia="Arial" w:hAnsi="Arial"/>
                <w:sz w:val="16"/>
                <w:szCs w:val="16"/>
                <w:b w:val="1"/>
                <w:bCs w:val="1"/>
                <w:color w:val="auto"/>
              </w:rPr>
              <w:t>As of September 30, 2017</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20,470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60" w:firstLine="256"/>
        <w:spacing w:after="0" w:line="278" w:lineRule="auto"/>
        <w:rPr>
          <w:sz w:val="20"/>
          <w:szCs w:val="20"/>
          <w:color w:val="auto"/>
        </w:rPr>
      </w:pPr>
      <w:r>
        <w:rPr>
          <w:rFonts w:ascii="Arial" w:cs="Arial" w:eastAsia="Arial" w:hAnsi="Arial"/>
          <w:sz w:val="16"/>
          <w:szCs w:val="16"/>
          <w:color w:val="auto"/>
        </w:rPr>
        <w:t>The additions of $14,125 relate to the investment in Gastrade. 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gridSpan w:val="9"/>
          </w:tcPr>
          <w:p>
            <w:pPr>
              <w:spacing w:after="0"/>
              <w:rPr>
                <w:sz w:val="20"/>
                <w:szCs w:val="20"/>
                <w:color w:val="auto"/>
              </w:rPr>
            </w:pPr>
            <w:r>
              <w:rPr>
                <w:rFonts w:ascii="Arial" w:cs="Arial" w:eastAsia="Arial" w:hAnsi="Arial"/>
                <w:sz w:val="16"/>
                <w:szCs w:val="16"/>
                <w:b w:val="1"/>
                <w:bCs w:val="1"/>
                <w:color w:val="auto"/>
              </w:rPr>
              <w:t>5. Tangible Fixed Assets, Vessels Under Construction and Vessel Held Under Finance Lease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gridSpan w:val="11"/>
          </w:tcPr>
          <w:p>
            <w:pPr>
              <w:ind w:left="120"/>
              <w:spacing w:after="0"/>
              <w:rPr>
                <w:sz w:val="20"/>
                <w:szCs w:val="20"/>
                <w:color w:val="auto"/>
              </w:rPr>
            </w:pPr>
            <w:r>
              <w:rPr>
                <w:rFonts w:ascii="Arial" w:cs="Arial" w:eastAsia="Arial" w:hAnsi="Arial"/>
                <w:sz w:val="16"/>
                <w:szCs w:val="16"/>
                <w:color w:val="auto"/>
                <w:w w:val="98"/>
              </w:rPr>
              <w:t>The movements in tangible fixed assets, vessels under construction and vessel held under finance lease are reported in the following table: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Office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property</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Vessel held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tangible fixed</w:t>
            </w: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Vessels under</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under finance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Vessels</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tangible assets</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0"/>
              </w:rPr>
              <w:t>assets</w:t>
            </w: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construction</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lease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Borders>
              <w:top w:val="single" w:sz="8" w:color="E5FFFF"/>
            </w:tcBorders>
            <w:gridSpan w:val="4"/>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20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20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18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18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20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3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color w:val="auto"/>
              </w:rPr>
              <w:t>As of January 1, 2017</w:t>
            </w:r>
          </w:p>
        </w:tc>
        <w:tc>
          <w:tcPr>
            <w:tcW w:w="1200" w:type="dxa"/>
            <w:vAlign w:val="bottom"/>
          </w:tcPr>
          <w:p>
            <w:pPr>
              <w:jc w:val="right"/>
              <w:spacing w:after="0"/>
              <w:rPr>
                <w:sz w:val="20"/>
                <w:szCs w:val="20"/>
                <w:color w:val="auto"/>
              </w:rPr>
            </w:pPr>
            <w:r>
              <w:rPr>
                <w:rFonts w:ascii="Arial" w:cs="Arial" w:eastAsia="Arial" w:hAnsi="Arial"/>
                <w:sz w:val="16"/>
                <w:szCs w:val="16"/>
                <w:color w:val="auto"/>
              </w:rPr>
              <w:t>4,212,849</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14,501</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4,227,350</w:t>
            </w:r>
          </w:p>
        </w:tc>
        <w:tc>
          <w:tcPr>
            <w:tcW w:w="1180" w:type="dxa"/>
            <w:vAlign w:val="bottom"/>
          </w:tcPr>
          <w:p>
            <w:pPr>
              <w:jc w:val="right"/>
              <w:spacing w:after="0"/>
              <w:rPr>
                <w:sz w:val="20"/>
                <w:szCs w:val="20"/>
                <w:color w:val="auto"/>
              </w:rPr>
            </w:pPr>
            <w:r>
              <w:rPr>
                <w:rFonts w:ascii="Arial" w:cs="Arial" w:eastAsia="Arial" w:hAnsi="Arial"/>
                <w:sz w:val="16"/>
                <w:szCs w:val="16"/>
                <w:color w:val="auto"/>
              </w:rPr>
              <w:t>96,356</w:t>
            </w:r>
          </w:p>
        </w:tc>
        <w:tc>
          <w:tcPr>
            <w:tcW w:w="2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228,523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3,109</w:t>
            </w:r>
          </w:p>
        </w:tc>
        <w:tc>
          <w:tcPr>
            <w:tcW w:w="3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3,968</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7,077</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65,009</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September 30, 2017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4,215,958</w:t>
            </w:r>
          </w:p>
        </w:tc>
        <w:tc>
          <w:tcPr>
            <w:tcW w:w="30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18,469</w:t>
            </w:r>
          </w:p>
        </w:tc>
        <w:tc>
          <w:tcPr>
            <w:tcW w:w="280" w:type="dxa"/>
            <w:vAlign w:val="bottom"/>
            <w:tcBorders>
              <w:bottom w:val="single" w:sz="8" w:color="E5FF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4,234,427</w:t>
            </w:r>
          </w:p>
        </w:tc>
        <w:tc>
          <w:tcPr>
            <w:tcW w:w="300" w:type="dxa"/>
            <w:vAlign w:val="bottom"/>
            <w:tcBorders>
              <w:bottom w:val="single" w:sz="8" w:color="E5FF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161,365</w:t>
            </w:r>
          </w:p>
        </w:tc>
        <w:tc>
          <w:tcPr>
            <w:tcW w:w="28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228,523</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238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8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As of January 1, 2017</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334,960</w:t>
            </w:r>
          </w:p>
        </w:tc>
        <w:tc>
          <w:tcPr>
            <w:tcW w:w="3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3,343</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338,303</w:t>
            </w:r>
          </w:p>
        </w:tc>
        <w:tc>
          <w:tcPr>
            <w:tcW w:w="14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color w:val="auto"/>
              </w:rPr>
              <w:t>Depreciation expense</w:t>
            </w:r>
          </w:p>
        </w:tc>
        <w:tc>
          <w:tcPr>
            <w:tcW w:w="1200" w:type="dxa"/>
            <w:vAlign w:val="bottom"/>
          </w:tcPr>
          <w:p>
            <w:pPr>
              <w:jc w:val="right"/>
              <w:spacing w:after="0"/>
              <w:rPr>
                <w:sz w:val="20"/>
                <w:szCs w:val="20"/>
                <w:color w:val="auto"/>
              </w:rPr>
            </w:pPr>
            <w:r>
              <w:rPr>
                <w:rFonts w:ascii="Arial" w:cs="Arial" w:eastAsia="Arial" w:hAnsi="Arial"/>
                <w:sz w:val="16"/>
                <w:szCs w:val="16"/>
                <w:color w:val="auto"/>
              </w:rPr>
              <w:t>95,988</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878</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96,866</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5,740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September 30, 2017</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430,948</w:t>
            </w:r>
          </w:p>
        </w:tc>
        <w:tc>
          <w:tcPr>
            <w:tcW w:w="3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4,221</w:t>
            </w:r>
          </w:p>
        </w:tc>
        <w:tc>
          <w:tcPr>
            <w:tcW w:w="28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435,169</w:t>
            </w:r>
          </w:p>
        </w:tc>
        <w:tc>
          <w:tcPr>
            <w:tcW w:w="30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12,259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8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2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3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2016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3,877,889</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11,158</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3,889,047</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96,356</w:t>
            </w:r>
          </w:p>
        </w:tc>
        <w:tc>
          <w:tcPr>
            <w:tcW w:w="2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222,004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September 30, 2017</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3,785,010</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14,248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3,799,258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161,365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216,264</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Vessels with an aggregate carrying amount of $3,785,010 as of September 30, 2017 (December 31, 2016: $3,877,889) have been pledged as collateral under the terms of the Group’s loan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In May 2014, GAS-twenty two Ltd. and GAS-twenty three Ltd. entered into shipbuilding contracts with Samsung Heavy Industries Co. Ltd. (“Samsung”) for the construction of two LNG carriers (174,000 cubic meters each). The vessels are expected to be delivered in the first quarter of 2018 and 2019, respectively.</w:t>
      </w:r>
    </w:p>
    <w:p>
      <w:pPr>
        <w:sectPr>
          <w:pgSz w:w="11900" w:h="16838" w:orient="portrait"/>
          <w:cols w:equalWidth="0" w:num="1">
            <w:col w:w="11420"/>
          </w:cols>
          <w:pgMar w:left="240" w:top="342" w:right="239" w:bottom="0" w:gutter="0" w:footer="0" w:header="0"/>
        </w:sectPr>
      </w:pPr>
    </w:p>
    <w:bookmarkStart w:id="25" w:name="page26"/>
    <w:bookmarkEnd w:id="25"/>
    <w:p>
      <w:pPr>
        <w:jc w:val="both"/>
        <w:ind w:right="40" w:firstLine="436"/>
        <w:spacing w:after="0" w:line="293" w:lineRule="auto"/>
        <w:rPr>
          <w:sz w:val="20"/>
          <w:szCs w:val="20"/>
          <w:color w:val="auto"/>
        </w:rPr>
      </w:pPr>
      <w:r>
        <w:rPr>
          <w:rFonts w:ascii="Arial" w:cs="Arial" w:eastAsia="Arial" w:hAnsi="Arial"/>
          <w:sz w:val="16"/>
          <w:szCs w:val="16"/>
          <w:color w:val="auto"/>
        </w:rPr>
        <w:t>In June 2014, GAS-twenty four Ltd. and GAS-twenty five Ltd. entered into shipbuilding contracts with Hyundai Heavy Industries Co., Ltd. (“Hyundai”) for the construction of two LNG carriers (174,000 cubic meters each). The vessels are expected to be delivered in the first quarter of 2018.</w:t>
      </w:r>
    </w:p>
    <w:p>
      <w:pPr>
        <w:spacing w:after="0" w:line="172" w:lineRule="exact"/>
        <w:rPr>
          <w:sz w:val="20"/>
          <w:szCs w:val="20"/>
          <w:color w:val="auto"/>
        </w:rPr>
      </w:pPr>
    </w:p>
    <w:p>
      <w:pPr>
        <w:jc w:val="both"/>
        <w:ind w:right="60" w:firstLine="436"/>
        <w:spacing w:after="0" w:line="293" w:lineRule="auto"/>
        <w:rPr>
          <w:sz w:val="20"/>
          <w:szCs w:val="20"/>
          <w:color w:val="auto"/>
        </w:rPr>
      </w:pPr>
      <w:r>
        <w:rPr>
          <w:rFonts w:ascii="Arial" w:cs="Arial" w:eastAsia="Arial" w:hAnsi="Arial"/>
          <w:sz w:val="16"/>
          <w:szCs w:val="16"/>
          <w:color w:val="auto"/>
        </w:rPr>
        <w:t>In September 2016, GAS-twenty eight Ltd. entered into a shipbuilding contract with Samsung for the construction of one LNG carrier (180,000 cubic meters). The vessel is expected to be delivered in the second quarter of 2019.</w:t>
      </w:r>
    </w:p>
    <w:p>
      <w:pPr>
        <w:spacing w:after="0" w:line="172" w:lineRule="exact"/>
        <w:rPr>
          <w:sz w:val="20"/>
          <w:szCs w:val="20"/>
          <w:color w:val="auto"/>
        </w:rPr>
      </w:pPr>
    </w:p>
    <w:p>
      <w:pPr>
        <w:jc w:val="both"/>
        <w:ind w:right="40" w:firstLine="436"/>
        <w:spacing w:after="0" w:line="293" w:lineRule="auto"/>
        <w:rPr>
          <w:sz w:val="20"/>
          <w:szCs w:val="20"/>
          <w:color w:val="auto"/>
        </w:rPr>
      </w:pPr>
      <w:r>
        <w:rPr>
          <w:rFonts w:ascii="Arial" w:cs="Arial" w:eastAsia="Arial" w:hAnsi="Arial"/>
          <w:sz w:val="16"/>
          <w:szCs w:val="16"/>
          <w:color w:val="auto"/>
        </w:rPr>
        <w:t>On March 21, 2017, GasLog entered into a Heads of Agreement (“HOA”) with Samsung for the potential conversion of an existing vessel of the Group. As of September 30, 2017, $3,400 of the cost was paid, in accordance with the payment terms.</w:t>
      </w:r>
    </w:p>
    <w:p>
      <w:pPr>
        <w:spacing w:after="0" w:line="172" w:lineRule="exact"/>
        <w:rPr>
          <w:sz w:val="20"/>
          <w:szCs w:val="20"/>
          <w:color w:val="auto"/>
        </w:rPr>
      </w:pPr>
    </w:p>
    <w:p>
      <w:pPr>
        <w:jc w:val="both"/>
        <w:ind w:right="40" w:firstLine="436"/>
        <w:spacing w:after="0" w:line="293"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September 30, 2017, $787 of the cost was paid, in accordance with the payment terms.</w:t>
      </w:r>
    </w:p>
    <w:p>
      <w:pPr>
        <w:spacing w:after="0" w:line="172" w:lineRule="exact"/>
        <w:rPr>
          <w:sz w:val="20"/>
          <w:szCs w:val="20"/>
          <w:color w:val="auto"/>
        </w:rPr>
      </w:pPr>
    </w:p>
    <w:p>
      <w:pPr>
        <w:jc w:val="both"/>
        <w:ind w:right="4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September 30, 2017, the Group has paid to the shipyard $149,868 for the vessels that are under construction and expects to pay the remaining installments as they come due upon each vessel’s keel laying, launching and delivery (Note 12).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vessels under construction costs as of December 31, 2016 and September 30, 2017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6"/>
          </w:tcPr>
          <w:p>
            <w:pPr>
              <w:ind w:left="200"/>
              <w:spacing w:after="0"/>
              <w:rPr>
                <w:sz w:val="20"/>
                <w:szCs w:val="20"/>
                <w:color w:val="auto"/>
              </w:rPr>
            </w:pPr>
            <w:r>
              <w:rPr>
                <w:rFonts w:ascii="Arial" w:cs="Arial" w:eastAsia="Arial" w:hAnsi="Arial"/>
                <w:sz w:val="16"/>
                <w:szCs w:val="16"/>
                <w:b w:val="1"/>
                <w:bCs w:val="1"/>
                <w:color w:val="auto"/>
              </w:rPr>
              <w:t>December 31, 2016</w:t>
            </w:r>
          </w:p>
        </w:tc>
        <w:tc>
          <w:tcPr>
            <w:tcW w:w="40" w:type="dxa"/>
            <w:vAlign w:val="bottom"/>
          </w:tcPr>
          <w:p>
            <w:pPr>
              <w:spacing w:after="0"/>
              <w:rPr>
                <w:sz w:val="18"/>
                <w:szCs w:val="18"/>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5"/>
              </w:rPr>
              <w:t>September 30,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91,375</w:t>
            </w:r>
          </w:p>
        </w:tc>
        <w:tc>
          <w:tcPr>
            <w:tcW w:w="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149,868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6"/>
                <w:szCs w:val="16"/>
                <w:color w:val="auto"/>
              </w:rPr>
              <w:t>9,134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68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2,363</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161,365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6. Sale and Leaseback</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660" w:type="dxa"/>
            <w:vAlign w:val="bottom"/>
            <w:gridSpan w:val="3"/>
          </w:tcPr>
          <w:p>
            <w:pPr>
              <w:ind w:left="440"/>
              <w:spacing w:after="0"/>
              <w:rPr>
                <w:sz w:val="20"/>
                <w:szCs w:val="20"/>
                <w:color w:val="auto"/>
              </w:rPr>
            </w:pPr>
            <w:r>
              <w:rPr>
                <w:rFonts w:ascii="Arial" w:cs="Arial" w:eastAsia="Arial" w:hAnsi="Arial"/>
                <w:sz w:val="16"/>
                <w:szCs w:val="16"/>
                <w:color w:val="auto"/>
              </w:rPr>
              <w:t>The movements in finance lease liabilities are reported in the following table: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Borders>
              <w:bottom w:val="single" w:sz="8" w:color="E5FFFF"/>
            </w:tcBorders>
          </w:tcPr>
          <w:p>
            <w:pPr>
              <w:spacing w:after="0"/>
              <w:rPr>
                <w:sz w:val="24"/>
                <w:szCs w:val="24"/>
                <w:color w:val="auto"/>
              </w:rPr>
            </w:pPr>
          </w:p>
        </w:tc>
        <w:tc>
          <w:tcPr>
            <w:tcW w:w="16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w w:val="96"/>
              </w:rPr>
              <w:t>Opening balance</w:t>
            </w:r>
          </w:p>
        </w:tc>
        <w:tc>
          <w:tcPr>
            <w:tcW w:w="16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Cash flows</w:t>
            </w:r>
          </w:p>
        </w:tc>
        <w:tc>
          <w:tcPr>
            <w:tcW w:w="1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Non-cash items</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Finance lease liabilities as of January 1, 2017</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220,401</w:t>
            </w: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4"/>
            <w:shd w:val="clear" w:color="auto" w:fill="E5FFFF"/>
          </w:tcPr>
          <w:p>
            <w:pPr>
              <w:jc w:val="right"/>
              <w:ind w:right="20"/>
              <w:spacing w:after="0"/>
              <w:rPr>
                <w:sz w:val="20"/>
                <w:szCs w:val="20"/>
                <w:color w:val="auto"/>
              </w:rPr>
            </w:pPr>
            <w:r>
              <w:rPr>
                <w:rFonts w:ascii="Arial" w:cs="Arial" w:eastAsia="Arial" w:hAnsi="Arial"/>
                <w:sz w:val="16"/>
                <w:szCs w:val="16"/>
                <w:color w:val="auto"/>
              </w:rPr>
              <w:t>220,401</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Finance lease charge</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8,167</w:t>
            </w:r>
          </w:p>
        </w:tc>
        <w:tc>
          <w:tcPr>
            <w:tcW w:w="1680" w:type="dxa"/>
            <w:vAlign w:val="bottom"/>
            <w:gridSpan w:val="4"/>
          </w:tcPr>
          <w:p>
            <w:pPr>
              <w:jc w:val="right"/>
              <w:ind w:right="20"/>
              <w:spacing w:after="0"/>
              <w:rPr>
                <w:sz w:val="20"/>
                <w:szCs w:val="20"/>
                <w:color w:val="auto"/>
              </w:rPr>
            </w:pPr>
            <w:r>
              <w:rPr>
                <w:rFonts w:ascii="Arial" w:cs="Arial" w:eastAsia="Arial" w:hAnsi="Arial"/>
                <w:sz w:val="16"/>
                <w:szCs w:val="16"/>
                <w:color w:val="auto"/>
              </w:rPr>
              <w:t>8,167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rPr>
                <w:sz w:val="20"/>
                <w:szCs w:val="20"/>
                <w:color w:val="auto"/>
              </w:rPr>
            </w:pPr>
            <w:r>
              <w:rPr>
                <w:rFonts w:ascii="Arial" w:cs="Arial" w:eastAsia="Arial" w:hAnsi="Arial"/>
                <w:sz w:val="16"/>
                <w:szCs w:val="16"/>
                <w:color w:val="auto"/>
              </w:rPr>
              <w:t>Payments</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40" w:type="dxa"/>
            <w:vAlign w:val="bottom"/>
            <w:gridSpan w:val="4"/>
            <w:shd w:val="clear" w:color="auto" w:fill="E5FFFF"/>
          </w:tcPr>
          <w:p>
            <w:pPr>
              <w:jc w:val="right"/>
              <w:ind w:right="139"/>
              <w:spacing w:after="0"/>
              <w:rPr>
                <w:sz w:val="20"/>
                <w:szCs w:val="20"/>
                <w:color w:val="auto"/>
              </w:rPr>
            </w:pPr>
            <w:r>
              <w:rPr>
                <w:rFonts w:ascii="Arial" w:cs="Arial" w:eastAsia="Arial" w:hAnsi="Arial"/>
                <w:sz w:val="16"/>
                <w:szCs w:val="16"/>
                <w:color w:val="auto"/>
              </w:rPr>
              <w:t>(13,350)</w:t>
            </w: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5"/>
            <w:shd w:val="clear" w:color="auto" w:fill="E5FFFF"/>
          </w:tcPr>
          <w:p>
            <w:pPr>
              <w:jc w:val="right"/>
              <w:ind w:right="60"/>
              <w:spacing w:after="0"/>
              <w:rPr>
                <w:sz w:val="20"/>
                <w:szCs w:val="20"/>
                <w:color w:val="auto"/>
              </w:rPr>
            </w:pPr>
            <w:r>
              <w:rPr>
                <w:rFonts w:ascii="Arial" w:cs="Arial" w:eastAsia="Arial" w:hAnsi="Arial"/>
                <w:sz w:val="16"/>
                <w:szCs w:val="16"/>
                <w:color w:val="auto"/>
              </w:rPr>
              <w:t>(13,350)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00" w:type="dxa"/>
            <w:vAlign w:val="bottom"/>
          </w:tcPr>
          <w:p>
            <w:pPr>
              <w:spacing w:after="0"/>
              <w:rPr>
                <w:sz w:val="20"/>
                <w:szCs w:val="20"/>
                <w:color w:val="auto"/>
              </w:rPr>
            </w:pPr>
            <w:r>
              <w:rPr>
                <w:rFonts w:ascii="Arial" w:cs="Arial" w:eastAsia="Arial" w:hAnsi="Arial"/>
                <w:sz w:val="16"/>
                <w:szCs w:val="16"/>
                <w:b w:val="1"/>
                <w:bCs w:val="1"/>
                <w:color w:val="auto"/>
              </w:rPr>
              <w:t>Finance lease liabilities as of September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220,401</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(13,350</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8,167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400"/>
              <w:spacing w:after="0"/>
              <w:rPr>
                <w:sz w:val="20"/>
                <w:szCs w:val="20"/>
                <w:color w:val="auto"/>
              </w:rPr>
            </w:pPr>
            <w:r>
              <w:rPr>
                <w:rFonts w:ascii="Arial" w:cs="Arial" w:eastAsia="Arial" w:hAnsi="Arial"/>
                <w:sz w:val="16"/>
                <w:szCs w:val="16"/>
                <w:color w:val="auto"/>
              </w:rPr>
              <w:t>An analysis of the finance lease liabilities is as follows: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6"/>
          </w:tcPr>
          <w:p>
            <w:pPr>
              <w:ind w:left="180"/>
              <w:spacing w:after="0"/>
              <w:rPr>
                <w:sz w:val="20"/>
                <w:szCs w:val="20"/>
                <w:color w:val="auto"/>
              </w:rPr>
            </w:pPr>
            <w:r>
              <w:rPr>
                <w:rFonts w:ascii="Arial" w:cs="Arial" w:eastAsia="Arial" w:hAnsi="Arial"/>
                <w:sz w:val="16"/>
                <w:szCs w:val="16"/>
                <w:b w:val="1"/>
                <w:bCs w:val="1"/>
                <w:color w:val="auto"/>
              </w:rPr>
              <w:t>December 31, 2016</w:t>
            </w:r>
          </w:p>
        </w:tc>
        <w:tc>
          <w:tcPr>
            <w:tcW w:w="40" w:type="dxa"/>
            <w:vAlign w:val="bottom"/>
          </w:tcPr>
          <w:p>
            <w:pPr>
              <w:spacing w:after="0"/>
              <w:rPr>
                <w:sz w:val="24"/>
                <w:szCs w:val="24"/>
                <w:color w:val="auto"/>
              </w:rPr>
            </w:pPr>
          </w:p>
        </w:tc>
        <w:tc>
          <w:tcPr>
            <w:tcW w:w="17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7"/>
              </w:rPr>
              <w:t>September 30,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5,946</w:t>
            </w:r>
          </w:p>
        </w:tc>
        <w:tc>
          <w:tcPr>
            <w:tcW w:w="2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6,210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214,455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209,008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88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auto"/>
              <w:bottom w:val="single" w:sz="8" w:color="auto"/>
            </w:tcBorders>
            <w:shd w:val="clear" w:color="auto" w:fill="E5FFFF"/>
          </w:tcPr>
          <w:p>
            <w:pPr>
              <w:spacing w:after="0"/>
              <w:rPr>
                <w:sz w:val="17"/>
                <w:szCs w:val="17"/>
                <w:color w:val="auto"/>
              </w:rPr>
            </w:pPr>
          </w:p>
        </w:tc>
        <w:tc>
          <w:tcPr>
            <w:tcW w:w="40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220,401</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16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215,218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60" w:type="dxa"/>
            <w:vAlign w:val="bottom"/>
            <w:gridSpan w:val="2"/>
            <w:vMerge w:val="restart"/>
          </w:tcPr>
          <w:p>
            <w:pPr>
              <w:jc w:val="right"/>
              <w:ind w:right="800"/>
              <w:spacing w:after="0"/>
              <w:rPr>
                <w:sz w:val="20"/>
                <w:szCs w:val="20"/>
                <w:color w:val="auto"/>
              </w:rPr>
            </w:pPr>
            <w:r>
              <w:rPr>
                <w:rFonts w:ascii="Arial" w:cs="Arial" w:eastAsia="Arial" w:hAnsi="Arial"/>
                <w:sz w:val="16"/>
                <w:szCs w:val="16"/>
                <w:color w:val="auto"/>
              </w:rPr>
              <w:t>F-11</w:t>
            </w: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500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Pr>
          <w:p>
            <w:pPr>
              <w:ind w:left="400"/>
              <w:spacing w:after="0"/>
              <w:rPr>
                <w:sz w:val="20"/>
                <w:szCs w:val="20"/>
                <w:color w:val="auto"/>
              </w:rPr>
            </w:pPr>
            <w:r>
              <w:rPr>
                <w:rFonts w:ascii="Arial" w:cs="Arial" w:eastAsia="Arial" w:hAnsi="Arial"/>
                <w:sz w:val="16"/>
                <w:szCs w:val="16"/>
                <w:color w:val="auto"/>
              </w:rPr>
              <w:t>An analysis of the borrowings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6"/>
          </w:tcPr>
          <w:p>
            <w:pPr>
              <w:ind w:left="200"/>
              <w:spacing w:after="0"/>
              <w:rPr>
                <w:sz w:val="20"/>
                <w:szCs w:val="20"/>
                <w:color w:val="auto"/>
              </w:rPr>
            </w:pPr>
            <w:r>
              <w:rPr>
                <w:rFonts w:ascii="Arial" w:cs="Arial" w:eastAsia="Arial" w:hAnsi="Arial"/>
                <w:sz w:val="16"/>
                <w:szCs w:val="16"/>
                <w:b w:val="1"/>
                <w:bCs w:val="1"/>
                <w:color w:val="auto"/>
              </w:rPr>
              <w:t>December 31, 2016</w:t>
            </w:r>
          </w:p>
        </w:tc>
        <w:tc>
          <w:tcPr>
            <w:tcW w:w="40" w:type="dxa"/>
            <w:vAlign w:val="bottom"/>
          </w:tcPr>
          <w:p>
            <w:pPr>
              <w:spacing w:after="0"/>
              <w:rPr>
                <w:sz w:val="24"/>
                <w:szCs w:val="24"/>
                <w:color w:val="auto"/>
              </w:rPr>
            </w:pPr>
          </w:p>
        </w:tc>
        <w:tc>
          <w:tcPr>
            <w:tcW w:w="17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5"/>
              </w:rPr>
              <w:t>September 30,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156,645</w:t>
            </w:r>
          </w:p>
        </w:tc>
        <w:tc>
          <w:tcPr>
            <w:tcW w:w="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188,167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w w:val="92"/>
              </w:rPr>
              <w:t>Less: unamortized deferred loan and senior unsecured notes issuance costs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(9,197)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5"/>
          </w:tcPr>
          <w:p>
            <w:pPr>
              <w:jc w:val="right"/>
              <w:ind w:right="60"/>
              <w:spacing w:after="0"/>
              <w:rPr>
                <w:sz w:val="20"/>
                <w:szCs w:val="20"/>
                <w:color w:val="auto"/>
              </w:rPr>
            </w:pPr>
            <w:r>
              <w:rPr>
                <w:rFonts w:ascii="Arial" w:cs="Arial" w:eastAsia="Arial" w:hAnsi="Arial"/>
                <w:sz w:val="16"/>
                <w:szCs w:val="16"/>
                <w:color w:val="auto"/>
              </w:rPr>
              <w:t>(9,394)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147,448</w:t>
            </w:r>
          </w:p>
        </w:tc>
        <w:tc>
          <w:tcPr>
            <w:tcW w:w="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178,773</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2,543,357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2,428,264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Plus: unamortized premium</w:t>
            </w:r>
            <w:r>
              <w:rPr>
                <w:rFonts w:ascii="Arial" w:cs="Arial" w:eastAsia="Arial" w:hAnsi="Arial"/>
                <w:sz w:val="21"/>
                <w:szCs w:val="21"/>
                <w:color w:val="auto"/>
                <w:vertAlign w:val="superscript"/>
              </w:rPr>
              <w:t>(1)</w:t>
            </w:r>
          </w:p>
        </w:tc>
        <w:tc>
          <w:tcPr>
            <w:tcW w:w="1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1,304</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w w:val="92"/>
              </w:rPr>
              <w:t>Less: unamortized deferred loan and senior unsecured notes issuance costs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(40,083)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5"/>
          </w:tcPr>
          <w:p>
            <w:pPr>
              <w:jc w:val="right"/>
              <w:ind w:right="60"/>
              <w:spacing w:after="0"/>
              <w:rPr>
                <w:sz w:val="20"/>
                <w:szCs w:val="20"/>
                <w:color w:val="auto"/>
              </w:rPr>
            </w:pPr>
            <w:r>
              <w:rPr>
                <w:rFonts w:ascii="Arial" w:cs="Arial" w:eastAsia="Arial" w:hAnsi="Arial"/>
                <w:sz w:val="16"/>
                <w:szCs w:val="16"/>
                <w:color w:val="auto"/>
              </w:rPr>
              <w:t>(34,013)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non-current portion</w:t>
            </w:r>
          </w:p>
        </w:tc>
        <w:tc>
          <w:tcPr>
            <w:tcW w:w="13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2,504,578</w:t>
            </w:r>
          </w:p>
        </w:tc>
        <w:tc>
          <w:tcPr>
            <w:tcW w:w="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bottom w:val="single" w:sz="8" w:color="auto"/>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2,394,251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2,652,026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2,573,024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-2145665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-2145665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9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Refer to “Senior Unsecured Notes” disclosed below for details on the premium.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ind w:right="100" w:firstLine="436"/>
        <w:spacing w:after="0" w:line="271" w:lineRule="auto"/>
        <w:rPr>
          <w:sz w:val="20"/>
          <w:szCs w:val="20"/>
          <w:color w:val="auto"/>
        </w:rPr>
      </w:pPr>
      <w:r>
        <w:rPr>
          <w:rFonts w:ascii="Arial" w:cs="Arial" w:eastAsia="Arial" w:hAnsi="Arial"/>
          <w:sz w:val="16"/>
          <w:szCs w:val="16"/>
          <w:color w:val="auto"/>
        </w:rPr>
        <w:t>The main terms of the Group’s loan facilities in existence as of December 31, 2016 have been disclosed in the annual audited consolidated financial statements for the year ended December 31, 2016. Refer to Note 13 “Borrowings”. During the nine months ended September 30, 2017, GasLog drew down $30,000 from its revolving credit facility of the credit agreement entered into on July 19, 2016 (the “Legacy Facility Refinancing”) and, on July 3, 2017, repaid the full drawn amount at that time of $41,641. In addition, on April 5, 2017, GasLog prepaid $150,000 under the junior tranche of the credit agreement that subsidiaries of GasLog and GasLog Partners entered into on February 18, 2016 (the “Five Vessel Refinancing”).</w:t>
      </w:r>
    </w:p>
    <w:p>
      <w:pPr>
        <w:spacing w:after="0" w:line="190"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 and senior unsecured notes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Unsecured Notes</w:t>
      </w:r>
    </w:p>
    <w:p>
      <w:pPr>
        <w:spacing w:after="0" w:line="235" w:lineRule="exact"/>
        <w:rPr>
          <w:sz w:val="20"/>
          <w:szCs w:val="20"/>
          <w:color w:val="auto"/>
        </w:rPr>
      </w:pPr>
    </w:p>
    <w:p>
      <w:pPr>
        <w:ind w:right="340" w:firstLine="436"/>
        <w:spacing w:after="0" w:line="293" w:lineRule="auto"/>
        <w:rPr>
          <w:sz w:val="20"/>
          <w:szCs w:val="20"/>
          <w:color w:val="auto"/>
        </w:rPr>
      </w:pPr>
      <w:r>
        <w:rPr>
          <w:rFonts w:ascii="Arial" w:cs="Arial" w:eastAsia="Arial" w:hAnsi="Arial"/>
          <w:sz w:val="16"/>
          <w:szCs w:val="16"/>
          <w:color w:val="auto"/>
        </w:rPr>
        <w:t>The main terms of the Group’s senior unsecured NOK bonds (the “NOK Bonds”) have been disclosed in the annual audited consolidated financial statements for the year ended December 31, 2016. Refer to Note 13 “Borrowings”.</w:t>
      </w:r>
    </w:p>
    <w:p>
      <w:pPr>
        <w:sectPr>
          <w:pgSz w:w="11900" w:h="16838" w:orient="portrait"/>
          <w:cols w:equalWidth="0" w:num="1">
            <w:col w:w="11460"/>
          </w:cols>
          <w:pgMar w:left="240" w:top="130" w:right="199" w:bottom="55" w:gutter="0" w:footer="0" w:header="0"/>
        </w:sectPr>
      </w:pPr>
    </w:p>
    <w:bookmarkStart w:id="26" w:name="page27"/>
    <w:bookmarkEnd w:id="26"/>
    <w:p>
      <w:pPr>
        <w:spacing w:after="0" w:line="27" w:lineRule="exact"/>
        <w:rPr>
          <w:sz w:val="20"/>
          <w:szCs w:val="20"/>
          <w:color w:val="auto"/>
        </w:rPr>
      </w:pPr>
    </w:p>
    <w:p>
      <w:pPr>
        <w:jc w:val="both"/>
        <w:ind w:right="420" w:firstLine="436"/>
        <w:spacing w:after="0" w:line="305" w:lineRule="auto"/>
        <w:rPr>
          <w:sz w:val="20"/>
          <w:szCs w:val="20"/>
          <w:color w:val="auto"/>
        </w:rPr>
      </w:pPr>
      <w:r>
        <w:rPr>
          <w:rFonts w:ascii="Arial" w:cs="Arial" w:eastAsia="Arial" w:hAnsi="Arial"/>
          <w:sz w:val="15"/>
          <w:szCs w:val="15"/>
          <w:color w:val="auto"/>
        </w:rPr>
        <w:t>On June 27, 2017, GasLog completed the repurchase of the outstanding NOK bonds maturing in April 2018, at a price of 103.0% of par value, resulting in a loss of $1,459, for a total consideration of NOK 424,360 ($70,783 at the swapped rate under the associated cross currency swaps). Additionally, as a result of the repurchase, the unamortized bond fees and premium of $283 (gain) were written off to profit or loss during the second quarter of 2017.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carrying amount under the 750,000 NOK bonds maturing in May 2021, net of unamortized financing costs and unamortized premium, as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2017 is $93,036 (December 31, 2016: $133,531) while their aggregate fair value is $100,530 based on a USD/NOK exchange rate of 0.1259 as of September 30,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2017 (December 31, 2016: $138,741, based on a USD/NOK exchange rate of 0.1159).</w:t>
      </w:r>
    </w:p>
    <w:p>
      <w:pPr>
        <w:spacing w:after="0" w:line="231" w:lineRule="exact"/>
        <w:rPr>
          <w:sz w:val="20"/>
          <w:szCs w:val="20"/>
          <w:color w:val="auto"/>
        </w:rPr>
      </w:pPr>
    </w:p>
    <w:p>
      <w:pPr>
        <w:ind w:right="280" w:firstLine="436"/>
        <w:spacing w:after="0" w:line="278" w:lineRule="auto"/>
        <w:rPr>
          <w:sz w:val="20"/>
          <w:szCs w:val="20"/>
          <w:color w:val="auto"/>
        </w:rPr>
      </w:pPr>
      <w:r>
        <w:rPr>
          <w:rFonts w:ascii="Arial" w:cs="Arial" w:eastAsia="Arial" w:hAnsi="Arial"/>
          <w:sz w:val="16"/>
          <w:szCs w:val="16"/>
          <w:color w:val="auto"/>
        </w:rPr>
        <w:t>On March 22, 2017, GasLog closed a public offering of $250,000 aggregate principal amount of 8.875% senior unsecured notes due in 2022 (the “8.875% Senior Notes”) at a public offering price of 100% of the principal amount. The net proceeds from the offering after deducting the underwriting discount and offering expenses were $245,388.</w:t>
      </w:r>
    </w:p>
    <w:p>
      <w:pPr>
        <w:spacing w:after="0" w:line="184" w:lineRule="exact"/>
        <w:rPr>
          <w:sz w:val="20"/>
          <w:szCs w:val="20"/>
          <w:color w:val="auto"/>
        </w:rPr>
      </w:pPr>
    </w:p>
    <w:p>
      <w:pPr>
        <w:ind w:right="120" w:firstLine="436"/>
        <w:spacing w:after="0" w:line="297" w:lineRule="auto"/>
        <w:rPr>
          <w:sz w:val="20"/>
          <w:szCs w:val="20"/>
          <w:color w:val="auto"/>
        </w:rPr>
      </w:pPr>
      <w:r>
        <w:rPr>
          <w:rFonts w:ascii="Arial" w:cs="Arial" w:eastAsia="Arial" w:hAnsi="Arial"/>
          <w:sz w:val="15"/>
          <w:szCs w:val="15"/>
          <w:color w:val="auto"/>
        </w:rPr>
        <w:t>Interest payment on the 8.875% Senior Notes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 (b) the sum of the present values of the remaining scheduled payments of principal and interest thereon (exclusive of interest accrued to but excluding the date of redemption) computed using a discount rate equal to the treasury rate, plus 50 basis points, plus accrued and unpaid interest thereon to the date of redemption.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GasLog as issuer of the 8.875% Senior Notes is required to comply with financial covenants which include the following:</w:t>
      </w:r>
    </w:p>
    <w:p>
      <w:pPr>
        <w:spacing w:after="0" w:line="234" w:lineRule="exact"/>
        <w:rPr>
          <w:sz w:val="20"/>
          <w:szCs w:val="20"/>
          <w:color w:val="auto"/>
        </w:rPr>
      </w:pPr>
    </w:p>
    <w:p>
      <w:pPr>
        <w:ind w:left="1260" w:hanging="811"/>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net working capital (excluding the current portion of long-term debt) must be not less than $0;</w:t>
      </w:r>
    </w:p>
    <w:p>
      <w:pPr>
        <w:spacing w:after="0" w:line="19" w:lineRule="exact"/>
        <w:rPr>
          <w:rFonts w:ascii="Arial" w:cs="Arial" w:eastAsia="Arial" w:hAnsi="Arial"/>
          <w:sz w:val="18"/>
          <w:szCs w:val="18"/>
          <w:color w:val="auto"/>
        </w:rPr>
      </w:pPr>
    </w:p>
    <w:p>
      <w:pPr>
        <w:ind w:left="1260" w:hanging="811"/>
        <w:spacing w:after="0" w:line="22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total indebtedness divided by total capitalization must not exceed 75%;</w:t>
      </w:r>
    </w:p>
    <w:p>
      <w:pPr>
        <w:spacing w:after="0" w:line="20" w:lineRule="exact"/>
        <w:rPr>
          <w:rFonts w:ascii="Arial" w:cs="Arial" w:eastAsia="Arial" w:hAnsi="Arial"/>
          <w:sz w:val="18"/>
          <w:szCs w:val="18"/>
          <w:color w:val="auto"/>
        </w:rPr>
      </w:pPr>
    </w:p>
    <w:p>
      <w:pPr>
        <w:ind w:left="1260" w:hanging="811"/>
        <w:spacing w:after="0" w:line="22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ratio of EBITDA over debt service, on a trailing four quarter basis, shall be no less than 1.00:1.00;</w:t>
      </w:r>
    </w:p>
    <w:p>
      <w:pPr>
        <w:spacing w:after="0" w:line="20" w:lineRule="exact"/>
        <w:rPr>
          <w:rFonts w:ascii="Arial" w:cs="Arial" w:eastAsia="Arial" w:hAnsi="Arial"/>
          <w:sz w:val="18"/>
          <w:szCs w:val="18"/>
          <w:color w:val="auto"/>
        </w:rPr>
      </w:pPr>
    </w:p>
    <w:p>
      <w:pPr>
        <w:ind w:left="1260" w:hanging="8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5"/>
          <w:szCs w:val="15"/>
          <w:color w:val="auto"/>
        </w:rPr>
        <w:t>the aggregate amount of all unencumbered cash and cash equivalents must be not less than the higher of 2.50% of total indebtedness or $35,000; and</w:t>
      </w:r>
    </w:p>
    <w:p>
      <w:pPr>
        <w:spacing w:after="0" w:line="20" w:lineRule="exact"/>
        <w:rPr>
          <w:rFonts w:ascii="Arial" w:cs="Arial" w:eastAsia="Arial" w:hAnsi="Arial"/>
          <w:sz w:val="17"/>
          <w:szCs w:val="17"/>
          <w:color w:val="auto"/>
        </w:rPr>
      </w:pPr>
    </w:p>
    <w:p>
      <w:pPr>
        <w:ind w:left="1260" w:hanging="811"/>
        <w:spacing w:after="0" w:line="22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issuer’s market value adjusted net worth must at all times be not less than $300,000.</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Group was in compliance with its financial covenants as of September 30, 2017.</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Deferred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Non-cash</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financing costs,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Opening balance</w:t>
            </w:r>
          </w:p>
        </w:tc>
        <w:tc>
          <w:tcPr>
            <w:tcW w:w="12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Cash flows</w:t>
            </w: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items</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76"/>
              </w:rPr>
              <w:t>assets</w:t>
            </w: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20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 January 1,</w:t>
            </w:r>
          </w:p>
        </w:tc>
        <w:tc>
          <w:tcPr>
            <w:tcW w:w="13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E5FFFF"/>
          </w:tcPr>
          <w:p>
            <w:pPr>
              <w:spacing w:after="0"/>
              <w:rPr>
                <w:sz w:val="20"/>
                <w:szCs w:val="20"/>
                <w:color w:val="auto"/>
              </w:rPr>
            </w:pPr>
            <w:r>
              <w:rPr>
                <w:rFonts w:ascii="Arial" w:cs="Arial" w:eastAsia="Arial" w:hAnsi="Arial"/>
                <w:sz w:val="16"/>
                <w:szCs w:val="16"/>
                <w:color w:val="auto"/>
              </w:rPr>
              <w:t>2017</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2,652,026</w:t>
            </w: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2,652,026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280,000</w:t>
            </w:r>
          </w:p>
        </w:tc>
        <w:tc>
          <w:tcPr>
            <w:tcW w:w="2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280,000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E5FFFF"/>
          </w:tcPr>
          <w:p>
            <w:pPr>
              <w:spacing w:after="0"/>
              <w:rPr>
                <w:sz w:val="20"/>
                <w:szCs w:val="20"/>
                <w:color w:val="auto"/>
              </w:rPr>
            </w:pPr>
            <w:r>
              <w:rPr>
                <w:rFonts w:ascii="Arial" w:cs="Arial" w:eastAsia="Arial" w:hAnsi="Arial"/>
                <w:sz w:val="16"/>
                <w:szCs w:val="16"/>
                <w:color w:val="auto"/>
              </w:rPr>
              <w:t>Bank loans and bond repayments</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(371,987)</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(371,987)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(6,245)</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(776)</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2,255</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E5FFFF"/>
          </w:tcPr>
          <w:p>
            <w:pPr>
              <w:spacing w:after="0"/>
              <w:rPr>
                <w:sz w:val="20"/>
                <w:szCs w:val="20"/>
                <w:color w:val="auto"/>
              </w:rPr>
            </w:pPr>
            <w:r>
              <w:rPr>
                <w:rFonts w:ascii="Arial" w:cs="Arial" w:eastAsia="Arial" w:hAnsi="Arial"/>
                <w:sz w:val="16"/>
                <w:szCs w:val="16"/>
                <w:color w:val="auto"/>
              </w:rPr>
              <w:t>Amortization of deferred loan and senior</w:t>
            </w:r>
          </w:p>
        </w:tc>
        <w:tc>
          <w:tcPr>
            <w:tcW w:w="13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0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unsecured notes issuance costs and</w:t>
            </w: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premium (Note 14)</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9,335</w:t>
            </w:r>
          </w:p>
        </w:tc>
        <w:tc>
          <w:tcPr>
            <w:tcW w:w="2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20"/>
                <w:szCs w:val="20"/>
                <w:color w:val="auto"/>
              </w:rPr>
            </w:pPr>
            <w:r>
              <w:rPr>
                <w:rFonts w:ascii="Arial" w:cs="Arial" w:eastAsia="Arial" w:hAnsi="Arial"/>
                <w:sz w:val="16"/>
                <w:szCs w:val="16"/>
                <w:color w:val="auto"/>
              </w:rPr>
              <w:t>Retranslation of the NOK Bonds in U.S.</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dollars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8,416</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8,416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0" w:type="dxa"/>
            <w:vAlign w:val="bottom"/>
            <w:vMerge w:val="continue"/>
            <w:shd w:val="clear" w:color="auto" w:fill="E5FFFF"/>
          </w:tcPr>
          <w:p>
            <w:pPr>
              <w:spacing w:after="0"/>
              <w:rPr>
                <w:sz w:val="15"/>
                <w:szCs w:val="15"/>
                <w:color w:val="auto"/>
              </w:rPr>
            </w:pPr>
          </w:p>
        </w:tc>
        <w:tc>
          <w:tcPr>
            <w:tcW w:w="162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2,652,026</w:t>
            </w:r>
          </w:p>
        </w:tc>
        <w:tc>
          <w:tcPr>
            <w:tcW w:w="126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6"/>
                <w:szCs w:val="16"/>
                <w:b w:val="1"/>
                <w:bCs w:val="1"/>
                <w:color w:val="auto"/>
              </w:rPr>
              <w:t>(98,232)</w:t>
            </w:r>
          </w:p>
        </w:tc>
        <w:tc>
          <w:tcPr>
            <w:tcW w:w="162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8,416</w:t>
            </w:r>
          </w:p>
        </w:tc>
        <w:tc>
          <w:tcPr>
            <w:tcW w:w="9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8,559</w:t>
            </w:r>
          </w:p>
        </w:tc>
        <w:tc>
          <w:tcPr>
            <w:tcW w:w="200" w:type="dxa"/>
            <w:vAlign w:val="bottom"/>
            <w:shd w:val="clear" w:color="auto" w:fill="E5FFFF"/>
          </w:tcPr>
          <w:p>
            <w:pPr>
              <w:spacing w:after="0"/>
              <w:rPr>
                <w:sz w:val="15"/>
                <w:szCs w:val="15"/>
                <w:color w:val="auto"/>
              </w:rPr>
            </w:pPr>
          </w:p>
        </w:tc>
        <w:tc>
          <w:tcPr>
            <w:tcW w:w="158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2,255</w:t>
            </w:r>
          </w:p>
        </w:tc>
        <w:tc>
          <w:tcPr>
            <w:tcW w:w="10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2,573,024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September 30, 2017</w:t>
            </w:r>
          </w:p>
        </w:tc>
        <w:tc>
          <w:tcPr>
            <w:tcW w:w="1620" w:type="dxa"/>
            <w:vAlign w:val="bottom"/>
            <w:gridSpan w:val="2"/>
            <w:vMerge w:val="continue"/>
            <w:shd w:val="clear" w:color="auto" w:fill="E5FFFF"/>
          </w:tcPr>
          <w:p>
            <w:pPr>
              <w:spacing w:after="0"/>
              <w:rPr>
                <w:sz w:val="17"/>
                <w:szCs w:val="17"/>
                <w:color w:val="auto"/>
              </w:rPr>
            </w:pPr>
          </w:p>
        </w:tc>
        <w:tc>
          <w:tcPr>
            <w:tcW w:w="1260" w:type="dxa"/>
            <w:vAlign w:val="bottom"/>
            <w:gridSpan w:val="2"/>
            <w:vMerge w:val="continue"/>
            <w:shd w:val="clear" w:color="auto" w:fill="E5FFFF"/>
          </w:tcPr>
          <w:p>
            <w:pPr>
              <w:spacing w:after="0"/>
              <w:rPr>
                <w:sz w:val="17"/>
                <w:szCs w:val="17"/>
                <w:color w:val="auto"/>
              </w:rPr>
            </w:pPr>
          </w:p>
        </w:tc>
        <w:tc>
          <w:tcPr>
            <w:tcW w:w="1620" w:type="dxa"/>
            <w:vAlign w:val="bottom"/>
            <w:gridSpan w:val="2"/>
            <w:vMerge w:val="continue"/>
            <w:shd w:val="clear" w:color="auto" w:fill="E5FFFF"/>
          </w:tcPr>
          <w:p>
            <w:pPr>
              <w:spacing w:after="0"/>
              <w:rPr>
                <w:sz w:val="17"/>
                <w:szCs w:val="17"/>
                <w:color w:val="auto"/>
              </w:rPr>
            </w:pPr>
          </w:p>
        </w:tc>
        <w:tc>
          <w:tcPr>
            <w:tcW w:w="92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580" w:type="dxa"/>
            <w:vAlign w:val="bottom"/>
            <w:gridSpan w:val="2"/>
            <w:vMerge w:val="continue"/>
            <w:shd w:val="clear" w:color="auto" w:fill="E5FFFF"/>
          </w:tcPr>
          <w:p>
            <w:pPr>
              <w:spacing w:after="0"/>
              <w:rPr>
                <w:sz w:val="17"/>
                <w:szCs w:val="17"/>
                <w:color w:val="auto"/>
              </w:rPr>
            </w:pPr>
          </w:p>
        </w:tc>
        <w:tc>
          <w:tcPr>
            <w:tcW w:w="1020" w:type="dxa"/>
            <w:vAlign w:val="bottom"/>
            <w:gridSpan w:val="2"/>
            <w:vMerge w:val="continue"/>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F-12</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80" w:type="dxa"/>
            <w:vAlign w:val="bottom"/>
          </w:tcPr>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08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19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Due from the Cool Pool</w:t>
            </w:r>
          </w:p>
        </w:tc>
        <w:tc>
          <w:tcPr>
            <w:tcW w:w="1580" w:type="dxa"/>
            <w:vAlign w:val="bottom"/>
          </w:tcPr>
          <w:p>
            <w:pPr>
              <w:jc w:val="right"/>
              <w:spacing w:after="0"/>
              <w:rPr>
                <w:sz w:val="20"/>
                <w:szCs w:val="20"/>
                <w:color w:val="auto"/>
              </w:rPr>
            </w:pPr>
            <w:r>
              <w:rPr>
                <w:rFonts w:ascii="Arial" w:cs="Arial" w:eastAsia="Arial" w:hAnsi="Arial"/>
                <w:sz w:val="16"/>
                <w:szCs w:val="16"/>
                <w:color w:val="auto"/>
              </w:rPr>
              <w:t>1,930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Other receivables</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385</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3,065</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3,843</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08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199"/>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580" w:type="dxa"/>
            <w:vAlign w:val="bottom"/>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of cash collected from Egypt LNG Shipping Ltd. to cover the obligations of its vessel under the Group’s management.</w:t>
      </w:r>
    </w:p>
    <w:p>
      <w:pPr>
        <w:spacing w:after="0" w:line="246"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color w:val="auto"/>
        </w:rPr>
        <w:t>Amounts due to related parties of $97 as of September 30, 2017 (December 31, 2016: $105) are expenses paid by a related party on behalf of the Group and payables to other related parties for the office lease and other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General and Administrative Expenses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analysis of general and administrative expenses is as follows:</w:t>
      </w:r>
    </w:p>
    <w:p>
      <w:pPr>
        <w:spacing w:after="0" w:line="244" w:lineRule="exact"/>
        <w:rPr>
          <w:sz w:val="20"/>
          <w:szCs w:val="20"/>
          <w:color w:val="auto"/>
        </w:rPr>
      </w:pPr>
    </w:p>
    <w:p>
      <w:pPr>
        <w:ind w:left="5780"/>
        <w:spacing w:after="0"/>
        <w:tabs>
          <w:tab w:leader="none" w:pos="9000" w:val="left"/>
        </w:tabs>
        <w:rPr>
          <w:sz w:val="20"/>
          <w:szCs w:val="20"/>
          <w:color w:val="auto"/>
        </w:rPr>
      </w:pPr>
      <w:r>
        <w:rPr>
          <w:rFonts w:ascii="Arial" w:cs="Arial" w:eastAsia="Arial" w:hAnsi="Arial"/>
          <w:sz w:val="16"/>
          <w:szCs w:val="16"/>
          <w:b w:val="1"/>
          <w:bCs w:val="1"/>
          <w:color w:val="auto"/>
        </w:rPr>
        <w:t>For the three months ended</w:t>
      </w:r>
      <w:r>
        <w:rPr>
          <w:sz w:val="20"/>
          <w:szCs w:val="20"/>
          <w:color w:val="auto"/>
        </w:rPr>
        <w:tab/>
      </w:r>
      <w:r>
        <w:rPr>
          <w:rFonts w:ascii="Arial" w:cs="Arial" w:eastAsia="Arial" w:hAnsi="Arial"/>
          <w:sz w:val="14"/>
          <w:szCs w:val="14"/>
          <w:b w:val="1"/>
          <w:bCs w:val="1"/>
          <w:color w:val="auto"/>
        </w:rPr>
        <w:t>For the nine months ended</w:t>
      </w:r>
    </w:p>
    <w:p>
      <w:pPr>
        <w:sectPr>
          <w:pgSz w:w="11900" w:h="16865" w:orient="portrait"/>
          <w:cols w:equalWidth="0" w:num="1">
            <w:col w:w="11460"/>
          </w:cols>
          <w:pgMar w:left="240" w:top="130" w:right="199" w:bottom="0" w:gutter="0" w:footer="0" w:header="0"/>
        </w:sectPr>
      </w:pPr>
    </w:p>
    <w:bookmarkStart w:id="27" w:name="page28"/>
    <w:bookmarkEnd w:id="27"/>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99"/>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3,971</w:t>
            </w: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4,714</w:t>
            </w:r>
          </w:p>
        </w:tc>
        <w:tc>
          <w:tcPr>
            <w:tcW w:w="28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13,185</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14,328</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Board of directors’ fees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562</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562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1,035</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1,257</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2,835</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Rent and utilities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579</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542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Travel and accommodation</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435</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374</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1,690</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Legal and professional fees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1,829</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1,849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4,989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5,804</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differences, net</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252</w:t>
            </w:r>
          </w:p>
        </w:tc>
        <w:tc>
          <w:tcPr>
            <w:tcW w:w="16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65</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Other expenses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610</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625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9,273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9,988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28,362</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30,213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10. Other Payables and Accruals</w:t>
            </w: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8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ind w:left="16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Social contributions</w:t>
            </w:r>
          </w:p>
        </w:tc>
        <w:tc>
          <w:tcPr>
            <w:tcW w:w="1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2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Unearned revenue</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37,522</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37,293</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Accrued legal and professional fees</w:t>
            </w: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1,480</w:t>
            </w: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Accrued employee costs</w:t>
            </w: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5,800</w:t>
            </w: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Accrued off-hire</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3,765</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3,765</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6,132</w:t>
            </w: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3,153</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Accrued purchases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3,553</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costs</w:t>
            </w: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6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Accrued interest</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27,165</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19,292</w:t>
            </w: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5,425</w:t>
            </w: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Other accruals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926</w:t>
            </w:r>
          </w:p>
        </w:tc>
        <w:tc>
          <w:tcPr>
            <w:tcW w:w="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93,386</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83,651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Share Capital and Preference Shares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35" w:lineRule="exact"/>
        <w:rPr>
          <w:sz w:val="20"/>
          <w:szCs w:val="20"/>
          <w:color w:val="auto"/>
        </w:rPr>
      </w:pPr>
    </w:p>
    <w:p>
      <w:pPr>
        <w:ind w:right="120" w:firstLine="396"/>
        <w:spacing w:after="0" w:line="278" w:lineRule="auto"/>
        <w:rPr>
          <w:sz w:val="20"/>
          <w:szCs w:val="20"/>
          <w:color w:val="auto"/>
        </w:rPr>
      </w:pPr>
      <w:r>
        <w:rPr>
          <w:rFonts w:ascii="Arial" w:cs="Arial" w:eastAsia="Arial" w:hAnsi="Arial"/>
          <w:sz w:val="16"/>
          <w:szCs w:val="16"/>
          <w:color w:val="auto"/>
        </w:rPr>
        <w:t>As of September 30, 2017, the share capital consisted of 80,649,807 issued and outstanding common shares, par value $0.01 per share, 343,319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w w:val="95"/>
              </w:rPr>
              <w:t>Number of Shares</w:t>
            </w: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w w:val="92"/>
              </w:rPr>
              <w:t>Amounts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Preference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Contributed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Treasury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common shares</w:t>
            </w:r>
          </w:p>
        </w:tc>
        <w:tc>
          <w:tcPr>
            <w:tcW w:w="15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treasury shares</w:t>
            </w:r>
          </w:p>
        </w:tc>
        <w:tc>
          <w:tcPr>
            <w:tcW w:w="18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Preference Shares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 capital</w:t>
            </w:r>
          </w:p>
        </w:tc>
        <w:tc>
          <w:tcPr>
            <w:tcW w:w="12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5"/>
              </w:rPr>
              <w:t>shares</w:t>
            </w: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surplus</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5"/>
        </w:trPr>
        <w:tc>
          <w:tcPr>
            <w:tcW w:w="216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w w:val="97"/>
              </w:rPr>
              <w:t>Outstanding as of January 1,</w:t>
            </w:r>
          </w:p>
        </w:tc>
        <w:tc>
          <w:tcPr>
            <w:tcW w:w="13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15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2017</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80,561,353</w:t>
            </w:r>
          </w:p>
        </w:tc>
        <w:tc>
          <w:tcPr>
            <w:tcW w:w="1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431,773</w:t>
            </w:r>
          </w:p>
        </w:tc>
        <w:tc>
          <w:tcPr>
            <w:tcW w:w="1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4,600,000</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810</w:t>
            </w:r>
          </w:p>
        </w:tc>
        <w:tc>
          <w:tcPr>
            <w:tcW w:w="1020" w:type="dxa"/>
            <w:vAlign w:val="bottom"/>
            <w:shd w:val="clear" w:color="auto" w:fill="E5FFFF"/>
          </w:tcPr>
          <w:p>
            <w:pPr>
              <w:jc w:val="center"/>
              <w:ind w:left="779"/>
              <w:spacing w:after="0"/>
              <w:rPr>
                <w:sz w:val="20"/>
                <w:szCs w:val="20"/>
                <w:color w:val="auto"/>
              </w:rPr>
            </w:pPr>
            <w:r>
              <w:rPr>
                <w:rFonts w:ascii="Arial" w:cs="Arial" w:eastAsia="Arial" w:hAnsi="Arial"/>
                <w:sz w:val="16"/>
                <w:szCs w:val="16"/>
                <w:b w:val="1"/>
                <w:bCs w:val="1"/>
                <w:color w:val="auto"/>
                <w:w w:val="89"/>
              </w:rPr>
              <w:t>46</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966,974</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(10,861)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6"/>
                <w:szCs w:val="16"/>
                <w:color w:val="auto"/>
              </w:rPr>
              <w:t>Dividends declared deducted</w:t>
            </w: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60"/>
              <w:spacing w:after="0"/>
              <w:rPr>
                <w:sz w:val="20"/>
                <w:szCs w:val="20"/>
                <w:color w:val="auto"/>
              </w:rPr>
            </w:pPr>
            <w:r>
              <w:rPr>
                <w:rFonts w:ascii="Arial" w:cs="Arial" w:eastAsia="Arial" w:hAnsi="Arial"/>
                <w:sz w:val="16"/>
                <w:szCs w:val="16"/>
                <w:color w:val="auto"/>
              </w:rPr>
              <w:t>from Contributed surplus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60"/>
              <w:spacing w:after="0"/>
              <w:rPr>
                <w:sz w:val="20"/>
                <w:szCs w:val="20"/>
                <w:color w:val="auto"/>
              </w:rPr>
            </w:pPr>
            <w:r>
              <w:rPr>
                <w:rFonts w:ascii="Arial" w:cs="Arial" w:eastAsia="Arial" w:hAnsi="Arial"/>
                <w:sz w:val="16"/>
                <w:szCs w:val="16"/>
                <w:color w:val="auto"/>
              </w:rPr>
              <w:t>due to accumulated deficit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(41,401)</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160" w:type="dxa"/>
            <w:vAlign w:val="bottom"/>
            <w:shd w:val="clear" w:color="auto" w:fill="E5FFFF"/>
          </w:tcPr>
          <w:p>
            <w:pPr>
              <w:spacing w:after="0"/>
              <w:rPr>
                <w:sz w:val="20"/>
                <w:szCs w:val="20"/>
                <w:color w:val="auto"/>
              </w:rPr>
            </w:pPr>
            <w:r>
              <w:rPr>
                <w:rFonts w:ascii="Arial" w:cs="Arial" w:eastAsia="Arial" w:hAnsi="Arial"/>
                <w:sz w:val="16"/>
                <w:szCs w:val="16"/>
                <w:color w:val="auto"/>
                <w:w w:val="98"/>
              </w:rPr>
              <w:t>Treasury shares distributed for</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awards vested or exercised</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in the period (Note 16)</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88,454</w:t>
            </w:r>
          </w:p>
        </w:tc>
        <w:tc>
          <w:tcPr>
            <w:tcW w:w="1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(88,454)</w:t>
            </w:r>
          </w:p>
        </w:tc>
        <w:tc>
          <w:tcPr>
            <w:tcW w:w="140" w:type="dxa"/>
            <w:vAlign w:val="bottom"/>
            <w:shd w:val="clear" w:color="auto" w:fill="E5FFFF"/>
          </w:tcPr>
          <w:p>
            <w:pPr>
              <w:spacing w:after="0"/>
              <w:rPr>
                <w:sz w:val="18"/>
                <w:szCs w:val="18"/>
                <w:color w:val="auto"/>
              </w:rPr>
            </w:pPr>
          </w:p>
        </w:tc>
        <w:tc>
          <w:tcPr>
            <w:tcW w:w="1840" w:type="dxa"/>
            <w:vAlign w:val="bottom"/>
            <w:gridSpan w:val="3"/>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E5FFFF"/>
          </w:tcPr>
          <w:p>
            <w:pPr>
              <w:jc w:val="center"/>
              <w:ind w:left="539"/>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6"/>
                <w:szCs w:val="16"/>
                <w:b w:val="1"/>
                <w:bCs w:val="1"/>
                <w:color w:val="auto"/>
                <w:w w:val="95"/>
              </w:rPr>
              <w:t>Outstanding as of September</w:t>
            </w: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vMerge w:val="continue"/>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80,649,807</w:t>
            </w:r>
          </w:p>
        </w:tc>
        <w:tc>
          <w:tcPr>
            <w:tcW w:w="120" w:type="dxa"/>
            <w:vAlign w:val="bottom"/>
          </w:tcPr>
          <w:p>
            <w:pPr>
              <w:spacing w:after="0"/>
              <w:rPr>
                <w:sz w:val="14"/>
                <w:szCs w:val="14"/>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343,319</w:t>
            </w:r>
          </w:p>
        </w:tc>
        <w:tc>
          <w:tcPr>
            <w:tcW w:w="140" w:type="dxa"/>
            <w:vAlign w:val="bottom"/>
          </w:tcPr>
          <w:p>
            <w:pPr>
              <w:spacing w:after="0"/>
              <w:rPr>
                <w:sz w:val="14"/>
                <w:szCs w:val="14"/>
                <w:color w:val="auto"/>
              </w:rPr>
            </w:pPr>
          </w:p>
        </w:tc>
        <w:tc>
          <w:tcPr>
            <w:tcW w:w="16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4,600,000</w:t>
            </w:r>
          </w:p>
        </w:tc>
        <w:tc>
          <w:tcPr>
            <w:tcW w:w="220" w:type="dxa"/>
            <w:vAlign w:val="bottom"/>
          </w:tcPr>
          <w:p>
            <w:pPr>
              <w:spacing w:after="0"/>
              <w:rPr>
                <w:sz w:val="14"/>
                <w:szCs w:val="14"/>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810</w:t>
            </w:r>
          </w:p>
        </w:tc>
        <w:tc>
          <w:tcPr>
            <w:tcW w:w="1020" w:type="dxa"/>
            <w:vAlign w:val="bottom"/>
            <w:vMerge w:val="restart"/>
          </w:tcPr>
          <w:p>
            <w:pPr>
              <w:jc w:val="center"/>
              <w:ind w:left="779"/>
              <w:spacing w:after="0"/>
              <w:rPr>
                <w:sz w:val="20"/>
                <w:szCs w:val="20"/>
                <w:color w:val="auto"/>
              </w:rPr>
            </w:pPr>
            <w:r>
              <w:rPr>
                <w:rFonts w:ascii="Arial" w:cs="Arial" w:eastAsia="Arial" w:hAnsi="Arial"/>
                <w:sz w:val="16"/>
                <w:szCs w:val="16"/>
                <w:b w:val="1"/>
                <w:bCs w:val="1"/>
                <w:color w:val="auto"/>
                <w:w w:val="89"/>
              </w:rPr>
              <w:t>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925,573</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(8,649)</w:t>
            </w:r>
          </w:p>
        </w:tc>
        <w:tc>
          <w:tcPr>
            <w:tcW w:w="0" w:type="dxa"/>
            <w:vAlign w:val="bottom"/>
          </w:tcPr>
          <w:p>
            <w:pPr>
              <w:spacing w:after="0"/>
              <w:rPr>
                <w:sz w:val="1"/>
                <w:szCs w:val="1"/>
                <w:color w:val="auto"/>
              </w:rPr>
            </w:pPr>
          </w:p>
        </w:tc>
      </w:tr>
      <w:tr>
        <w:trPr>
          <w:trHeight w:val="203"/>
        </w:trPr>
        <w:tc>
          <w:tcPr>
            <w:tcW w:w="2160" w:type="dxa"/>
            <w:vAlign w:val="bottom"/>
          </w:tcPr>
          <w:p>
            <w:pPr>
              <w:ind w:left="160"/>
              <w:spacing w:after="0"/>
              <w:rPr>
                <w:sz w:val="20"/>
                <w:szCs w:val="20"/>
                <w:color w:val="auto"/>
              </w:rPr>
            </w:pPr>
            <w:r>
              <w:rPr>
                <w:rFonts w:ascii="Arial" w:cs="Arial" w:eastAsia="Arial" w:hAnsi="Arial"/>
                <w:sz w:val="16"/>
                <w:szCs w:val="16"/>
                <w:b w:val="1"/>
                <w:bCs w:val="1"/>
                <w:color w:val="auto"/>
              </w:rPr>
              <w:t>30, 2017</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2014 in relation to the share-based compensation (Note 16).</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35"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On February 16, 2017, the board of directors declared a quarterly cash dividend of $0.14 per common share which was paid on March 16, 2017 to shareholders of record as of March 6, 2017 for a total amount of $11,278.</w:t>
      </w:r>
    </w:p>
    <w:p>
      <w:pPr>
        <w:spacing w:after="0" w:line="172"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On March 9, 2017, the board of directors declared a dividend on the Series A Preference Shares of $0.546875 per share or $2,516 in aggregate, payable on April 3, 2017 to holders of record as of March 31, 2017. GasLog paid the declared dividend to the transfer agent on March 31, 2017.</w:t>
      </w:r>
    </w:p>
    <w:p>
      <w:pPr>
        <w:spacing w:after="0" w:line="172" w:lineRule="exact"/>
        <w:rPr>
          <w:sz w:val="20"/>
          <w:szCs w:val="20"/>
          <w:color w:val="auto"/>
        </w:rPr>
      </w:pPr>
    </w:p>
    <w:p>
      <w:pPr>
        <w:ind w:right="240" w:firstLine="356"/>
        <w:spacing w:after="0" w:line="293" w:lineRule="auto"/>
        <w:rPr>
          <w:sz w:val="20"/>
          <w:szCs w:val="20"/>
          <w:color w:val="auto"/>
        </w:rPr>
      </w:pPr>
      <w:r>
        <w:rPr>
          <w:rFonts w:ascii="Arial" w:cs="Arial" w:eastAsia="Arial" w:hAnsi="Arial"/>
          <w:sz w:val="16"/>
          <w:szCs w:val="16"/>
          <w:color w:val="auto"/>
        </w:rPr>
        <w:t>On May 4, 2017, the board of directors declared a quarterly cash dividend of $0.14 per common share which was paid on May 25, 2017 to shareholders of record as of May 15, 2017 for a total amount of $11,287.</w:t>
      </w:r>
    </w:p>
    <w:p>
      <w:pPr>
        <w:spacing w:after="0" w:line="172"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On May 4, 2017, the board of directors declared a dividend on the Series A Preference Shares of $0.546875 per share or $2,516 in the aggregate payable on July 3, 2017 to holders of record as of June 30, 2017. GasLog paid the declared dividend to the transfer agent on July 3, 2017.</w:t>
      </w:r>
    </w:p>
    <w:p>
      <w:pPr>
        <w:spacing w:after="0" w:line="172"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On August 2, 2017, the board of directors declared a quarterly cash dividend of $0.14 per common share which was paid on August 24, 2017 to shareholders of record as of August 14, 2017 for a total amount of $11,288.</w:t>
      </w:r>
    </w:p>
    <w:p>
      <w:pPr>
        <w:spacing w:after="0" w:line="172" w:lineRule="exact"/>
        <w:rPr>
          <w:sz w:val="20"/>
          <w:szCs w:val="20"/>
          <w:color w:val="auto"/>
        </w:rPr>
      </w:pPr>
    </w:p>
    <w:p>
      <w:pPr>
        <w:ind w:right="400" w:firstLine="356"/>
        <w:spacing w:after="0" w:line="329" w:lineRule="auto"/>
        <w:rPr>
          <w:sz w:val="20"/>
          <w:szCs w:val="20"/>
          <w:color w:val="auto"/>
        </w:rPr>
      </w:pPr>
      <w:r>
        <w:rPr>
          <w:rFonts w:ascii="Arial" w:cs="Arial" w:eastAsia="Arial" w:hAnsi="Arial"/>
          <w:sz w:val="15"/>
          <w:szCs w:val="15"/>
          <w:color w:val="auto"/>
        </w:rPr>
        <w:t>On September 14, 2017, the board of directors declared a dividend on the Series A Preference Shares of $0.546875 per share, or $2,516 in the aggregate, payable on October 2, 2017 to holders of record as of September 29, 2017. GasLog paid the declared dividend to the transfer agent on September 29, 2017.</w:t>
      </w:r>
    </w:p>
    <w:p>
      <w:pPr>
        <w:sectPr>
          <w:pgSz w:w="11900" w:h="16901" w:orient="portrait"/>
          <w:cols w:equalWidth="0" w:num="1">
            <w:col w:w="11420"/>
          </w:cols>
          <w:pgMar w:left="240" w:top="126"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9600" w:type="dxa"/>
            <w:vAlign w:val="bottom"/>
          </w:tcPr>
          <w:p>
            <w:pPr>
              <w:spacing w:after="0"/>
              <w:rPr>
                <w:sz w:val="20"/>
                <w:szCs w:val="20"/>
                <w:color w:val="auto"/>
              </w:rPr>
            </w:pPr>
            <w:r>
              <w:rPr>
                <w:rFonts w:ascii="Arial" w:cs="Arial" w:eastAsia="Arial" w:hAnsi="Arial"/>
                <w:sz w:val="16"/>
                <w:szCs w:val="16"/>
                <w:b w:val="1"/>
                <w:bCs w:val="1"/>
                <w:color w:val="auto"/>
              </w:rPr>
              <w:t>12. Commitments and Contingencies</w:t>
            </w:r>
          </w:p>
        </w:tc>
        <w:tc>
          <w:tcPr>
            <w:tcW w:w="1820" w:type="dxa"/>
            <w:vAlign w:val="bottom"/>
          </w:tcPr>
          <w:p>
            <w:pPr>
              <w:spacing w:after="0"/>
              <w:rPr>
                <w:sz w:val="18"/>
                <w:szCs w:val="18"/>
                <w:color w:val="auto"/>
              </w:rPr>
            </w:pPr>
          </w:p>
        </w:tc>
      </w:tr>
      <w:tr>
        <w:trPr>
          <w:trHeight w:val="419"/>
        </w:trPr>
        <w:tc>
          <w:tcPr>
            <w:tcW w:w="9600" w:type="dxa"/>
            <w:vAlign w:val="bottom"/>
          </w:tcPr>
          <w:p>
            <w:pPr>
              <w:spacing w:after="0"/>
              <w:rPr>
                <w:sz w:val="20"/>
                <w:szCs w:val="20"/>
                <w:color w:val="auto"/>
              </w:rPr>
            </w:pPr>
            <w:r>
              <w:rPr>
                <w:rFonts w:ascii="Arial" w:cs="Arial" w:eastAsia="Arial" w:hAnsi="Arial"/>
                <w:sz w:val="16"/>
                <w:szCs w:val="16"/>
                <w:color w:val="auto"/>
              </w:rPr>
              <w:t>(a) As of September 30, 2017 the Group had the following commitments as lessee relating to buildings under operating leases:</w:t>
            </w:r>
          </w:p>
        </w:tc>
        <w:tc>
          <w:tcPr>
            <w:tcW w:w="1820" w:type="dxa"/>
            <w:vAlign w:val="bottom"/>
          </w:tcPr>
          <w:p>
            <w:pPr>
              <w:spacing w:after="0"/>
              <w:rPr>
                <w:sz w:val="24"/>
                <w:szCs w:val="24"/>
                <w:color w:val="auto"/>
              </w:rPr>
            </w:pPr>
          </w:p>
        </w:tc>
      </w:tr>
      <w:tr>
        <w:trPr>
          <w:trHeight w:val="422"/>
        </w:trPr>
        <w:tc>
          <w:tcPr>
            <w:tcW w:w="96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2017</w:t>
            </w:r>
          </w:p>
        </w:tc>
      </w:tr>
      <w:tr>
        <w:trPr>
          <w:trHeight w:val="199"/>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1,473</w:t>
            </w:r>
          </w:p>
        </w:tc>
      </w:tr>
      <w:tr>
        <w:trPr>
          <w:trHeight w:val="203"/>
        </w:trPr>
        <w:tc>
          <w:tcPr>
            <w:tcW w:w="960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20" w:type="dxa"/>
            <w:vAlign w:val="bottom"/>
          </w:tcPr>
          <w:p>
            <w:pPr>
              <w:jc w:val="right"/>
              <w:spacing w:after="0"/>
              <w:rPr>
                <w:sz w:val="20"/>
                <w:szCs w:val="20"/>
                <w:color w:val="auto"/>
              </w:rPr>
            </w:pPr>
            <w:r>
              <w:rPr>
                <w:rFonts w:ascii="Arial" w:cs="Arial" w:eastAsia="Arial" w:hAnsi="Arial"/>
                <w:sz w:val="16"/>
                <w:szCs w:val="16"/>
                <w:color w:val="auto"/>
              </w:rPr>
              <w:t>1,484</w:t>
            </w:r>
          </w:p>
        </w:tc>
      </w:tr>
      <w:tr>
        <w:trPr>
          <w:trHeight w:val="203"/>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606</w:t>
            </w:r>
          </w:p>
        </w:tc>
      </w:tr>
      <w:tr>
        <w:trPr>
          <w:trHeight w:val="203"/>
        </w:trPr>
        <w:tc>
          <w:tcPr>
            <w:tcW w:w="96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196"/>
        </w:trPr>
        <w:tc>
          <w:tcPr>
            <w:tcW w:w="96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3,737</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80" w:type="dxa"/>
            <w:vAlign w:val="bottom"/>
          </w:tcPr>
          <w:p>
            <w:pPr>
              <w:spacing w:after="0"/>
              <w:rPr>
                <w:sz w:val="20"/>
                <w:szCs w:val="20"/>
                <w:color w:val="auto"/>
              </w:rPr>
            </w:pPr>
            <w:r>
              <w:rPr>
                <w:rFonts w:ascii="Arial" w:cs="Arial" w:eastAsia="Arial" w:hAnsi="Arial"/>
                <w:sz w:val="16"/>
                <w:szCs w:val="16"/>
                <w:color w:val="auto"/>
              </w:rPr>
              <w:t>(b) Commitments relating to the vessels under construction (Note 5) as of September 30, 2017 were as follows:</w:t>
            </w:r>
          </w:p>
        </w:tc>
        <w:tc>
          <w:tcPr>
            <w:tcW w:w="1840" w:type="dxa"/>
            <w:vAlign w:val="bottom"/>
          </w:tcPr>
          <w:p>
            <w:pPr>
              <w:spacing w:after="0"/>
              <w:rPr>
                <w:sz w:val="17"/>
                <w:szCs w:val="17"/>
                <w:color w:val="auto"/>
              </w:rPr>
            </w:pPr>
          </w:p>
        </w:tc>
      </w:tr>
      <w:tr>
        <w:trPr>
          <w:trHeight w:val="422"/>
        </w:trPr>
        <w:tc>
          <w:tcPr>
            <w:tcW w:w="95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2017</w:t>
            </w:r>
          </w:p>
        </w:tc>
      </w:tr>
      <w:tr>
        <w:trPr>
          <w:trHeight w:val="199"/>
        </w:trPr>
        <w:tc>
          <w:tcPr>
            <w:tcW w:w="958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554,104</w:t>
            </w:r>
          </w:p>
        </w:tc>
      </w:tr>
      <w:tr>
        <w:trPr>
          <w:trHeight w:val="203"/>
        </w:trPr>
        <w:tc>
          <w:tcPr>
            <w:tcW w:w="95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347,002</w:t>
            </w:r>
          </w:p>
        </w:tc>
      </w:tr>
      <w:tr>
        <w:trPr>
          <w:trHeight w:val="196"/>
        </w:trPr>
        <w:tc>
          <w:tcPr>
            <w:tcW w:w="95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901,106</w:t>
            </w:r>
          </w:p>
        </w:tc>
      </w:tr>
      <w:tr>
        <w:trPr>
          <w:trHeight w:val="20"/>
        </w:trPr>
        <w:tc>
          <w:tcPr>
            <w:tcW w:w="95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80" w:firstLine="256"/>
        <w:spacing w:after="0" w:line="271" w:lineRule="auto"/>
        <w:rPr>
          <w:sz w:val="20"/>
          <w:szCs w:val="20"/>
          <w:color w:val="auto"/>
        </w:rPr>
      </w:pPr>
      <w:r>
        <w:rPr>
          <w:rFonts w:ascii="Arial" w:cs="Arial" w:eastAsia="Arial" w:hAnsi="Arial"/>
          <w:sz w:val="16"/>
          <w:szCs w:val="16"/>
          <w:color w:val="auto"/>
        </w:rPr>
        <w:t>Pursuant to a Heads of Agreement entered into by GAS-twenty two Ltd. and GAS-twenty three Ltd. with Methane Services Limited (“MSL”) on March 8, 2016, the GasLog entities declared their options with Samsung to install reliquefaction plants on board the vessels. MSL agreed to reimburse 50% of such cost per vessel, resulting in an aggregate commitment to pay $3,200 per vessel to GasLog after the installation has been completed. In the event the reliquefaction plants do not meet certain specified performance criteria during operation, GasLog will have a liability to pay a daily compensation amount per vessel which will in whole or in part be met by the liabilities of the manufacturers for failure to meet the specified performance criteria.</w:t>
      </w:r>
    </w:p>
    <w:p>
      <w:pPr>
        <w:spacing w:after="0" w:line="204" w:lineRule="exact"/>
        <w:rPr>
          <w:sz w:val="20"/>
          <w:szCs w:val="20"/>
          <w:color w:val="auto"/>
        </w:rPr>
      </w:pPr>
    </w:p>
    <w:p>
      <w:pPr>
        <w:ind w:left="260" w:right="360" w:hanging="252"/>
        <w:spacing w:after="0" w:line="286" w:lineRule="auto"/>
        <w:tabs>
          <w:tab w:leader="none" w:pos="270" w:val="left"/>
        </w:tabs>
        <w:numPr>
          <w:ilvl w:val="0"/>
          <w:numId w:val="17"/>
        </w:numPr>
        <w:rPr>
          <w:rFonts w:ascii="Arial" w:cs="Arial" w:eastAsia="Arial" w:hAnsi="Arial"/>
          <w:sz w:val="17"/>
          <w:szCs w:val="17"/>
          <w:color w:val="auto"/>
        </w:rPr>
      </w:pPr>
      <w:r>
        <w:rPr>
          <w:rFonts w:ascii="Arial" w:cs="Arial" w:eastAsia="Arial" w:hAnsi="Arial"/>
          <w:sz w:val="15"/>
          <w:szCs w:val="15"/>
          <w:color w:val="auto"/>
        </w:rPr>
        <w:t>Future gross minimum revenues receivable upon collection of hire under non-cancellable time charter agreements for vessels in operation, including a vessel under a finance lease (Note 6), as of September 30, 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2017</w:t>
            </w:r>
          </w:p>
        </w:tc>
      </w:tr>
      <w:tr>
        <w:trPr>
          <w:trHeight w:val="199"/>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463,994</w:t>
            </w:r>
          </w:p>
        </w:tc>
      </w:tr>
      <w:tr>
        <w:trPr>
          <w:trHeight w:val="203"/>
        </w:trPr>
        <w:tc>
          <w:tcPr>
            <w:tcW w:w="960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20" w:type="dxa"/>
            <w:vAlign w:val="bottom"/>
          </w:tcPr>
          <w:p>
            <w:pPr>
              <w:jc w:val="right"/>
              <w:spacing w:after="0"/>
              <w:rPr>
                <w:sz w:val="20"/>
                <w:szCs w:val="20"/>
                <w:color w:val="auto"/>
              </w:rPr>
            </w:pPr>
            <w:r>
              <w:rPr>
                <w:rFonts w:ascii="Arial" w:cs="Arial" w:eastAsia="Arial" w:hAnsi="Arial"/>
                <w:sz w:val="16"/>
                <w:szCs w:val="16"/>
                <w:color w:val="auto"/>
              </w:rPr>
              <w:t>697,871</w:t>
            </w:r>
          </w:p>
        </w:tc>
      </w:tr>
      <w:tr>
        <w:trPr>
          <w:trHeight w:val="203"/>
        </w:trPr>
        <w:tc>
          <w:tcPr>
            <w:tcW w:w="960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381,197</w:t>
            </w:r>
          </w:p>
        </w:tc>
      </w:tr>
      <w:tr>
        <w:trPr>
          <w:trHeight w:val="203"/>
        </w:trPr>
        <w:tc>
          <w:tcPr>
            <w:tcW w:w="96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432,015</w:t>
            </w:r>
          </w:p>
        </w:tc>
      </w:tr>
      <w:tr>
        <w:trPr>
          <w:trHeight w:val="196"/>
        </w:trPr>
        <w:tc>
          <w:tcPr>
            <w:tcW w:w="96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1,975,077</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Future gross minimum revenues disclosed in the above table excludes the revenues of the vessels that are under construction.</w:t>
      </w:r>
    </w:p>
    <w:p>
      <w:pPr>
        <w:spacing w:after="0" w:line="235" w:lineRule="exact"/>
        <w:rPr>
          <w:sz w:val="20"/>
          <w:szCs w:val="20"/>
          <w:color w:val="auto"/>
        </w:rPr>
      </w:pPr>
    </w:p>
    <w:p>
      <w:pPr>
        <w:ind w:left="260" w:right="240" w:hanging="252"/>
        <w:spacing w:after="0" w:line="278"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April and May 2017, GasLog LNG Services Ltd. entered into agreements in relation to certain investments in some of the Group’s vessels, with the aim of enhancing their operational performance. Commitments relating to these agreements, without including additional estimated costs for which no agreement had been signed as of September 30, 2017 are as follows:</w:t>
      </w:r>
    </w:p>
    <w:p>
      <w:pPr>
        <w:sectPr>
          <w:pgSz w:w="11900" w:h="16838" w:orient="portrait"/>
          <w:cols w:equalWidth="0" w:num="1">
            <w:col w:w="11420"/>
          </w:cols>
          <w:pgMar w:left="240" w:top="342" w:right="2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-6242685</wp:posOffset>
            </wp:positionH>
            <wp:positionV relativeFrom="paragraph">
              <wp:posOffset>20320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25,731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25,731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20320</wp:posOffset>
            </wp:positionV>
            <wp:extent cx="11576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37465</wp:posOffset>
            </wp:positionV>
            <wp:extent cx="11576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-116205</wp:posOffset>
            </wp:positionV>
            <wp:extent cx="11576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20" w:space="720"/>
            <w:col w:w="1580"/>
          </w:cols>
          <w:pgMar w:left="240" w:top="342" w:right="239" w:bottom="0" w:gutter="0" w:footer="0" w:header="0"/>
          <w:type w:val="continuous"/>
        </w:sectPr>
      </w:pPr>
    </w:p>
    <w:p>
      <w:pPr>
        <w:spacing w:after="0" w:line="66" w:lineRule="exact"/>
        <w:rPr>
          <w:sz w:val="20"/>
          <w:szCs w:val="20"/>
          <w:color w:val="auto"/>
        </w:rPr>
      </w:pPr>
    </w:p>
    <w:p>
      <w:pPr>
        <w:ind w:left="260" w:right="60" w:hanging="252"/>
        <w:spacing w:after="0" w:line="305" w:lineRule="auto"/>
        <w:tabs>
          <w:tab w:leader="none" w:pos="262"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Related to the acquisition of six vessels from a subsidiary of MSL in 2014 and another two vessels in 2015, the Group is committed to purchase depot spares from MSL with an aggregate value of $8,000 of which depot spares with value $660 have been purchased and paid as of September 30, 2017 and are included in Tangible fixed assets (Note 5). The remaining spares are expected to be acquired before the end of the initial term of the charter party agreements.</w:t>
      </w:r>
    </w:p>
    <w:p>
      <w:pPr>
        <w:spacing w:after="0" w:line="166" w:lineRule="exact"/>
        <w:rPr>
          <w:rFonts w:ascii="Arial" w:cs="Arial" w:eastAsia="Arial" w:hAnsi="Arial"/>
          <w:sz w:val="15"/>
          <w:szCs w:val="15"/>
          <w:color w:val="auto"/>
        </w:rPr>
      </w:pPr>
    </w:p>
    <w:p>
      <w:pPr>
        <w:ind w:left="260" w:right="20" w:hanging="252"/>
        <w:spacing w:after="0" w:line="273"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November 2, 2015, a letter agreement between GasLog and MSL was signed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September 30, 2017, the outstanding commitment is $1,354.</w:t>
      </w:r>
    </w:p>
    <w:p>
      <w:pPr>
        <w:spacing w:after="0" w:line="189" w:lineRule="exact"/>
        <w:rPr>
          <w:rFonts w:ascii="Arial" w:cs="Arial" w:eastAsia="Arial" w:hAnsi="Arial"/>
          <w:sz w:val="16"/>
          <w:szCs w:val="16"/>
          <w:color w:val="auto"/>
        </w:rPr>
      </w:pPr>
    </w:p>
    <w:p>
      <w:pPr>
        <w:ind w:left="260" w:right="20" w:hanging="252"/>
        <w:spacing w:after="0" w:line="297" w:lineRule="auto"/>
        <w:tabs>
          <w:tab w:leader="none" w:pos="261"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October 11, 2016, GasLog LNG Services Ltd. entered into an agreement whereby it has access to all long lead items (“LLIs”) necessary for the conversion of a GasLog LNG carrier vessel into a FSRU whereby such conversion work would be undertaken by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72" w:lineRule="exact"/>
        <w:rPr>
          <w:rFonts w:ascii="Arial" w:cs="Arial" w:eastAsia="Arial" w:hAnsi="Arial"/>
          <w:sz w:val="15"/>
          <w:szCs w:val="15"/>
          <w:color w:val="auto"/>
        </w:rPr>
      </w:pPr>
    </w:p>
    <w:p>
      <w:pPr>
        <w:ind w:left="260" w:hanging="252"/>
        <w:spacing w:after="0" w:line="293"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July 10, 2017, GasLog entered into an agreement with Keppel for the detailed engineering in relation to an FSRU conversion of one vessel. Commitment relating to this agreement as of September 30, 2017 is as follows:</w:t>
      </w:r>
    </w:p>
    <w:p>
      <w:pPr>
        <w:sectPr>
          <w:pgSz w:w="11900" w:h="16838" w:orient="portrait"/>
          <w:cols w:equalWidth="0" w:num="1">
            <w:col w:w="11420"/>
          </w:cols>
          <w:pgMar w:left="240" w:top="342" w:right="239"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-6242685</wp:posOffset>
            </wp:positionH>
            <wp:positionV relativeFrom="paragraph">
              <wp:posOffset>20320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6,817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20320</wp:posOffset>
            </wp:positionV>
            <wp:extent cx="11576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37465</wp:posOffset>
            </wp:positionV>
            <wp:extent cx="11576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-116205</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20" w:space="720"/>
            <w:col w:w="1580"/>
          </w:cols>
          <w:pgMar w:left="240" w:top="342" w:right="239" w:bottom="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right="240" w:hanging="252"/>
        <w:spacing w:after="0" w:line="335" w:lineRule="auto"/>
        <w:tabs>
          <w:tab w:leader="none" w:pos="282" w:val="left"/>
        </w:tabs>
        <w:numPr>
          <w:ilvl w:val="0"/>
          <w:numId w:val="20"/>
        </w:numPr>
        <w:rPr>
          <w:rFonts w:ascii="Arial" w:cs="Arial" w:eastAsia="Arial" w:hAnsi="Arial"/>
          <w:sz w:val="16"/>
          <w:szCs w:val="16"/>
          <w:color w:val="auto"/>
        </w:rPr>
      </w:pPr>
      <w:r>
        <w:rPr>
          <w:rFonts w:ascii="Arial" w:cs="Arial" w:eastAsia="Arial" w:hAnsi="Arial"/>
          <w:sz w:val="14"/>
          <w:szCs w:val="14"/>
          <w:color w:val="auto"/>
        </w:rPr>
        <w:t>In September 27, 2017 (and in addition to the existing seven maintenance agreements signed in 2014 in relation to GasLog vessels), GasLog LNG Services Ltd. entered into further maintenance agreements with Wartsila Greece S.A. (“Wartsila”) in respect of eight GasLog LNG carriers. The agreements cover the renewal of existing</w:t>
      </w:r>
    </w:p>
    <w:p>
      <w:pPr>
        <w:sectPr>
          <w:pgSz w:w="11900" w:h="16838" w:orient="portrait"/>
          <w:cols w:equalWidth="0" w:num="1">
            <w:col w:w="11420"/>
          </w:cols>
          <w:pgMar w:left="240" w:top="342" w:right="239" w:bottom="0" w:gutter="0" w:footer="0" w:header="0"/>
          <w:type w:val="continuous"/>
        </w:sectPr>
      </w:pPr>
    </w:p>
    <w:bookmarkStart w:id="29" w:name="page30"/>
    <w:bookmarkEnd w:id="29"/>
    <w:p>
      <w:pPr>
        <w:spacing w:after="0" w:line="139" w:lineRule="exact"/>
        <w:rPr>
          <w:sz w:val="20"/>
          <w:szCs w:val="20"/>
          <w:color w:val="auto"/>
        </w:rPr>
      </w:pPr>
    </w:p>
    <w:p>
      <w:pPr>
        <w:ind w:left="260" w:right="620"/>
        <w:spacing w:after="0" w:line="293" w:lineRule="auto"/>
        <w:rPr>
          <w:sz w:val="20"/>
          <w:szCs w:val="20"/>
          <w:color w:val="auto"/>
        </w:rPr>
      </w:pPr>
      <w:r>
        <w:rPr>
          <w:rFonts w:ascii="Arial" w:cs="Arial" w:eastAsia="Arial" w:hAnsi="Arial"/>
          <w:sz w:val="16"/>
          <w:szCs w:val="16"/>
          <w:color w:val="auto"/>
        </w:rPr>
        <w:t>maintenance agreements on four GasLog vessels and extends the servicing to a further four LNG carriers. The agreements ensure dynamic maintenance planning, technical support, security of spare parts supply, specialist technical personnel and performance monitoring.</w:t>
      </w:r>
    </w:p>
    <w:p>
      <w:pPr>
        <w:spacing w:after="0" w:line="104" w:lineRule="exact"/>
        <w:rPr>
          <w:sz w:val="20"/>
          <w:szCs w:val="20"/>
          <w:color w:val="auto"/>
        </w:rPr>
      </w:pPr>
    </w:p>
    <w:p>
      <w:pPr>
        <w:ind w:right="100" w:firstLine="25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gridSpan w:val="2"/>
          </w:tcPr>
          <w:p>
            <w:pPr>
              <w:spacing w:after="0"/>
              <w:rPr>
                <w:sz w:val="20"/>
                <w:szCs w:val="20"/>
                <w:color w:val="auto"/>
              </w:rPr>
            </w:pPr>
            <w:r>
              <w:rPr>
                <w:rFonts w:ascii="Arial" w:cs="Arial" w:eastAsia="Arial" w:hAnsi="Arial"/>
                <w:sz w:val="16"/>
                <w:szCs w:val="16"/>
                <w:b w:val="1"/>
                <w:bCs w:val="1"/>
                <w:color w:val="auto"/>
              </w:rPr>
              <w:t>13. Derivative Financial Instruments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200" w:type="dxa"/>
            <w:vAlign w:val="bottom"/>
            <w:gridSpan w:val="2"/>
          </w:tcPr>
          <w:p>
            <w:pPr>
              <w:ind w:left="380"/>
              <w:spacing w:after="0"/>
              <w:rPr>
                <w:sz w:val="20"/>
                <w:szCs w:val="20"/>
                <w:color w:val="auto"/>
              </w:rPr>
            </w:pPr>
            <w:r>
              <w:rPr>
                <w:rFonts w:ascii="Arial" w:cs="Arial" w:eastAsia="Arial" w:hAnsi="Arial"/>
                <w:sz w:val="16"/>
                <w:szCs w:val="16"/>
                <w:color w:val="auto"/>
              </w:rPr>
              <w:t>The fair value of the derivative assets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78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Derivatives designated and effective as hedging instruments carried at fair value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Cross currency swaps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7,286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7,856</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2,812</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78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7,938</w:t>
            </w:r>
          </w:p>
        </w:tc>
        <w:tc>
          <w:tcPr>
            <w:tcW w:w="2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15,307</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82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assets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w:t>
            </w: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2,709</w:t>
            </w:r>
          </w:p>
        </w:tc>
        <w:tc>
          <w:tcPr>
            <w:tcW w:w="1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assets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12,598</w:t>
            </w:r>
          </w:p>
        </w:tc>
        <w:tc>
          <w:tcPr>
            <w:tcW w:w="1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7,938</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15,307</w:t>
            </w:r>
          </w:p>
        </w:tc>
        <w:tc>
          <w:tcPr>
            <w:tcW w:w="1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340"/>
              <w:spacing w:after="0"/>
              <w:rPr>
                <w:sz w:val="20"/>
                <w:szCs w:val="20"/>
                <w:color w:val="auto"/>
              </w:rPr>
            </w:pPr>
            <w:r>
              <w:rPr>
                <w:rFonts w:ascii="Arial" w:cs="Arial" w:eastAsia="Arial" w:hAnsi="Arial"/>
                <w:sz w:val="16"/>
                <w:szCs w:val="16"/>
                <w:color w:val="auto"/>
              </w:rPr>
              <w:t>The fair value of the derivative liabilities is as follows: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2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78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Cross currency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24,279</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w:t>
            </w:r>
          </w:p>
        </w:tc>
        <w:tc>
          <w:tcPr>
            <w:tcW w:w="1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30,339</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4,495</w:t>
            </w:r>
          </w:p>
        </w:tc>
        <w:tc>
          <w:tcPr>
            <w:tcW w:w="1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2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liability</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782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7,854</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22,485</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30,339</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171" w:lineRule="exact"/>
        <w:rPr>
          <w:sz w:val="20"/>
          <w:szCs w:val="20"/>
          <w:color w:val="auto"/>
        </w:rPr>
      </w:pPr>
    </w:p>
    <w:p>
      <w:pPr>
        <w:jc w:val="both"/>
        <w:ind w:right="180" w:firstLine="356"/>
        <w:spacing w:after="0" w:line="335" w:lineRule="auto"/>
        <w:rPr>
          <w:sz w:val="20"/>
          <w:szCs w:val="20"/>
          <w:color w:val="auto"/>
        </w:rPr>
      </w:pPr>
      <w:r>
        <w:rPr>
          <w:rFonts w:ascii="Arial" w:cs="Arial" w:eastAsia="Arial" w:hAnsi="Arial"/>
          <w:sz w:val="14"/>
          <w:szCs w:val="14"/>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amounts based on the three-month U.S. dollar LIBOR, and the Group effects quarterly payments to the banks on the notional amounts at the respective fixed rates.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Termination</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Fixed Interest</w:t>
            </w:r>
          </w:p>
        </w:tc>
        <w:tc>
          <w:tcPr>
            <w:tcW w:w="1660" w:type="dxa"/>
            <w:vAlign w:val="bottom"/>
            <w:tcBorders>
              <w:top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r>
      <w:tr>
        <w:trPr>
          <w:trHeight w:val="213"/>
        </w:trPr>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Company</w:t>
            </w:r>
          </w:p>
        </w:tc>
        <w:tc>
          <w:tcPr>
            <w:tcW w:w="1800" w:type="dxa"/>
            <w:vAlign w:val="bottom"/>
            <w:gridSpan w:val="2"/>
          </w:tcPr>
          <w:p>
            <w:pPr>
              <w:ind w:left="380"/>
              <w:spacing w:after="0"/>
              <w:rPr>
                <w:sz w:val="20"/>
                <w:szCs w:val="20"/>
                <w:color w:val="auto"/>
              </w:rPr>
            </w:pPr>
            <w:r>
              <w:rPr>
                <w:rFonts w:ascii="Arial" w:cs="Arial" w:eastAsia="Arial" w:hAnsi="Arial"/>
                <w:sz w:val="16"/>
                <w:szCs w:val="16"/>
                <w:b w:val="1"/>
                <w:bCs w:val="1"/>
                <w:color w:val="auto"/>
              </w:rPr>
              <w:t>Counterparty</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r>
      <w:tr>
        <w:trPr>
          <w:trHeight w:val="199"/>
        </w:trPr>
        <w:tc>
          <w:tcPr>
            <w:tcW w:w="1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0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1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2016</w:t>
            </w: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0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Deutsche Bank AG</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DNB Bank ASA</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1.784%</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DNB Bank ASA</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1.729%</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DNB Bank ASA</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1.719%</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193"/>
        </w:trPr>
        <w:tc>
          <w:tcPr>
            <w:tcW w:w="136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 Bank Plc.</w:t>
            </w:r>
          </w:p>
        </w:tc>
        <w:tc>
          <w:tcPr>
            <w:tcW w:w="9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2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1.896%</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8"/>
                <w:szCs w:val="18"/>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1.818%</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203"/>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1.79%</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193"/>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Nordea Bank AB,</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London Branch</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(“Nordea”)</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1.905%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66,667</w:t>
            </w:r>
          </w:p>
        </w:tc>
      </w:tr>
      <w:tr>
        <w:trPr>
          <w:trHeight w:val="209"/>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1.84%</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8"/>
                <w:szCs w:val="18"/>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Nordea</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1.815%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193"/>
        </w:trPr>
        <w:tc>
          <w:tcPr>
            <w:tcW w:w="136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Skandinavinska Enskilda</w:t>
            </w:r>
          </w:p>
        </w:tc>
        <w:tc>
          <w:tcPr>
            <w:tcW w:w="9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2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Banken AB (“SEB”)</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1.928%</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8"/>
                <w:szCs w:val="18"/>
                <w:color w:val="auto"/>
              </w:rPr>
            </w:pPr>
          </w:p>
        </w:tc>
      </w:tr>
      <w:tr>
        <w:trPr>
          <w:trHeight w:val="203"/>
        </w:trPr>
        <w:tc>
          <w:tcPr>
            <w:tcW w:w="148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SEB</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1.8405%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48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1.814%</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480" w:type="dxa"/>
            <w:vAlign w:val="bottom"/>
            <w:gridSpan w:val="3"/>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(1)</w:t>
            </w:r>
          </w:p>
        </w:tc>
        <w:tc>
          <w:tcPr>
            <w:tcW w:w="1800" w:type="dxa"/>
            <w:vAlign w:val="bottom"/>
            <w:gridSpan w:val="2"/>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2.005%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3"/>
        </w:trPr>
        <w:tc>
          <w:tcPr>
            <w:tcW w:w="1480" w:type="dxa"/>
            <w:vAlign w:val="bottom"/>
            <w:gridSpan w:val="3"/>
            <w:shd w:val="clear" w:color="auto" w:fill="E5FFFF"/>
          </w:tcPr>
          <w:p>
            <w:pPr>
              <w:spacing w:after="0" w:line="20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(1)</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4"/>
              </w:rPr>
              <w:t>Mar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2.0145%</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193"/>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ABN Amro Bank NV</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480" w:type="dxa"/>
            <w:vAlign w:val="bottom"/>
            <w:gridSpan w:val="3"/>
          </w:tcPr>
          <w:p>
            <w:pPr>
              <w:spacing w:after="0" w:line="213" w:lineRule="exact"/>
              <w:rPr>
                <w:sz w:val="20"/>
                <w:szCs w:val="20"/>
                <w:color w:val="auto"/>
              </w:rPr>
            </w:pPr>
            <w:r>
              <w:rPr>
                <w:rFonts w:ascii="Arial" w:cs="Arial" w:eastAsia="Arial" w:hAnsi="Arial"/>
                <w:sz w:val="16"/>
                <w:szCs w:val="16"/>
                <w:color w:val="auto"/>
              </w:rPr>
              <w:t xml:space="preserve">GasLog </w:t>
            </w:r>
            <w:r>
              <w:rPr>
                <w:rFonts w:ascii="Arial" w:cs="Arial" w:eastAsia="Arial" w:hAnsi="Arial"/>
                <w:sz w:val="21"/>
                <w:szCs w:val="21"/>
                <w:color w:val="auto"/>
                <w:vertAlign w:val="superscript"/>
              </w:rPr>
              <w:t>(1)</w:t>
            </w:r>
          </w:p>
        </w:tc>
        <w:tc>
          <w:tcPr>
            <w:tcW w:w="1800" w:type="dxa"/>
            <w:vAlign w:val="bottom"/>
            <w:gridSpan w:val="2"/>
          </w:tcPr>
          <w:p>
            <w:pPr>
              <w:spacing w:after="0"/>
              <w:rPr>
                <w:sz w:val="20"/>
                <w:szCs w:val="20"/>
                <w:color w:val="auto"/>
              </w:rPr>
            </w:pPr>
            <w:r>
              <w:rPr>
                <w:rFonts w:ascii="Arial" w:cs="Arial" w:eastAsia="Arial" w:hAnsi="Arial"/>
                <w:sz w:val="16"/>
                <w:szCs w:val="16"/>
                <w:color w:val="auto"/>
              </w:rPr>
              <w:t>(“ABN”)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Mar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2.003%</w:t>
            </w: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100,000</w:t>
            </w:r>
          </w:p>
        </w:tc>
      </w:tr>
      <w:tr>
        <w:trPr>
          <w:trHeight w:val="196"/>
        </w:trPr>
        <w:tc>
          <w:tcPr>
            <w:tcW w:w="136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9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06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870,000</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5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 February 2017, GasLog entered into new interest rate swap agreements with a notional amount of $300,000 in aggregate, maturing in 2022.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77"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firstLine="436"/>
        <w:spacing w:after="0" w:line="369" w:lineRule="auto"/>
        <w:rPr>
          <w:sz w:val="20"/>
          <w:szCs w:val="20"/>
          <w:color w:val="auto"/>
        </w:rPr>
      </w:pPr>
      <w:r>
        <w:rPr>
          <w:rFonts w:ascii="Arial" w:cs="Arial" w:eastAsia="Arial" w:hAnsi="Arial"/>
          <w:sz w:val="14"/>
          <w:szCs w:val="14"/>
          <w:color w:val="auto"/>
        </w:rPr>
        <w:t>The derivative instruments listed above were not designated as cash flow hedging instruments. The change in the fair value of these contracts for the three and nine months ended September 30, 2017 amounted to a net gain of $2,444 and net loss of $696, respectively (for the three and nine months ended September 30, 2016: a net loss of</w:t>
      </w:r>
    </w:p>
    <w:p>
      <w:pPr>
        <w:sectPr>
          <w:pgSz w:w="11900" w:h="16977" w:orient="portrait"/>
          <w:cols w:equalWidth="0" w:num="1">
            <w:col w:w="11420"/>
          </w:cols>
          <w:pgMar w:left="240" w:top="130" w:right="239" w:bottom="0" w:gutter="0" w:footer="0" w:header="0"/>
          <w:type w:val="continuous"/>
        </w:sectPr>
      </w:pPr>
    </w:p>
    <w:bookmarkStart w:id="30" w:name="page31"/>
    <w:bookmarkEnd w:id="30"/>
    <w:p>
      <w:pPr>
        <w:ind w:right="100"/>
        <w:spacing w:after="0" w:line="273" w:lineRule="auto"/>
        <w:rPr>
          <w:sz w:val="20"/>
          <w:szCs w:val="20"/>
          <w:color w:val="auto"/>
        </w:rPr>
      </w:pPr>
      <w:r>
        <w:rPr>
          <w:rFonts w:ascii="Arial" w:cs="Arial" w:eastAsia="Arial" w:hAnsi="Arial"/>
          <w:sz w:val="16"/>
          <w:szCs w:val="16"/>
          <w:color w:val="auto"/>
        </w:rPr>
        <w:t>$133 and $9,642, respectively), which was recognized against profit or loss in the period incurred and is included in Loss/gain on swaps. During the three and nine months ended September 30, 2017, the net gain of $2,444 and a net loss of $696 derived mainly from the fact that the LIBOR yield curve, which was used to calculate the present value of the estimated future cash flows, was higher/lower, respectively than the agreed fixed interest rates resulting in a decrease/increase in derivative liabilities from interest rate swaps held for trading.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 (“CCS”)</w:t>
      </w:r>
    </w:p>
    <w:p>
      <w:pPr>
        <w:spacing w:after="0" w:line="239"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The Group enters into CCS which convert the floating interest rate exposure and the variability of the USD functional currency equivalent cash flows into a fixed interest rate and principal on maturity, in order to hedge the Group’s exposure to fluctuations deriving from its NOK Bonds.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 designated as cash flow hedging instruments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4"/>
          </w:tcPr>
          <w:p>
            <w:pPr>
              <w:ind w:left="78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Effective</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Termination</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Fixed Interest</w:t>
            </w: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r>
      <w:tr>
        <w:trPr>
          <w:trHeight w:val="213"/>
        </w:trPr>
        <w:tc>
          <w:tcPr>
            <w:tcW w:w="142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940" w:type="dxa"/>
            <w:vAlign w:val="bottom"/>
            <w:gridSpan w:val="2"/>
          </w:tcPr>
          <w:p>
            <w:pPr>
              <w:ind w:left="340"/>
              <w:spacing w:after="0"/>
              <w:rPr>
                <w:sz w:val="20"/>
                <w:szCs w:val="20"/>
                <w:color w:val="auto"/>
              </w:rPr>
            </w:pPr>
            <w:r>
              <w:rPr>
                <w:rFonts w:ascii="Arial" w:cs="Arial" w:eastAsia="Arial" w:hAnsi="Arial"/>
                <w:sz w:val="16"/>
                <w:szCs w:val="16"/>
                <w:b w:val="1"/>
                <w:bCs w:val="1"/>
                <w:color w:val="auto"/>
              </w:rPr>
              <w:t>Counterparty</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Trade Date</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Date</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Rate</w:t>
            </w: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r>
      <w:tr>
        <w:trPr>
          <w:trHeight w:val="199"/>
        </w:trPr>
        <w:tc>
          <w:tcPr>
            <w:tcW w:w="1140" w:type="dxa"/>
            <w:vAlign w:val="bottom"/>
            <w:tcBorders>
              <w:top w:val="single" w:sz="8" w:color="auto"/>
            </w:tcBorders>
            <w:shd w:val="clear" w:color="auto" w:fill="E5FFFF"/>
          </w:tcPr>
          <w:p>
            <w:pPr>
              <w:spacing w:after="0" w:line="199"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28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DNB Bank ASA</w:t>
            </w:r>
          </w:p>
        </w:tc>
        <w:tc>
          <w:tcPr>
            <w:tcW w:w="3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7"/>
              </w:rPr>
              <w:t>April 2014</w:t>
            </w:r>
          </w:p>
        </w:tc>
        <w:tc>
          <w:tcPr>
            <w:tcW w:w="2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May 2014</w:t>
            </w:r>
          </w:p>
        </w:tc>
        <w:tc>
          <w:tcPr>
            <w:tcW w:w="24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June 2018</w:t>
            </w:r>
          </w:p>
        </w:tc>
        <w:tc>
          <w:tcPr>
            <w:tcW w:w="2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5.99%</w:t>
            </w:r>
          </w:p>
        </w:tc>
        <w:tc>
          <w:tcPr>
            <w:tcW w:w="2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22,965</w:t>
            </w:r>
          </w:p>
        </w:tc>
        <w:tc>
          <w:tcPr>
            <w:tcW w:w="3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40" w:type="dxa"/>
            <w:vAlign w:val="bottom"/>
            <w:gridSpan w:val="2"/>
          </w:tcPr>
          <w:p>
            <w:pPr>
              <w:spacing w:after="0"/>
              <w:rPr>
                <w:sz w:val="20"/>
                <w:szCs w:val="20"/>
                <w:color w:val="auto"/>
              </w:rPr>
            </w:pPr>
            <w:r>
              <w:rPr>
                <w:rFonts w:ascii="Arial" w:cs="Arial" w:eastAsia="Arial" w:hAnsi="Arial"/>
                <w:sz w:val="16"/>
                <w:szCs w:val="16"/>
                <w:color w:val="auto"/>
              </w:rPr>
              <w:t>SEB</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April 2014</w:t>
            </w: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May 2014</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June 2018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5.99%</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22,965</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142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19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w:t>
            </w:r>
          </w:p>
        </w:tc>
        <w:tc>
          <w:tcPr>
            <w:tcW w:w="138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7"/>
              </w:rPr>
              <w:t>April 2014</w:t>
            </w:r>
          </w:p>
        </w:tc>
        <w:tc>
          <w:tcPr>
            <w:tcW w:w="11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93"/>
              </w:rPr>
              <w:t>May 2014</w:t>
            </w:r>
          </w:p>
        </w:tc>
        <w:tc>
          <w:tcPr>
            <w:tcW w:w="13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June 2018</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5.99%</w:t>
            </w:r>
          </w:p>
        </w:tc>
        <w:tc>
          <w:tcPr>
            <w:tcW w:w="20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22,965</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14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940" w:type="dxa"/>
            <w:vAlign w:val="bottom"/>
            <w:gridSpan w:val="2"/>
          </w:tcPr>
          <w:p>
            <w:pPr>
              <w:spacing w:after="0"/>
              <w:rPr>
                <w:sz w:val="20"/>
                <w:szCs w:val="20"/>
                <w:color w:val="auto"/>
              </w:rPr>
            </w:pPr>
            <w:r>
              <w:rPr>
                <w:rFonts w:ascii="Arial" w:cs="Arial" w:eastAsia="Arial" w:hAnsi="Arial"/>
                <w:sz w:val="16"/>
                <w:szCs w:val="16"/>
                <w:color w:val="auto"/>
              </w:rPr>
              <w:t>DNB Bank ASA</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June 2016</w:t>
            </w: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June 2016</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8.59%</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30,050</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14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38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June 2016</w:t>
            </w:r>
          </w:p>
        </w:tc>
        <w:tc>
          <w:tcPr>
            <w:tcW w:w="1120" w:type="dxa"/>
            <w:vAlign w:val="bottom"/>
            <w:gridSpan w:val="2"/>
            <w:shd w:val="clear" w:color="auto" w:fill="E5FFFF"/>
          </w:tcPr>
          <w:p>
            <w:pPr>
              <w:jc w:val="center"/>
              <w:ind w:right="260"/>
              <w:spacing w:after="0"/>
              <w:rPr>
                <w:sz w:val="20"/>
                <w:szCs w:val="20"/>
                <w:color w:val="auto"/>
              </w:rPr>
            </w:pPr>
            <w:r>
              <w:rPr>
                <w:rFonts w:ascii="Arial" w:cs="Arial" w:eastAsia="Arial" w:hAnsi="Arial"/>
                <w:sz w:val="16"/>
                <w:szCs w:val="16"/>
                <w:color w:val="auto"/>
                <w:w w:val="88"/>
              </w:rPr>
              <w:t>June 2016</w:t>
            </w:r>
          </w:p>
        </w:tc>
        <w:tc>
          <w:tcPr>
            <w:tcW w:w="13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8.59%</w:t>
            </w:r>
          </w:p>
        </w:tc>
        <w:tc>
          <w:tcPr>
            <w:tcW w:w="20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3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203"/>
        </w:trPr>
        <w:tc>
          <w:tcPr>
            <w:tcW w:w="142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GasLog</w:t>
            </w:r>
          </w:p>
        </w:tc>
        <w:tc>
          <w:tcPr>
            <w:tcW w:w="194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Nordea</w:t>
            </w:r>
          </w:p>
        </w:tc>
        <w:tc>
          <w:tcPr>
            <w:tcW w:w="1380" w:type="dxa"/>
            <w:vAlign w:val="bottom"/>
            <w:tcBorders>
              <w:bottom w:val="single" w:sz="8" w:color="E5FFFF"/>
            </w:tcBorders>
            <w:gridSpan w:val="2"/>
          </w:tcPr>
          <w:p>
            <w:pPr>
              <w:jc w:val="center"/>
              <w:ind w:right="240"/>
              <w:spacing w:after="0"/>
              <w:rPr>
                <w:sz w:val="20"/>
                <w:szCs w:val="20"/>
                <w:color w:val="auto"/>
              </w:rPr>
            </w:pPr>
            <w:r>
              <w:rPr>
                <w:rFonts w:ascii="Arial" w:cs="Arial" w:eastAsia="Arial" w:hAnsi="Arial"/>
                <w:sz w:val="16"/>
                <w:szCs w:val="16"/>
                <w:color w:val="auto"/>
                <w:w w:val="88"/>
              </w:rPr>
              <w:t>June 2016</w:t>
            </w:r>
          </w:p>
        </w:tc>
        <w:tc>
          <w:tcPr>
            <w:tcW w:w="1120" w:type="dxa"/>
            <w:vAlign w:val="bottom"/>
            <w:tcBorders>
              <w:bottom w:val="single" w:sz="8" w:color="E5FFFF"/>
            </w:tcBorders>
            <w:gridSpan w:val="2"/>
          </w:tcPr>
          <w:p>
            <w:pPr>
              <w:jc w:val="center"/>
              <w:ind w:right="260"/>
              <w:spacing w:after="0"/>
              <w:rPr>
                <w:sz w:val="20"/>
                <w:szCs w:val="20"/>
                <w:color w:val="auto"/>
              </w:rPr>
            </w:pPr>
            <w:r>
              <w:rPr>
                <w:rFonts w:ascii="Arial" w:cs="Arial" w:eastAsia="Arial" w:hAnsi="Arial"/>
                <w:sz w:val="16"/>
                <w:szCs w:val="16"/>
                <w:color w:val="auto"/>
                <w:w w:val="88"/>
              </w:rPr>
              <w:t>June 2016</w:t>
            </w:r>
          </w:p>
        </w:tc>
        <w:tc>
          <w:tcPr>
            <w:tcW w:w="1340" w:type="dxa"/>
            <w:vAlign w:val="bottom"/>
            <w:tcBorders>
              <w:bottom w:val="single" w:sz="8" w:color="E5FFFF"/>
            </w:tcBorders>
            <w:gridSpan w:val="2"/>
          </w:tcPr>
          <w:p>
            <w:pPr>
              <w:jc w:val="center"/>
              <w:ind w:right="240"/>
              <w:spacing w:after="0"/>
              <w:rPr>
                <w:sz w:val="20"/>
                <w:szCs w:val="20"/>
                <w:color w:val="auto"/>
              </w:rPr>
            </w:pPr>
            <w:r>
              <w:rPr>
                <w:rFonts w:ascii="Arial" w:cs="Arial" w:eastAsia="Arial" w:hAnsi="Arial"/>
                <w:sz w:val="16"/>
                <w:szCs w:val="16"/>
                <w:color w:val="auto"/>
                <w:w w:val="93"/>
              </w:rPr>
              <w:t>May 2021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8.59%</w:t>
            </w:r>
          </w:p>
        </w:tc>
        <w:tc>
          <w:tcPr>
            <w:tcW w:w="20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300" w:type="dxa"/>
            <w:vAlign w:val="bottom"/>
            <w:tcBorders>
              <w:bottom w:val="single" w:sz="8" w:color="E5FF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r>
      <w:tr>
        <w:trPr>
          <w:trHeight w:val="196"/>
        </w:trPr>
        <w:tc>
          <w:tcPr>
            <w:tcW w:w="11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62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88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8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159,045</w:t>
            </w:r>
          </w:p>
        </w:tc>
        <w:tc>
          <w:tcPr>
            <w:tcW w:w="30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90,150</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883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right="100" w:hanging="332"/>
        <w:spacing w:after="0" w:line="215" w:lineRule="auto"/>
        <w:tabs>
          <w:tab w:leader="none" w:pos="337"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On June 27, 2017, GasLog terminated the first three CCS agreements by paying their fair value of $20,603 on that date. The cumulative loss of $0 and $4,368 from the period that hedging was effective was recycled to profit or loss during the three and nine months ended September 30, 2017.</w:t>
      </w:r>
    </w:p>
    <w:p>
      <w:pPr>
        <w:spacing w:after="0" w:line="200" w:lineRule="exact"/>
        <w:rPr>
          <w:sz w:val="20"/>
          <w:szCs w:val="20"/>
          <w:color w:val="auto"/>
        </w:rPr>
      </w:pPr>
    </w:p>
    <w:p>
      <w:pPr>
        <w:spacing w:after="0" w:line="209" w:lineRule="exact"/>
        <w:rPr>
          <w:sz w:val="20"/>
          <w:szCs w:val="20"/>
          <w:color w:val="auto"/>
        </w:rPr>
      </w:pPr>
    </w:p>
    <w:p>
      <w:pPr>
        <w:ind w:right="240" w:firstLine="356"/>
        <w:spacing w:after="0" w:line="291" w:lineRule="auto"/>
        <w:rPr>
          <w:sz w:val="20"/>
          <w:szCs w:val="20"/>
          <w:color w:val="auto"/>
        </w:rPr>
      </w:pPr>
      <w:r>
        <w:rPr>
          <w:rFonts w:ascii="Arial" w:cs="Arial" w:eastAsia="Arial" w:hAnsi="Arial"/>
          <w:sz w:val="15"/>
          <w:szCs w:val="15"/>
          <w:color w:val="auto"/>
        </w:rPr>
        <w:t>For the three and nine months ended September 30, 2017, the effective portion of changes in the fair value of CCS amounting to a gain of $6,438 and $10,146 has been recognized in Other comprehensive income (for the three and nine months ended September 30, 2016: a gain of $10,271 and $9,889). For the three and nine months ended September 30, 2017, a gain of $97 and a loss of $430 was recycled to profit or loss representing the realized loss on CCS in relation to the interest expense component of the hedge (for the three and nine months ended September 30, 2016: a loss of $394 and $2,067, respectively). Additionally, for the three and nine months ended September 30, 2017, a loss of $4,900 and a loss of $8,416, was recognized in Other comprehensive income in relation to the retranslation of the NOK Bonds in U.S. dollars as of September 30, 2017 (for the three and nine months ended September 30, 2016: a loss of $6,152 and a loss of $11,147,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83"/>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0"/>
              </w:rPr>
              <w:t>Fixed</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Exchange Rate</w:t>
            </w:r>
          </w:p>
        </w:tc>
        <w:tc>
          <w:tcPr>
            <w:tcW w:w="214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w w:val="90"/>
              </w:rPr>
              <w:t>Total Exchange Amount</w:t>
            </w:r>
          </w:p>
        </w:tc>
        <w:tc>
          <w:tcPr>
            <w:tcW w:w="0" w:type="dxa"/>
            <w:vAlign w:val="bottom"/>
          </w:tcPr>
          <w:p>
            <w:pPr>
              <w:spacing w:after="0"/>
              <w:rPr>
                <w:sz w:val="1"/>
                <w:szCs w:val="1"/>
                <w:color w:val="auto"/>
              </w:rPr>
            </w:pPr>
          </w:p>
        </w:tc>
      </w:tr>
      <w:tr>
        <w:trPr>
          <w:trHeight w:val="176"/>
        </w:trPr>
        <w:tc>
          <w:tcPr>
            <w:tcW w:w="12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Company</w:t>
            </w:r>
          </w:p>
        </w:tc>
        <w:tc>
          <w:tcPr>
            <w:tcW w:w="1420" w:type="dxa"/>
            <w:vAlign w:val="bottom"/>
            <w:gridSpan w:val="4"/>
          </w:tcPr>
          <w:p>
            <w:pPr>
              <w:jc w:val="center"/>
              <w:ind w:right="300"/>
              <w:spacing w:after="0" w:line="176" w:lineRule="exact"/>
              <w:rPr>
                <w:sz w:val="20"/>
                <w:szCs w:val="20"/>
                <w:color w:val="auto"/>
              </w:rPr>
            </w:pPr>
            <w:r>
              <w:rPr>
                <w:rFonts w:ascii="Arial" w:cs="Arial" w:eastAsia="Arial" w:hAnsi="Arial"/>
                <w:sz w:val="16"/>
                <w:szCs w:val="16"/>
                <w:b w:val="1"/>
                <w:bCs w:val="1"/>
                <w:color w:val="auto"/>
                <w:w w:val="95"/>
              </w:rPr>
              <w:t>Counterparty</w:t>
            </w:r>
          </w:p>
        </w:tc>
        <w:tc>
          <w:tcPr>
            <w:tcW w:w="150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122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88"/>
              </w:rPr>
              <w:t>contracts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ind w:left="200"/>
              <w:spacing w:after="0" w:line="176" w:lineRule="exact"/>
              <w:rPr>
                <w:sz w:val="20"/>
                <w:szCs w:val="20"/>
                <w:color w:val="auto"/>
              </w:rPr>
            </w:pPr>
            <w:r>
              <w:rPr>
                <w:rFonts w:ascii="Arial" w:cs="Arial" w:eastAsia="Arial" w:hAnsi="Arial"/>
                <w:sz w:val="16"/>
                <w:szCs w:val="16"/>
                <w:b w:val="1"/>
                <w:bCs w:val="1"/>
                <w:color w:val="auto"/>
              </w:rPr>
              <w:t>Settlement Dates</w:t>
            </w:r>
          </w:p>
        </w:tc>
        <w:tc>
          <w:tcPr>
            <w:tcW w:w="160" w:type="dxa"/>
            <w:vAlign w:val="bottom"/>
          </w:tcPr>
          <w:p>
            <w:pPr>
              <w:spacing w:after="0"/>
              <w:rPr>
                <w:sz w:val="15"/>
                <w:szCs w:val="15"/>
                <w:color w:val="auto"/>
              </w:rPr>
            </w:pPr>
          </w:p>
        </w:tc>
        <w:tc>
          <w:tcPr>
            <w:tcW w:w="1620" w:type="dxa"/>
            <w:vAlign w:val="bottom"/>
            <w:gridSpan w:val="4"/>
          </w:tcPr>
          <w:p>
            <w:pPr>
              <w:jc w:val="center"/>
              <w:ind w:right="640"/>
              <w:spacing w:after="0" w:line="176" w:lineRule="exact"/>
              <w:rPr>
                <w:sz w:val="20"/>
                <w:szCs w:val="20"/>
                <w:color w:val="auto"/>
              </w:rPr>
            </w:pPr>
            <w:r>
              <w:rPr>
                <w:rFonts w:ascii="Arial" w:cs="Arial" w:eastAsia="Arial" w:hAnsi="Arial"/>
                <w:sz w:val="16"/>
                <w:szCs w:val="16"/>
                <w:b w:val="1"/>
                <w:bCs w:val="1"/>
                <w:color w:val="auto"/>
                <w:w w:val="98"/>
              </w:rPr>
              <w:t>(USD/GBP)</w:t>
            </w:r>
          </w:p>
        </w:tc>
        <w:tc>
          <w:tcPr>
            <w:tcW w:w="200" w:type="dxa"/>
            <w:vAlign w:val="bottom"/>
          </w:tcPr>
          <w:p>
            <w:pPr>
              <w:spacing w:after="0"/>
              <w:rPr>
                <w:sz w:val="15"/>
                <w:szCs w:val="15"/>
                <w:color w:val="auto"/>
              </w:rPr>
            </w:pPr>
          </w:p>
        </w:tc>
        <w:tc>
          <w:tcPr>
            <w:tcW w:w="1940" w:type="dxa"/>
            <w:vAlign w:val="bottom"/>
            <w:gridSpan w:val="3"/>
          </w:tcPr>
          <w:p>
            <w:pPr>
              <w:ind w:left="160"/>
              <w:spacing w:after="0" w:line="176"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
        </w:trPr>
        <w:tc>
          <w:tcPr>
            <w:tcW w:w="680" w:type="dxa"/>
            <w:vAlign w:val="bottom"/>
            <w:tcBorders>
              <w:top w:val="single" w:sz="8" w:color="auto"/>
              <w:bottom w:val="single" w:sz="8" w:color="E5FFFF"/>
            </w:tcBorders>
          </w:tcPr>
          <w:p>
            <w:pPr>
              <w:spacing w:after="0" w:line="20" w:lineRule="exact"/>
              <w:rPr>
                <w:sz w:val="1"/>
                <w:szCs w:val="1"/>
                <w:color w:val="auto"/>
              </w:rPr>
            </w:pPr>
          </w:p>
        </w:tc>
        <w:tc>
          <w:tcPr>
            <w:tcW w:w="480" w:type="dxa"/>
            <w:vAlign w:val="bottom"/>
            <w:tcBorders>
              <w:bottom w:val="single" w:sz="8" w:color="E5FFFF"/>
            </w:tcBorders>
          </w:tcPr>
          <w:p>
            <w:pPr>
              <w:spacing w:after="0" w:line="20" w:lineRule="exact"/>
              <w:rPr>
                <w:sz w:val="1"/>
                <w:szCs w:val="1"/>
                <w:color w:val="auto"/>
              </w:rPr>
            </w:pPr>
          </w:p>
        </w:tc>
        <w:tc>
          <w:tcPr>
            <w:tcW w:w="60" w:type="dxa"/>
            <w:vAlign w:val="bottom"/>
            <w:tcBorders>
              <w:bottom w:val="single" w:sz="8" w:color="E5FF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6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SEB</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December 2016</w:t>
            </w: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359"/>
              <w:spacing w:after="0"/>
              <w:rPr>
                <w:sz w:val="20"/>
                <w:szCs w:val="20"/>
                <w:color w:val="auto"/>
              </w:rPr>
            </w:pPr>
            <w:r>
              <w:rPr>
                <w:rFonts w:ascii="Arial" w:cs="Arial" w:eastAsia="Arial" w:hAnsi="Arial"/>
                <w:sz w:val="16"/>
                <w:szCs w:val="16"/>
                <w:color w:val="auto"/>
              </w:rPr>
              <w:t>3</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9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October-December 2017</w:t>
            </w:r>
          </w:p>
        </w:tc>
        <w:tc>
          <w:tcPr>
            <w:tcW w:w="180" w:type="dxa"/>
            <w:vAlign w:val="bottom"/>
            <w:shd w:val="clear" w:color="auto" w:fill="E5FFFF"/>
          </w:tcPr>
          <w:p>
            <w:pPr>
              <w:spacing w:after="0"/>
              <w:rPr>
                <w:sz w:val="17"/>
                <w:szCs w:val="17"/>
                <w:color w:val="auto"/>
              </w:rPr>
            </w:pPr>
          </w:p>
        </w:tc>
        <w:tc>
          <w:tcPr>
            <w:tcW w:w="13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1.2541</w:t>
            </w: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8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tcPr>
          <w:p>
            <w:pPr>
              <w:jc w:val="center"/>
              <w:ind w:right="320"/>
              <w:spacing w:after="0"/>
              <w:rPr>
                <w:sz w:val="20"/>
                <w:szCs w:val="20"/>
                <w:color w:val="auto"/>
              </w:rPr>
            </w:pPr>
            <w:r>
              <w:rPr>
                <w:rFonts w:ascii="Arial" w:cs="Arial" w:eastAsia="Arial" w:hAnsi="Arial"/>
                <w:sz w:val="16"/>
                <w:szCs w:val="16"/>
                <w:color w:val="auto"/>
                <w:w w:val="93"/>
              </w:rPr>
              <w:t>SEB</w:t>
            </w:r>
          </w:p>
        </w:tc>
        <w:tc>
          <w:tcPr>
            <w:tcW w:w="1500" w:type="dxa"/>
            <w:vAlign w:val="bottom"/>
            <w:gridSpan w:val="3"/>
          </w:tcPr>
          <w:p>
            <w:pPr>
              <w:jc w:val="center"/>
              <w:ind w:right="300"/>
              <w:spacing w:after="0"/>
              <w:rPr>
                <w:sz w:val="20"/>
                <w:szCs w:val="20"/>
                <w:color w:val="auto"/>
              </w:rPr>
            </w:pPr>
            <w:r>
              <w:rPr>
                <w:rFonts w:ascii="Arial" w:cs="Arial" w:eastAsia="Arial" w:hAnsi="Arial"/>
                <w:sz w:val="16"/>
                <w:szCs w:val="16"/>
                <w:color w:val="auto"/>
                <w:w w:val="93"/>
              </w:rPr>
              <w:t>August 2017</w:t>
            </w:r>
          </w:p>
        </w:tc>
        <w:tc>
          <w:tcPr>
            <w:tcW w:w="940" w:type="dxa"/>
            <w:vAlign w:val="bottom"/>
            <w:gridSpan w:val="2"/>
          </w:tcPr>
          <w:p>
            <w:pPr>
              <w:jc w:val="right"/>
              <w:ind w:right="319"/>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gridSpan w:val="3"/>
          </w:tcPr>
          <w:p>
            <w:pPr>
              <w:ind w:left="180"/>
              <w:spacing w:after="0"/>
              <w:rPr>
                <w:sz w:val="20"/>
                <w:szCs w:val="20"/>
                <w:color w:val="auto"/>
              </w:rPr>
            </w:pPr>
            <w:r>
              <w:rPr>
                <w:rFonts w:ascii="Arial" w:cs="Arial" w:eastAsia="Arial" w:hAnsi="Arial"/>
                <w:sz w:val="16"/>
                <w:szCs w:val="16"/>
                <w:color w:val="auto"/>
              </w:rPr>
              <w:t>January-December 2018</w:t>
            </w:r>
          </w:p>
        </w:tc>
        <w:tc>
          <w:tcPr>
            <w:tcW w:w="1600" w:type="dxa"/>
            <w:vAlign w:val="bottom"/>
            <w:gridSpan w:val="4"/>
          </w:tcPr>
          <w:p>
            <w:pPr>
              <w:jc w:val="right"/>
              <w:ind w:right="280"/>
              <w:spacing w:after="0"/>
              <w:rPr>
                <w:sz w:val="20"/>
                <w:szCs w:val="20"/>
                <w:color w:val="auto"/>
              </w:rPr>
            </w:pPr>
            <w:r>
              <w:rPr>
                <w:rFonts w:ascii="Arial" w:cs="Arial" w:eastAsia="Arial" w:hAnsi="Arial"/>
                <w:sz w:val="16"/>
                <w:szCs w:val="16"/>
                <w:color w:val="auto"/>
              </w:rPr>
              <w:t>1.3042</w:t>
            </w: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£3,600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480" w:type="dxa"/>
            <w:vAlign w:val="bottom"/>
            <w:tcBorders>
              <w:top w:val="single" w:sz="8" w:color="E5FFFF"/>
              <w:bottom w:val="single" w:sz="8" w:color="E5FFFF"/>
            </w:tcBorders>
            <w:shd w:val="clear" w:color="auto" w:fill="E5FFFF"/>
          </w:tcPr>
          <w:p>
            <w:pPr>
              <w:spacing w:after="0"/>
              <w:rPr>
                <w:sz w:val="17"/>
                <w:szCs w:val="17"/>
                <w:color w:val="auto"/>
              </w:rPr>
            </w:pP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11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74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78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shd w:val="clear" w:color="auto" w:fill="E5FFFF"/>
          </w:tcPr>
          <w:p>
            <w:pPr>
              <w:jc w:val="center"/>
              <w:ind w:right="239"/>
              <w:spacing w:after="0"/>
              <w:rPr>
                <w:sz w:val="20"/>
                <w:szCs w:val="20"/>
                <w:color w:val="auto"/>
              </w:rPr>
            </w:pPr>
            <w:r>
              <w:rPr>
                <w:rFonts w:ascii="Arial" w:cs="Arial" w:eastAsia="Arial" w:hAnsi="Arial"/>
                <w:sz w:val="16"/>
                <w:szCs w:val="16"/>
                <w:b w:val="1"/>
                <w:bCs w:val="1"/>
                <w:color w:val="auto"/>
                <w:w w:val="88"/>
              </w:rPr>
              <w:t>Total</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18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£4,800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vMerge w:val="restart"/>
          </w:tcPr>
          <w:p>
            <w:pPr>
              <w:ind w:left="160"/>
              <w:spacing w:after="0"/>
              <w:rPr>
                <w:sz w:val="20"/>
                <w:szCs w:val="20"/>
                <w:color w:val="auto"/>
              </w:rPr>
            </w:pPr>
            <w:r>
              <w:rPr>
                <w:rFonts w:ascii="Arial" w:cs="Arial" w:eastAsia="Arial" w:hAnsi="Arial"/>
                <w:sz w:val="18"/>
                <w:szCs w:val="18"/>
                <w:color w:val="auto"/>
              </w:rPr>
              <w:t>F-17</w:t>
            </w: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gridSpan w:val="3"/>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53"/>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Fixed</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Exchange Rate</w:t>
            </w:r>
          </w:p>
        </w:tc>
        <w:tc>
          <w:tcPr>
            <w:tcW w:w="200" w:type="dxa"/>
            <w:vAlign w:val="bottom"/>
          </w:tcPr>
          <w:p>
            <w:pPr>
              <w:spacing w:after="0"/>
              <w:rPr>
                <w:sz w:val="17"/>
                <w:szCs w:val="17"/>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Total Exchange</w:t>
            </w:r>
          </w:p>
        </w:tc>
        <w:tc>
          <w:tcPr>
            <w:tcW w:w="0" w:type="dxa"/>
            <w:vAlign w:val="bottom"/>
          </w:tcPr>
          <w:p>
            <w:pPr>
              <w:spacing w:after="0"/>
              <w:rPr>
                <w:sz w:val="1"/>
                <w:szCs w:val="1"/>
                <w:color w:val="auto"/>
              </w:rPr>
            </w:pPr>
          </w:p>
        </w:tc>
      </w:tr>
      <w:tr>
        <w:trPr>
          <w:trHeight w:val="176"/>
        </w:trPr>
        <w:tc>
          <w:tcPr>
            <w:tcW w:w="12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Company</w:t>
            </w:r>
          </w:p>
        </w:tc>
        <w:tc>
          <w:tcPr>
            <w:tcW w:w="1420" w:type="dxa"/>
            <w:vAlign w:val="bottom"/>
            <w:gridSpan w:val="4"/>
          </w:tcPr>
          <w:p>
            <w:pPr>
              <w:jc w:val="center"/>
              <w:ind w:right="280"/>
              <w:spacing w:after="0" w:line="176" w:lineRule="exact"/>
              <w:rPr>
                <w:sz w:val="20"/>
                <w:szCs w:val="20"/>
                <w:color w:val="auto"/>
              </w:rPr>
            </w:pPr>
            <w:r>
              <w:rPr>
                <w:rFonts w:ascii="Arial" w:cs="Arial" w:eastAsia="Arial" w:hAnsi="Arial"/>
                <w:sz w:val="16"/>
                <w:szCs w:val="16"/>
                <w:b w:val="1"/>
                <w:bCs w:val="1"/>
                <w:color w:val="auto"/>
                <w:w w:val="93"/>
              </w:rPr>
              <w:t>Counterparty</w:t>
            </w:r>
          </w:p>
        </w:tc>
        <w:tc>
          <w:tcPr>
            <w:tcW w:w="1500" w:type="dxa"/>
            <w:vAlign w:val="bottom"/>
            <w:gridSpan w:val="3"/>
          </w:tcPr>
          <w:p>
            <w:pPr>
              <w:jc w:val="center"/>
              <w:ind w:right="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2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contracts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left="59"/>
              <w:spacing w:after="0" w:line="176" w:lineRule="exact"/>
              <w:rPr>
                <w:sz w:val="20"/>
                <w:szCs w:val="20"/>
                <w:color w:val="auto"/>
              </w:rPr>
            </w:pPr>
            <w:r>
              <w:rPr>
                <w:rFonts w:ascii="Arial" w:cs="Arial" w:eastAsia="Arial" w:hAnsi="Arial"/>
                <w:sz w:val="16"/>
                <w:szCs w:val="16"/>
                <w:b w:val="1"/>
                <w:bCs w:val="1"/>
                <w:color w:val="auto"/>
                <w:w w:val="90"/>
              </w:rPr>
              <w:t>Settlement Dates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20"/>
              <w:spacing w:after="0" w:line="176" w:lineRule="exact"/>
              <w:rPr>
                <w:sz w:val="20"/>
                <w:szCs w:val="20"/>
                <w:color w:val="auto"/>
              </w:rPr>
            </w:pPr>
            <w:r>
              <w:rPr>
                <w:rFonts w:ascii="Arial" w:cs="Arial" w:eastAsia="Arial" w:hAnsi="Arial"/>
                <w:sz w:val="16"/>
                <w:szCs w:val="16"/>
                <w:b w:val="1"/>
                <w:bCs w:val="1"/>
                <w:color w:val="auto"/>
                <w:w w:val="99"/>
              </w:rPr>
              <w:t>(USD/EUR)</w:t>
            </w:r>
          </w:p>
        </w:tc>
        <w:tc>
          <w:tcPr>
            <w:tcW w:w="200" w:type="dxa"/>
            <w:vAlign w:val="bottom"/>
          </w:tcPr>
          <w:p>
            <w:pPr>
              <w:spacing w:after="0"/>
              <w:rPr>
                <w:sz w:val="15"/>
                <w:szCs w:val="15"/>
                <w:color w:val="auto"/>
              </w:rPr>
            </w:pPr>
          </w:p>
        </w:tc>
        <w:tc>
          <w:tcPr>
            <w:tcW w:w="1940" w:type="dxa"/>
            <w:vAlign w:val="bottom"/>
            <w:gridSpan w:val="3"/>
          </w:tcPr>
          <w:p>
            <w:pPr>
              <w:ind w:left="160"/>
              <w:spacing w:after="0" w:line="176" w:lineRule="exact"/>
              <w:rPr>
                <w:sz w:val="20"/>
                <w:szCs w:val="20"/>
                <w:color w:val="auto"/>
              </w:rPr>
            </w:pPr>
            <w:r>
              <w:rPr>
                <w:rFonts w:ascii="Arial" w:cs="Arial" w:eastAsia="Arial" w:hAnsi="Arial"/>
                <w:sz w:val="16"/>
                <w:szCs w:val="16"/>
                <w:b w:val="1"/>
                <w:bCs w:val="1"/>
                <w:color w:val="auto"/>
              </w:rPr>
              <w:t>Amount (in thousands)</w:t>
            </w:r>
          </w:p>
        </w:tc>
        <w:tc>
          <w:tcPr>
            <w:tcW w:w="0" w:type="dxa"/>
            <w:vAlign w:val="bottom"/>
          </w:tcPr>
          <w:p>
            <w:pPr>
              <w:spacing w:after="0"/>
              <w:rPr>
                <w:sz w:val="1"/>
                <w:szCs w:val="1"/>
                <w:color w:val="auto"/>
              </w:rPr>
            </w:pPr>
          </w:p>
        </w:tc>
      </w:tr>
      <w:tr>
        <w:trPr>
          <w:trHeight w:val="21"/>
        </w:trPr>
        <w:tc>
          <w:tcPr>
            <w:tcW w:w="680" w:type="dxa"/>
            <w:vAlign w:val="bottom"/>
            <w:tcBorders>
              <w:top w:val="single" w:sz="8" w:color="auto"/>
              <w:bottom w:val="single" w:sz="8" w:color="E5FFFF"/>
            </w:tcBorders>
          </w:tcPr>
          <w:p>
            <w:pPr>
              <w:spacing w:after="0" w:line="20" w:lineRule="exact"/>
              <w:rPr>
                <w:sz w:val="1"/>
                <w:szCs w:val="1"/>
                <w:color w:val="auto"/>
              </w:rPr>
            </w:pPr>
          </w:p>
        </w:tc>
        <w:tc>
          <w:tcPr>
            <w:tcW w:w="480" w:type="dxa"/>
            <w:vAlign w:val="bottom"/>
            <w:tcBorders>
              <w:bottom w:val="single" w:sz="8" w:color="E5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5FF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1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94"/>
              </w:rPr>
              <w:t>HSBC</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center"/>
              <w:ind w:right="40"/>
              <w:spacing w:after="0"/>
              <w:rPr>
                <w:sz w:val="20"/>
                <w:szCs w:val="20"/>
                <w:color w:val="auto"/>
              </w:rPr>
            </w:pPr>
            <w:r>
              <w:rPr>
                <w:rFonts w:ascii="Arial" w:cs="Arial" w:eastAsia="Arial" w:hAnsi="Arial"/>
                <w:sz w:val="16"/>
                <w:szCs w:val="16"/>
                <w:color w:val="auto"/>
                <w:w w:val="91"/>
              </w:rPr>
              <w:t>December 2016</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center"/>
              <w:ind w:left="219"/>
              <w:spacing w:after="0"/>
              <w:rPr>
                <w:sz w:val="20"/>
                <w:szCs w:val="20"/>
                <w:color w:val="auto"/>
              </w:rPr>
            </w:pPr>
            <w:r>
              <w:rPr>
                <w:rFonts w:ascii="Arial" w:cs="Arial" w:eastAsia="Arial" w:hAnsi="Arial"/>
                <w:sz w:val="16"/>
                <w:szCs w:val="16"/>
                <w:color w:val="auto"/>
                <w:w w:val="89"/>
              </w:rPr>
              <w:t>3</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90"/>
              </w:rPr>
              <w:t>October-December 2017</w:t>
            </w: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1.0542</w:t>
            </w:r>
          </w:p>
        </w:tc>
        <w:tc>
          <w:tcPr>
            <w:tcW w:w="20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tcPr>
          <w:p>
            <w:pPr>
              <w:jc w:val="center"/>
              <w:ind w:right="280"/>
              <w:spacing w:after="0"/>
              <w:rPr>
                <w:sz w:val="20"/>
                <w:szCs w:val="20"/>
                <w:color w:val="auto"/>
              </w:rPr>
            </w:pPr>
            <w:r>
              <w:rPr>
                <w:rFonts w:ascii="Arial" w:cs="Arial" w:eastAsia="Arial" w:hAnsi="Arial"/>
                <w:sz w:val="16"/>
                <w:szCs w:val="16"/>
                <w:color w:val="auto"/>
                <w:w w:val="87"/>
              </w:rPr>
              <w:t>Nordea</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940" w:type="dxa"/>
            <w:vAlign w:val="bottom"/>
            <w:gridSpan w:val="2"/>
          </w:tcPr>
          <w:p>
            <w:pPr>
              <w:jc w:val="center"/>
              <w:ind w:left="419"/>
              <w:spacing w:after="0"/>
              <w:rPr>
                <w:sz w:val="20"/>
                <w:szCs w:val="20"/>
                <w:color w:val="auto"/>
              </w:rPr>
            </w:pPr>
            <w:r>
              <w:rPr>
                <w:rFonts w:ascii="Arial" w:cs="Arial" w:eastAsia="Arial" w:hAnsi="Arial"/>
                <w:sz w:val="16"/>
                <w:szCs w:val="16"/>
                <w:color w:val="auto"/>
                <w:w w:val="89"/>
              </w:rPr>
              <w:t>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left="79"/>
              <w:spacing w:after="0"/>
              <w:rPr>
                <w:sz w:val="20"/>
                <w:szCs w:val="20"/>
                <w:color w:val="auto"/>
              </w:rPr>
            </w:pPr>
            <w:r>
              <w:rPr>
                <w:rFonts w:ascii="Arial" w:cs="Arial" w:eastAsia="Arial" w:hAnsi="Arial"/>
                <w:sz w:val="16"/>
                <w:szCs w:val="16"/>
                <w:color w:val="auto"/>
                <w:w w:val="90"/>
              </w:rPr>
              <w:t>October-December 2017</w:t>
            </w:r>
          </w:p>
        </w:tc>
        <w:tc>
          <w:tcPr>
            <w:tcW w:w="1780" w:type="dxa"/>
            <w:vAlign w:val="bottom"/>
            <w:gridSpan w:val="5"/>
          </w:tcPr>
          <w:p>
            <w:pPr>
              <w:jc w:val="right"/>
              <w:spacing w:after="0"/>
              <w:rPr>
                <w:sz w:val="20"/>
                <w:szCs w:val="20"/>
                <w:color w:val="auto"/>
              </w:rPr>
            </w:pPr>
            <w:r>
              <w:rPr>
                <w:rFonts w:ascii="Arial" w:cs="Arial" w:eastAsia="Arial" w:hAnsi="Arial"/>
                <w:sz w:val="16"/>
                <w:szCs w:val="16"/>
                <w:color w:val="auto"/>
              </w:rPr>
              <w:t>1.0562</w:t>
            </w:r>
          </w:p>
        </w:tc>
        <w:tc>
          <w:tcPr>
            <w:tcW w:w="20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shd w:val="clear" w:color="auto" w:fill="E5FFFF"/>
          </w:tcPr>
          <w:p>
            <w:pPr>
              <w:jc w:val="center"/>
              <w:ind w:right="280"/>
              <w:spacing w:after="0"/>
              <w:rPr>
                <w:sz w:val="20"/>
                <w:szCs w:val="20"/>
                <w:color w:val="auto"/>
              </w:rPr>
            </w:pPr>
            <w:r>
              <w:rPr>
                <w:rFonts w:ascii="Arial" w:cs="Arial" w:eastAsia="Arial" w:hAnsi="Arial"/>
                <w:sz w:val="16"/>
                <w:szCs w:val="16"/>
                <w:color w:val="auto"/>
                <w:w w:val="93"/>
              </w:rPr>
              <w:t>SEB</w:t>
            </w:r>
          </w:p>
        </w:tc>
        <w:tc>
          <w:tcPr>
            <w:tcW w:w="150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940" w:type="dxa"/>
            <w:vAlign w:val="bottom"/>
            <w:gridSpan w:val="2"/>
            <w:shd w:val="clear" w:color="auto" w:fill="E5FFFF"/>
          </w:tcPr>
          <w:p>
            <w:pPr>
              <w:jc w:val="center"/>
              <w:ind w:left="419"/>
              <w:spacing w:after="0"/>
              <w:rPr>
                <w:sz w:val="20"/>
                <w:szCs w:val="20"/>
                <w:color w:val="auto"/>
              </w:rPr>
            </w:pPr>
            <w:r>
              <w:rPr>
                <w:rFonts w:ascii="Arial" w:cs="Arial" w:eastAsia="Arial" w:hAnsi="Arial"/>
                <w:sz w:val="16"/>
                <w:szCs w:val="16"/>
                <w:color w:val="auto"/>
                <w:w w:val="89"/>
              </w:rPr>
              <w:t>3</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90"/>
              </w:rPr>
              <w:t>October-December 2017</w:t>
            </w:r>
          </w:p>
        </w:tc>
        <w:tc>
          <w:tcPr>
            <w:tcW w:w="178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1.0541</w:t>
            </w:r>
          </w:p>
        </w:tc>
        <w:tc>
          <w:tcPr>
            <w:tcW w:w="20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center"/>
              <w:ind w:left="79"/>
              <w:spacing w:after="0"/>
              <w:rPr>
                <w:sz w:val="20"/>
                <w:szCs w:val="20"/>
                <w:color w:val="auto"/>
              </w:rPr>
            </w:pPr>
            <w:r>
              <w:rPr>
                <w:rFonts w:ascii="Arial" w:cs="Arial" w:eastAsia="Arial" w:hAnsi="Arial"/>
                <w:sz w:val="16"/>
                <w:szCs w:val="16"/>
                <w:color w:val="auto"/>
                <w:w w:val="90"/>
              </w:rPr>
              <w:t>October-December 2017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tcPr>
          <w:p>
            <w:pPr>
              <w:jc w:val="center"/>
              <w:ind w:right="280"/>
              <w:spacing w:after="0"/>
              <w:rPr>
                <w:sz w:val="20"/>
                <w:szCs w:val="20"/>
                <w:color w:val="auto"/>
              </w:rPr>
            </w:pPr>
            <w:r>
              <w:rPr>
                <w:rFonts w:ascii="Arial" w:cs="Arial" w:eastAsia="Arial" w:hAnsi="Arial"/>
                <w:sz w:val="16"/>
                <w:szCs w:val="16"/>
                <w:color w:val="auto"/>
                <w:w w:val="94"/>
              </w:rPr>
              <w:t>HSBC</w:t>
            </w:r>
          </w:p>
        </w:tc>
        <w:tc>
          <w:tcPr>
            <w:tcW w:w="1500" w:type="dxa"/>
            <w:vAlign w:val="bottom"/>
            <w:gridSpan w:val="3"/>
          </w:tcPr>
          <w:p>
            <w:pPr>
              <w:jc w:val="center"/>
              <w:ind w:right="80"/>
              <w:spacing w:after="0"/>
              <w:rPr>
                <w:sz w:val="20"/>
                <w:szCs w:val="20"/>
                <w:color w:val="auto"/>
              </w:rPr>
            </w:pPr>
            <w:r>
              <w:rPr>
                <w:rFonts w:ascii="Arial" w:cs="Arial" w:eastAsia="Arial" w:hAnsi="Arial"/>
                <w:sz w:val="16"/>
                <w:szCs w:val="16"/>
                <w:color w:val="auto"/>
                <w:w w:val="88"/>
              </w:rPr>
              <w:t>June 2017</w:t>
            </w:r>
          </w:p>
        </w:tc>
        <w:tc>
          <w:tcPr>
            <w:tcW w:w="940" w:type="dxa"/>
            <w:vAlign w:val="bottom"/>
            <w:gridSpan w:val="2"/>
          </w:tcPr>
          <w:p>
            <w:pPr>
              <w:jc w:val="center"/>
              <w:ind w:left="419"/>
              <w:spacing w:after="0"/>
              <w:rPr>
                <w:sz w:val="20"/>
                <w:szCs w:val="20"/>
                <w:color w:val="auto"/>
              </w:rPr>
            </w:pPr>
            <w:r>
              <w:rPr>
                <w:rFonts w:ascii="Arial" w:cs="Arial" w:eastAsia="Arial" w:hAnsi="Arial"/>
                <w:sz w:val="16"/>
                <w:szCs w:val="16"/>
                <w:color w:val="auto"/>
                <w:w w:val="89"/>
              </w:rPr>
              <w:t>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January-June 2018</w:t>
            </w:r>
          </w:p>
        </w:tc>
        <w:tc>
          <w:tcPr>
            <w:tcW w:w="1780" w:type="dxa"/>
            <w:vAlign w:val="bottom"/>
            <w:gridSpan w:val="5"/>
          </w:tcPr>
          <w:p>
            <w:pPr>
              <w:jc w:val="right"/>
              <w:spacing w:after="0"/>
              <w:rPr>
                <w:sz w:val="20"/>
                <w:szCs w:val="20"/>
                <w:color w:val="auto"/>
              </w:rPr>
            </w:pPr>
            <w:r>
              <w:rPr>
                <w:rFonts w:ascii="Arial" w:cs="Arial" w:eastAsia="Arial" w:hAnsi="Arial"/>
                <w:sz w:val="16"/>
                <w:szCs w:val="16"/>
                <w:color w:val="auto"/>
              </w:rPr>
              <w:t>1.1297</w:t>
            </w:r>
          </w:p>
        </w:tc>
        <w:tc>
          <w:tcPr>
            <w:tcW w:w="20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96"/>
        </w:trPr>
        <w:tc>
          <w:tcPr>
            <w:tcW w:w="6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90"/>
              </w:rPr>
              <w:t>October-December 2017</w:t>
            </w: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shd w:val="clear" w:color="auto" w:fill="E5FFFF"/>
          </w:tcPr>
          <w:p>
            <w:pPr>
              <w:jc w:val="center"/>
              <w:ind w:right="280"/>
              <w:spacing w:after="0"/>
              <w:rPr>
                <w:sz w:val="20"/>
                <w:szCs w:val="20"/>
                <w:color w:val="auto"/>
              </w:rPr>
            </w:pPr>
            <w:r>
              <w:rPr>
                <w:rFonts w:ascii="Arial" w:cs="Arial" w:eastAsia="Arial" w:hAnsi="Arial"/>
                <w:sz w:val="16"/>
                <w:szCs w:val="16"/>
                <w:color w:val="auto"/>
              </w:rPr>
              <w:t>ABN</w:t>
            </w:r>
          </w:p>
        </w:tc>
        <w:tc>
          <w:tcPr>
            <w:tcW w:w="1500" w:type="dxa"/>
            <w:vAlign w:val="bottom"/>
            <w:gridSpan w:val="3"/>
            <w:shd w:val="clear" w:color="auto" w:fill="E5FFFF"/>
          </w:tcPr>
          <w:p>
            <w:pPr>
              <w:jc w:val="center"/>
              <w:ind w:right="80"/>
              <w:spacing w:after="0"/>
              <w:rPr>
                <w:sz w:val="20"/>
                <w:szCs w:val="20"/>
                <w:color w:val="auto"/>
              </w:rPr>
            </w:pPr>
            <w:r>
              <w:rPr>
                <w:rFonts w:ascii="Arial" w:cs="Arial" w:eastAsia="Arial" w:hAnsi="Arial"/>
                <w:sz w:val="16"/>
                <w:szCs w:val="16"/>
                <w:color w:val="auto"/>
                <w:w w:val="88"/>
              </w:rPr>
              <w:t>June 2017</w:t>
            </w:r>
          </w:p>
        </w:tc>
        <w:tc>
          <w:tcPr>
            <w:tcW w:w="940" w:type="dxa"/>
            <w:vAlign w:val="bottom"/>
            <w:gridSpan w:val="2"/>
            <w:shd w:val="clear" w:color="auto" w:fill="E5FFFF"/>
          </w:tcPr>
          <w:p>
            <w:pPr>
              <w:jc w:val="center"/>
              <w:ind w:left="419"/>
              <w:spacing w:after="0"/>
              <w:rPr>
                <w:sz w:val="20"/>
                <w:szCs w:val="20"/>
                <w:color w:val="auto"/>
              </w:rPr>
            </w:pPr>
            <w:r>
              <w:rPr>
                <w:rFonts w:ascii="Arial" w:cs="Arial" w:eastAsia="Arial" w:hAnsi="Arial"/>
                <w:sz w:val="16"/>
                <w:szCs w:val="16"/>
                <w:color w:val="auto"/>
                <w:w w:val="89"/>
              </w:rPr>
              <w:t>9</w:t>
            </w: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center"/>
              <w:ind w:left="59"/>
              <w:spacing w:after="0"/>
              <w:rPr>
                <w:sz w:val="20"/>
                <w:szCs w:val="20"/>
                <w:color w:val="auto"/>
              </w:rPr>
            </w:pPr>
            <w:r>
              <w:rPr>
                <w:rFonts w:ascii="Arial" w:cs="Arial" w:eastAsia="Arial" w:hAnsi="Arial"/>
                <w:sz w:val="16"/>
                <w:szCs w:val="16"/>
                <w:color w:val="auto"/>
                <w:w w:val="89"/>
              </w:rPr>
              <w:t>January-June 2018</w:t>
            </w:r>
          </w:p>
        </w:tc>
        <w:tc>
          <w:tcPr>
            <w:tcW w:w="178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1.1291</w:t>
            </w:r>
          </w:p>
        </w:tc>
        <w:tc>
          <w:tcPr>
            <w:tcW w:w="200" w:type="dxa"/>
            <w:vAlign w:val="bottom"/>
            <w:shd w:val="clear" w:color="auto" w:fill="E5FFFF"/>
          </w:tcPr>
          <w:p>
            <w:pPr>
              <w:spacing w:after="0"/>
              <w:rPr>
                <w:sz w:val="18"/>
                <w:szCs w:val="18"/>
                <w:color w:val="auto"/>
              </w:rPr>
            </w:pP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tcPr>
          <w:p>
            <w:pPr>
              <w:jc w:val="center"/>
              <w:ind w:right="280"/>
              <w:spacing w:after="0"/>
              <w:rPr>
                <w:sz w:val="20"/>
                <w:szCs w:val="20"/>
                <w:color w:val="auto"/>
              </w:rPr>
            </w:pPr>
            <w:r>
              <w:rPr>
                <w:rFonts w:ascii="Arial" w:cs="Arial" w:eastAsia="Arial" w:hAnsi="Arial"/>
                <w:sz w:val="16"/>
                <w:szCs w:val="16"/>
                <w:color w:val="auto"/>
                <w:w w:val="87"/>
              </w:rPr>
              <w:t>Nordea</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July 2017</w:t>
            </w:r>
          </w:p>
        </w:tc>
        <w:tc>
          <w:tcPr>
            <w:tcW w:w="940" w:type="dxa"/>
            <w:vAlign w:val="bottom"/>
            <w:gridSpan w:val="2"/>
          </w:tcPr>
          <w:p>
            <w:pPr>
              <w:jc w:val="center"/>
              <w:ind w:left="419"/>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January-June 2018</w:t>
            </w:r>
          </w:p>
        </w:tc>
        <w:tc>
          <w:tcPr>
            <w:tcW w:w="1780" w:type="dxa"/>
            <w:vAlign w:val="bottom"/>
            <w:gridSpan w:val="5"/>
          </w:tcPr>
          <w:p>
            <w:pPr>
              <w:jc w:val="right"/>
              <w:spacing w:after="0"/>
              <w:rPr>
                <w:sz w:val="20"/>
                <w:szCs w:val="20"/>
                <w:color w:val="auto"/>
              </w:rPr>
            </w:pPr>
            <w:r>
              <w:rPr>
                <w:rFonts w:ascii="Arial" w:cs="Arial" w:eastAsia="Arial" w:hAnsi="Arial"/>
                <w:sz w:val="16"/>
                <w:szCs w:val="16"/>
                <w:color w:val="auto"/>
              </w:rPr>
              <w:t>1.1817</w:t>
            </w:r>
          </w:p>
        </w:tc>
        <w:tc>
          <w:tcPr>
            <w:tcW w:w="20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shd w:val="clear" w:color="auto" w:fill="E5FFFF"/>
          </w:tcPr>
          <w:p>
            <w:pPr>
              <w:jc w:val="center"/>
              <w:ind w:right="280"/>
              <w:spacing w:after="0"/>
              <w:rPr>
                <w:sz w:val="20"/>
                <w:szCs w:val="20"/>
                <w:color w:val="auto"/>
              </w:rPr>
            </w:pPr>
            <w:r>
              <w:rPr>
                <w:rFonts w:ascii="Arial" w:cs="Arial" w:eastAsia="Arial" w:hAnsi="Arial"/>
                <w:sz w:val="16"/>
                <w:szCs w:val="16"/>
                <w:color w:val="auto"/>
                <w:w w:val="93"/>
              </w:rPr>
              <w:t>SEB</w:t>
            </w:r>
          </w:p>
        </w:tc>
        <w:tc>
          <w:tcPr>
            <w:tcW w:w="150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2017</w:t>
            </w:r>
          </w:p>
        </w:tc>
        <w:tc>
          <w:tcPr>
            <w:tcW w:w="940" w:type="dxa"/>
            <w:vAlign w:val="bottom"/>
            <w:gridSpan w:val="2"/>
            <w:shd w:val="clear" w:color="auto" w:fill="E5FFFF"/>
          </w:tcPr>
          <w:p>
            <w:pPr>
              <w:jc w:val="center"/>
              <w:ind w:left="419"/>
              <w:spacing w:after="0"/>
              <w:rPr>
                <w:sz w:val="20"/>
                <w:szCs w:val="20"/>
                <w:color w:val="auto"/>
              </w:rPr>
            </w:pPr>
            <w:r>
              <w:rPr>
                <w:rFonts w:ascii="Arial" w:cs="Arial" w:eastAsia="Arial" w:hAnsi="Arial"/>
                <w:sz w:val="16"/>
                <w:szCs w:val="16"/>
                <w:color w:val="auto"/>
                <w:w w:val="89"/>
              </w:rPr>
              <w:t>6</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center"/>
              <w:ind w:left="59"/>
              <w:spacing w:after="0"/>
              <w:rPr>
                <w:sz w:val="20"/>
                <w:szCs w:val="20"/>
                <w:color w:val="auto"/>
              </w:rPr>
            </w:pPr>
            <w:r>
              <w:rPr>
                <w:rFonts w:ascii="Arial" w:cs="Arial" w:eastAsia="Arial" w:hAnsi="Arial"/>
                <w:sz w:val="16"/>
                <w:szCs w:val="16"/>
                <w:color w:val="auto"/>
                <w:w w:val="89"/>
              </w:rPr>
              <w:t>January-June 2018</w:t>
            </w:r>
          </w:p>
        </w:tc>
        <w:tc>
          <w:tcPr>
            <w:tcW w:w="178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1.1816</w:t>
            </w:r>
          </w:p>
        </w:tc>
        <w:tc>
          <w:tcPr>
            <w:tcW w:w="20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tcPr>
          <w:p>
            <w:pPr>
              <w:jc w:val="center"/>
              <w:ind w:right="280"/>
              <w:spacing w:after="0"/>
              <w:rPr>
                <w:sz w:val="20"/>
                <w:szCs w:val="20"/>
                <w:color w:val="auto"/>
              </w:rPr>
            </w:pPr>
            <w:r>
              <w:rPr>
                <w:rFonts w:ascii="Arial" w:cs="Arial" w:eastAsia="Arial" w:hAnsi="Arial"/>
                <w:sz w:val="16"/>
                <w:szCs w:val="16"/>
                <w:color w:val="auto"/>
                <w:w w:val="87"/>
              </w:rPr>
              <w:t>Nordea</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3"/>
              </w:rPr>
              <w:t>August 2017</w:t>
            </w:r>
          </w:p>
        </w:tc>
        <w:tc>
          <w:tcPr>
            <w:tcW w:w="940" w:type="dxa"/>
            <w:vAlign w:val="bottom"/>
            <w:gridSpan w:val="2"/>
          </w:tcPr>
          <w:p>
            <w:pPr>
              <w:jc w:val="center"/>
              <w:ind w:left="419"/>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January-December 2018</w:t>
            </w:r>
          </w:p>
        </w:tc>
        <w:tc>
          <w:tcPr>
            <w:tcW w:w="1780" w:type="dxa"/>
            <w:vAlign w:val="bottom"/>
            <w:gridSpan w:val="5"/>
          </w:tcPr>
          <w:p>
            <w:pPr>
              <w:jc w:val="right"/>
              <w:spacing w:after="0"/>
              <w:rPr>
                <w:sz w:val="20"/>
                <w:szCs w:val="20"/>
                <w:color w:val="auto"/>
              </w:rPr>
            </w:pPr>
            <w:r>
              <w:rPr>
                <w:rFonts w:ascii="Arial" w:cs="Arial" w:eastAsia="Arial" w:hAnsi="Arial"/>
                <w:sz w:val="16"/>
                <w:szCs w:val="16"/>
                <w:color w:val="auto"/>
              </w:rPr>
              <w:t>1.1986</w:t>
            </w:r>
          </w:p>
        </w:tc>
        <w:tc>
          <w:tcPr>
            <w:tcW w:w="20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GasLog</w:t>
            </w:r>
          </w:p>
        </w:tc>
        <w:tc>
          <w:tcPr>
            <w:tcW w:w="1420" w:type="dxa"/>
            <w:vAlign w:val="bottom"/>
            <w:gridSpan w:val="4"/>
            <w:shd w:val="clear" w:color="auto" w:fill="E5FFFF"/>
          </w:tcPr>
          <w:p>
            <w:pPr>
              <w:jc w:val="center"/>
              <w:ind w:right="280"/>
              <w:spacing w:after="0"/>
              <w:rPr>
                <w:sz w:val="20"/>
                <w:szCs w:val="20"/>
                <w:color w:val="auto"/>
              </w:rPr>
            </w:pPr>
            <w:r>
              <w:rPr>
                <w:rFonts w:ascii="Arial" w:cs="Arial" w:eastAsia="Arial" w:hAnsi="Arial"/>
                <w:sz w:val="16"/>
                <w:szCs w:val="16"/>
                <w:color w:val="auto"/>
                <w:w w:val="93"/>
              </w:rPr>
              <w:t>SEB</w:t>
            </w:r>
          </w:p>
        </w:tc>
        <w:tc>
          <w:tcPr>
            <w:tcW w:w="150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93"/>
              </w:rPr>
              <w:t>August 2017</w:t>
            </w:r>
          </w:p>
        </w:tc>
        <w:tc>
          <w:tcPr>
            <w:tcW w:w="940" w:type="dxa"/>
            <w:vAlign w:val="bottom"/>
            <w:gridSpan w:val="2"/>
            <w:shd w:val="clear" w:color="auto" w:fill="E5FFFF"/>
          </w:tcPr>
          <w:p>
            <w:pPr>
              <w:jc w:val="center"/>
              <w:ind w:left="419"/>
              <w:spacing w:after="0"/>
              <w:rPr>
                <w:sz w:val="20"/>
                <w:szCs w:val="20"/>
                <w:color w:val="auto"/>
              </w:rPr>
            </w:pPr>
            <w:r>
              <w:rPr>
                <w:rFonts w:ascii="Arial" w:cs="Arial" w:eastAsia="Arial" w:hAnsi="Arial"/>
                <w:sz w:val="16"/>
                <w:szCs w:val="16"/>
                <w:color w:val="auto"/>
                <w:w w:val="89"/>
              </w:rPr>
              <w:t>12</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center"/>
              <w:ind w:left="59"/>
              <w:spacing w:after="0"/>
              <w:rPr>
                <w:sz w:val="20"/>
                <w:szCs w:val="20"/>
                <w:color w:val="auto"/>
              </w:rPr>
            </w:pPr>
            <w:r>
              <w:rPr>
                <w:rFonts w:ascii="Arial" w:cs="Arial" w:eastAsia="Arial" w:hAnsi="Arial"/>
                <w:sz w:val="16"/>
                <w:szCs w:val="16"/>
                <w:color w:val="auto"/>
                <w:w w:val="89"/>
              </w:rPr>
              <w:t>January-December 2018</w:t>
            </w:r>
          </w:p>
        </w:tc>
        <w:tc>
          <w:tcPr>
            <w:tcW w:w="178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1.1966</w:t>
            </w:r>
          </w:p>
        </w:tc>
        <w:tc>
          <w:tcPr>
            <w:tcW w:w="20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€58,800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-2359660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-2359660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ind w:right="60"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September 30, 2017. The change in the fair value of these contracts for the three and nine months ended September 30, 2017 amounted to a net gain of $762 and $2,730 (for the three and nine months ended September 30, 2016: net loss of $51), which was recognized against profit or loss in the period incurred and is included in Loss/gain on swaps.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31" w:lineRule="exact"/>
        <w:rPr>
          <w:sz w:val="20"/>
          <w:szCs w:val="20"/>
          <w:color w:val="auto"/>
        </w:rPr>
      </w:pPr>
    </w:p>
    <w:p>
      <w:pPr>
        <w:ind w:left="3580"/>
        <w:spacing w:after="0"/>
        <w:tabs>
          <w:tab w:leader="none" w:pos="5740" w:val="left"/>
          <w:tab w:leader="none" w:pos="7140" w:val="left"/>
          <w:tab w:leader="none" w:pos="8520" w:val="left"/>
          <w:tab w:leader="none" w:pos="10400" w:val="left"/>
        </w:tabs>
        <w:rPr>
          <w:sz w:val="20"/>
          <w:szCs w:val="20"/>
          <w:color w:val="auto"/>
        </w:rPr>
      </w:pPr>
      <w:r>
        <w:rPr>
          <w:rFonts w:ascii="Arial" w:cs="Arial" w:eastAsia="Arial" w:hAnsi="Arial"/>
          <w:sz w:val="16"/>
          <w:szCs w:val="16"/>
          <w:b w:val="1"/>
          <w:bCs w:val="1"/>
          <w:color w:val="auto"/>
        </w:rPr>
        <w:t>Opening balance</w:t>
      </w:r>
      <w:r>
        <w:rPr>
          <w:sz w:val="20"/>
          <w:szCs w:val="20"/>
          <w:color w:val="auto"/>
        </w:rPr>
        <w:tab/>
      </w:r>
      <w:r>
        <w:rPr>
          <w:rFonts w:ascii="Arial" w:cs="Arial" w:eastAsia="Arial" w:hAnsi="Arial"/>
          <w:sz w:val="16"/>
          <w:szCs w:val="16"/>
          <w:b w:val="1"/>
          <w:bCs w:val="1"/>
          <w:color w:val="auto"/>
        </w:rPr>
        <w:t>Other</w:t>
      </w:r>
      <w:r>
        <w:rPr>
          <w:sz w:val="20"/>
          <w:szCs w:val="20"/>
          <w:color w:val="auto"/>
        </w:rPr>
        <w:tab/>
      </w:r>
      <w:r>
        <w:rPr>
          <w:rFonts w:ascii="Arial" w:cs="Arial" w:eastAsia="Arial" w:hAnsi="Arial"/>
          <w:sz w:val="16"/>
          <w:szCs w:val="16"/>
          <w:b w:val="1"/>
          <w:bCs w:val="1"/>
          <w:color w:val="auto"/>
        </w:rPr>
        <w:t>Cash flows</w:t>
      </w:r>
      <w:r>
        <w:rPr>
          <w:sz w:val="20"/>
          <w:szCs w:val="20"/>
          <w:color w:val="auto"/>
        </w:rPr>
        <w:tab/>
      </w:r>
      <w:r>
        <w:rPr>
          <w:rFonts w:ascii="Arial" w:cs="Arial" w:eastAsia="Arial" w:hAnsi="Arial"/>
          <w:sz w:val="16"/>
          <w:szCs w:val="16"/>
          <w:b w:val="1"/>
          <w:bCs w:val="1"/>
          <w:color w:val="auto"/>
        </w:rPr>
        <w:t>Non-cash items</w:t>
      </w:r>
      <w:r>
        <w:rPr>
          <w:sz w:val="20"/>
          <w:szCs w:val="20"/>
          <w:color w:val="auto"/>
        </w:rPr>
        <w:tab/>
      </w:r>
      <w:r>
        <w:rPr>
          <w:rFonts w:ascii="Arial" w:cs="Arial" w:eastAsia="Arial" w:hAnsi="Arial"/>
          <w:sz w:val="15"/>
          <w:szCs w:val="15"/>
          <w:b w:val="1"/>
          <w:bCs w:val="1"/>
          <w:color w:val="auto"/>
        </w:rPr>
        <w:t>Total</w:t>
      </w:r>
    </w:p>
    <w:p>
      <w:pPr>
        <w:sectPr>
          <w:pgSz w:w="11900" w:h="16838" w:orient="portrait"/>
          <w:cols w:equalWidth="0" w:num="1">
            <w:col w:w="11460"/>
          </w:cols>
          <w:pgMar w:left="240" w:top="130" w:right="199" w:bottom="0" w:gutter="0" w:footer="0" w:header="0"/>
        </w:sectPr>
      </w:pPr>
    </w:p>
    <w:bookmarkStart w:id="31" w:name="page32"/>
    <w:bookmarkEnd w:id="31"/>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left="117"/>
              <w:spacing w:after="0"/>
              <w:rPr>
                <w:sz w:val="20"/>
                <w:szCs w:val="20"/>
                <w:color w:val="auto"/>
              </w:rPr>
            </w:pPr>
            <w:r>
              <w:rPr>
                <w:rFonts w:ascii="Arial" w:cs="Arial" w:eastAsia="Arial" w:hAnsi="Arial"/>
                <w:sz w:val="16"/>
                <w:szCs w:val="16"/>
                <w:b w:val="1"/>
                <w:bCs w:val="1"/>
                <w:color w:val="auto"/>
                <w:w w:val="86"/>
              </w:rPr>
              <w:t>comprehensive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96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gridSpan w:val="2"/>
          </w:tcPr>
          <w:p>
            <w:pPr>
              <w:jc w:val="center"/>
              <w:ind w:left="117"/>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040" w:type="dxa"/>
            <w:vAlign w:val="bottom"/>
            <w:gridSpan w:val="2"/>
            <w:shd w:val="clear" w:color="auto" w:fill="E5FFFF"/>
          </w:tcPr>
          <w:p>
            <w:pPr>
              <w:spacing w:after="0" w:line="176" w:lineRule="exact"/>
              <w:rPr>
                <w:sz w:val="20"/>
                <w:szCs w:val="20"/>
                <w:color w:val="auto"/>
              </w:rPr>
            </w:pPr>
            <w:r>
              <w:rPr>
                <w:rFonts w:ascii="Arial" w:cs="Arial" w:eastAsia="Arial" w:hAnsi="Arial"/>
                <w:sz w:val="16"/>
                <w:szCs w:val="16"/>
                <w:color w:val="auto"/>
              </w:rPr>
              <w:t>Net derivative liabilities as of January 1,</w:t>
            </w:r>
          </w:p>
        </w:tc>
        <w:tc>
          <w:tcPr>
            <w:tcW w:w="1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8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220" w:type="dxa"/>
            <w:vAlign w:val="bottom"/>
            <w:tcBorders>
              <w:right w:val="single" w:sz="8" w:color="E5FFFF"/>
            </w:tcBorders>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2017</w:t>
            </w:r>
          </w:p>
        </w:tc>
        <w:tc>
          <w:tcPr>
            <w:tcW w:w="1120" w:type="dxa"/>
            <w:vAlign w:val="bottom"/>
            <w:shd w:val="clear" w:color="auto" w:fill="E5FFFF"/>
          </w:tcPr>
          <w:p>
            <w:pPr>
              <w:spacing w:after="0"/>
              <w:rPr>
                <w:sz w:val="18"/>
                <w:szCs w:val="18"/>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89"/>
              </w:rPr>
              <w:t>22,401</w:t>
            </w: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4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E5FFFF"/>
            </w:tcBorders>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22,401</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Unrealized gain on derivative financial</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instruments held for trading (Note 14)</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40" w:type="dxa"/>
            <w:vAlign w:val="bottom"/>
            <w:gridSpan w:val="4"/>
          </w:tcPr>
          <w:p>
            <w:pPr>
              <w:jc w:val="right"/>
              <w:ind w:right="60"/>
              <w:spacing w:after="0"/>
              <w:rPr>
                <w:sz w:val="20"/>
                <w:szCs w:val="20"/>
                <w:color w:val="auto"/>
              </w:rPr>
            </w:pPr>
            <w:r>
              <w:rPr>
                <w:rFonts w:ascii="Arial" w:cs="Arial" w:eastAsia="Arial" w:hAnsi="Arial"/>
                <w:sz w:val="16"/>
                <w:szCs w:val="16"/>
                <w:color w:val="auto"/>
              </w:rPr>
              <w:t>(2,034)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1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 for CCS termination</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(20,603)</w:t>
            </w:r>
          </w:p>
        </w:tc>
        <w:tc>
          <w:tcPr>
            <w:tcW w:w="14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4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E5FFFF"/>
            </w:tcBorders>
            <w:gridSpan w:val="2"/>
            <w:shd w:val="clear" w:color="auto" w:fill="E5FFFF"/>
          </w:tcPr>
          <w:p>
            <w:pPr>
              <w:jc w:val="right"/>
              <w:spacing w:after="0"/>
              <w:rPr>
                <w:sz w:val="20"/>
                <w:szCs w:val="20"/>
                <w:color w:val="auto"/>
              </w:rPr>
            </w:pPr>
            <w:r>
              <w:rPr>
                <w:rFonts w:ascii="Arial" w:cs="Arial" w:eastAsia="Arial" w:hAnsi="Arial"/>
                <w:sz w:val="16"/>
                <w:szCs w:val="16"/>
                <w:color w:val="auto"/>
              </w:rPr>
              <w:t>(20,603)</w:t>
            </w:r>
          </w:p>
        </w:tc>
        <w:tc>
          <w:tcPr>
            <w:tcW w:w="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Effective portion of changes in the fair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160" w:type="dxa"/>
            <w:vAlign w:val="bottom"/>
            <w:gridSpan w:val="3"/>
          </w:tcPr>
          <w:p>
            <w:pPr>
              <w:spacing w:after="0"/>
              <w:rPr>
                <w:sz w:val="20"/>
                <w:szCs w:val="20"/>
                <w:color w:val="auto"/>
              </w:rPr>
            </w:pPr>
            <w:r>
              <w:rPr>
                <w:rFonts w:ascii="Arial" w:cs="Arial" w:eastAsia="Arial" w:hAnsi="Arial"/>
                <w:sz w:val="16"/>
                <w:szCs w:val="16"/>
                <w:color w:val="auto"/>
              </w:rPr>
              <w:t>value of derivatives designated as cash</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6"/>
                <w:szCs w:val="16"/>
                <w:color w:val="auto"/>
              </w:rPr>
              <w:t>flow hedging instruments</w:t>
            </w:r>
          </w:p>
        </w:tc>
        <w:tc>
          <w:tcPr>
            <w:tcW w:w="1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6"/>
                <w:szCs w:val="16"/>
                <w:color w:val="auto"/>
              </w:rPr>
              <w:t>(10,576)</w:t>
            </w:r>
          </w:p>
        </w:tc>
        <w:tc>
          <w:tcPr>
            <w:tcW w:w="8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40" w:type="dxa"/>
            <w:vAlign w:val="bottom"/>
            <w:gridSpan w:val="2"/>
            <w:vMerge w:val="restart"/>
            <w:shd w:val="clear" w:color="auto" w:fill="E5FFFF"/>
          </w:tcPr>
          <w:p>
            <w:pPr>
              <w:spacing w:after="0"/>
              <w:rPr>
                <w:sz w:val="20"/>
                <w:szCs w:val="20"/>
                <w:color w:val="auto"/>
              </w:rPr>
            </w:pPr>
            <w:r>
              <w:rPr>
                <w:rFonts w:ascii="Arial" w:cs="Arial" w:eastAsia="Arial" w:hAnsi="Arial"/>
                <w:sz w:val="16"/>
                <w:szCs w:val="16"/>
                <w:b w:val="1"/>
                <w:bCs w:val="1"/>
                <w:color w:val="auto"/>
              </w:rPr>
              <w:t>Net derivative liabilities/(assets) as of</w:t>
            </w: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0" w:type="dxa"/>
            <w:vAlign w:val="bottom"/>
          </w:tcPr>
          <w:p>
            <w:pPr>
              <w:spacing w:after="0"/>
              <w:rPr>
                <w:sz w:val="14"/>
                <w:szCs w:val="14"/>
                <w:color w:val="auto"/>
              </w:rPr>
            </w:pPr>
          </w:p>
        </w:tc>
        <w:tc>
          <w:tcPr>
            <w:tcW w:w="3040" w:type="dxa"/>
            <w:vAlign w:val="bottom"/>
            <w:gridSpan w:val="2"/>
            <w:vMerge w:val="continue"/>
            <w:shd w:val="clear" w:color="auto" w:fill="E5FFFF"/>
          </w:tcPr>
          <w:p>
            <w:pPr>
              <w:spacing w:after="0"/>
              <w:rPr>
                <w:sz w:val="14"/>
                <w:szCs w:val="14"/>
                <w:color w:val="auto"/>
              </w:rPr>
            </w:pPr>
          </w:p>
        </w:tc>
        <w:tc>
          <w:tcPr>
            <w:tcW w:w="1120" w:type="dxa"/>
            <w:vAlign w:val="bottom"/>
            <w:shd w:val="clear" w:color="auto" w:fill="E5FFFF"/>
          </w:tcPr>
          <w:p>
            <w:pPr>
              <w:spacing w:after="0"/>
              <w:rPr>
                <w:sz w:val="14"/>
                <w:szCs w:val="14"/>
                <w:color w:val="auto"/>
              </w:rPr>
            </w:pPr>
          </w:p>
        </w:tc>
        <w:tc>
          <w:tcPr>
            <w:tcW w:w="46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22,401</w:t>
            </w:r>
          </w:p>
        </w:tc>
        <w:tc>
          <w:tcPr>
            <w:tcW w:w="280" w:type="dxa"/>
            <w:vAlign w:val="bottom"/>
            <w:vMerge w:val="restart"/>
            <w:shd w:val="clear" w:color="auto" w:fill="E5FFFF"/>
          </w:tcPr>
          <w:p>
            <w:pPr>
              <w:spacing w:after="0"/>
              <w:rPr>
                <w:sz w:val="14"/>
                <w:szCs w:val="14"/>
                <w:color w:val="auto"/>
              </w:rPr>
            </w:pPr>
          </w:p>
        </w:tc>
        <w:tc>
          <w:tcPr>
            <w:tcW w:w="1740" w:type="dxa"/>
            <w:vAlign w:val="bottom"/>
            <w:gridSpan w:val="4"/>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(10,576)</w:t>
            </w:r>
          </w:p>
        </w:tc>
        <w:tc>
          <w:tcPr>
            <w:tcW w:w="1260" w:type="dxa"/>
            <w:vAlign w:val="bottom"/>
            <w:gridSpan w:val="3"/>
            <w:vMerge w:val="restart"/>
            <w:shd w:val="clear" w:color="auto" w:fill="E5FFFF"/>
          </w:tcPr>
          <w:p>
            <w:pPr>
              <w:jc w:val="right"/>
              <w:ind w:right="80"/>
              <w:spacing w:after="0"/>
              <w:rPr>
                <w:sz w:val="20"/>
                <w:szCs w:val="20"/>
                <w:color w:val="auto"/>
              </w:rPr>
            </w:pPr>
            <w:r>
              <w:rPr>
                <w:rFonts w:ascii="Arial" w:cs="Arial" w:eastAsia="Arial" w:hAnsi="Arial"/>
                <w:sz w:val="16"/>
                <w:szCs w:val="16"/>
                <w:b w:val="1"/>
                <w:bCs w:val="1"/>
                <w:color w:val="auto"/>
              </w:rPr>
              <w:t>(20,603)</w:t>
            </w:r>
          </w:p>
        </w:tc>
        <w:tc>
          <w:tcPr>
            <w:tcW w:w="1640" w:type="dxa"/>
            <w:vAlign w:val="bottom"/>
            <w:gridSpan w:val="4"/>
            <w:vMerge w:val="restart"/>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(2,034)</w:t>
            </w:r>
          </w:p>
        </w:tc>
        <w:tc>
          <w:tcPr>
            <w:tcW w:w="1360" w:type="dxa"/>
            <w:vAlign w:val="bottom"/>
            <w:tcBorders>
              <w:right w:val="single" w:sz="8" w:color="E5FFFF"/>
            </w:tcBorders>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(10,812)</w:t>
            </w:r>
          </w:p>
        </w:tc>
        <w:tc>
          <w:tcPr>
            <w:tcW w:w="4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04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September 30, 2017</w:t>
            </w:r>
          </w:p>
        </w:tc>
        <w:tc>
          <w:tcPr>
            <w:tcW w:w="1120" w:type="dxa"/>
            <w:vAlign w:val="bottom"/>
            <w:shd w:val="clear" w:color="auto" w:fill="E5FFFF"/>
          </w:tcPr>
          <w:p>
            <w:pPr>
              <w:spacing w:after="0"/>
              <w:rPr>
                <w:sz w:val="17"/>
                <w:szCs w:val="17"/>
                <w:color w:val="auto"/>
              </w:rPr>
            </w:pPr>
          </w:p>
        </w:tc>
        <w:tc>
          <w:tcPr>
            <w:tcW w:w="460" w:type="dxa"/>
            <w:vAlign w:val="bottom"/>
            <w:gridSpan w:val="2"/>
            <w:vMerge w:val="continue"/>
            <w:shd w:val="clear" w:color="auto" w:fill="E5FFFF"/>
          </w:tcPr>
          <w:p>
            <w:pPr>
              <w:spacing w:after="0"/>
              <w:rPr>
                <w:sz w:val="17"/>
                <w:szCs w:val="17"/>
                <w:color w:val="auto"/>
              </w:rPr>
            </w:pPr>
          </w:p>
        </w:tc>
        <w:tc>
          <w:tcPr>
            <w:tcW w:w="280" w:type="dxa"/>
            <w:vAlign w:val="bottom"/>
            <w:vMerge w:val="continue"/>
            <w:shd w:val="clear" w:color="auto" w:fill="E5FFFF"/>
          </w:tcPr>
          <w:p>
            <w:pPr>
              <w:spacing w:after="0"/>
              <w:rPr>
                <w:sz w:val="17"/>
                <w:szCs w:val="17"/>
                <w:color w:val="auto"/>
              </w:rPr>
            </w:pPr>
          </w:p>
        </w:tc>
        <w:tc>
          <w:tcPr>
            <w:tcW w:w="1740" w:type="dxa"/>
            <w:vAlign w:val="bottom"/>
            <w:gridSpan w:val="4"/>
            <w:vMerge w:val="continue"/>
            <w:shd w:val="clear" w:color="auto" w:fill="E5FFFF"/>
          </w:tcPr>
          <w:p>
            <w:pPr>
              <w:spacing w:after="0"/>
              <w:rPr>
                <w:sz w:val="17"/>
                <w:szCs w:val="17"/>
                <w:color w:val="auto"/>
              </w:rPr>
            </w:pPr>
          </w:p>
        </w:tc>
        <w:tc>
          <w:tcPr>
            <w:tcW w:w="1260" w:type="dxa"/>
            <w:vAlign w:val="bottom"/>
            <w:gridSpan w:val="3"/>
            <w:vMerge w:val="continue"/>
            <w:shd w:val="clear" w:color="auto" w:fill="E5FFFF"/>
          </w:tcPr>
          <w:p>
            <w:pPr>
              <w:spacing w:after="0"/>
              <w:rPr>
                <w:sz w:val="17"/>
                <w:szCs w:val="17"/>
                <w:color w:val="auto"/>
              </w:rPr>
            </w:pPr>
          </w:p>
        </w:tc>
        <w:tc>
          <w:tcPr>
            <w:tcW w:w="1640" w:type="dxa"/>
            <w:vAlign w:val="bottom"/>
            <w:gridSpan w:val="4"/>
            <w:vMerge w:val="continue"/>
            <w:shd w:val="clear" w:color="auto" w:fill="E5FFFF"/>
          </w:tcPr>
          <w:p>
            <w:pPr>
              <w:spacing w:after="0"/>
              <w:rPr>
                <w:sz w:val="17"/>
                <w:szCs w:val="17"/>
                <w:color w:val="auto"/>
              </w:rPr>
            </w:pPr>
          </w:p>
        </w:tc>
        <w:tc>
          <w:tcPr>
            <w:tcW w:w="1360" w:type="dxa"/>
            <w:vAlign w:val="bottom"/>
            <w:tcBorders>
              <w:right w:val="single" w:sz="8" w:color="E5FFFF"/>
            </w:tcBorders>
            <w:gridSpan w:val="2"/>
            <w:vMerge w:val="continue"/>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96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00" w:type="dxa"/>
            <w:vAlign w:val="bottom"/>
            <w:gridSpan w:val="4"/>
          </w:tcPr>
          <w:p>
            <w:pPr>
              <w:spacing w:after="0"/>
              <w:rPr>
                <w:sz w:val="20"/>
                <w:szCs w:val="20"/>
                <w:color w:val="auto"/>
              </w:rPr>
            </w:pPr>
            <w:r>
              <w:rPr>
                <w:rFonts w:ascii="Arial" w:cs="Arial" w:eastAsia="Arial" w:hAnsi="Arial"/>
                <w:sz w:val="16"/>
                <w:szCs w:val="16"/>
                <w:b w:val="1"/>
                <w:bCs w:val="1"/>
                <w:color w:val="auto"/>
              </w:rPr>
              <w:t>14. Financial Costs and Loss on Swaps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w w:val="93"/>
              </w:rPr>
              <w:t>An analysis of financial costs and loss on swaps is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7"/>
          </w:tcPr>
          <w:p>
            <w:pPr>
              <w:jc w:val="right"/>
              <w:ind w:right="920"/>
              <w:spacing w:after="0"/>
              <w:rPr>
                <w:sz w:val="20"/>
                <w:szCs w:val="20"/>
                <w:color w:val="auto"/>
              </w:rPr>
            </w:pPr>
            <w:r>
              <w:rPr>
                <w:rFonts w:ascii="Arial" w:cs="Arial" w:eastAsia="Arial" w:hAnsi="Arial"/>
                <w:sz w:val="16"/>
                <w:szCs w:val="16"/>
                <w:b w:val="1"/>
                <w:bCs w:val="1"/>
                <w:color w:val="auto"/>
                <w:w w:val="97"/>
              </w:rPr>
              <w:t>For the three months ended</w:t>
            </w:r>
          </w:p>
        </w:tc>
        <w:tc>
          <w:tcPr>
            <w:tcW w:w="140" w:type="dxa"/>
            <w:vAlign w:val="bottom"/>
          </w:tcPr>
          <w:p>
            <w:pPr>
              <w:spacing w:after="0"/>
              <w:rPr>
                <w:sz w:val="24"/>
                <w:szCs w:val="24"/>
                <w:color w:val="auto"/>
              </w:rPr>
            </w:pPr>
          </w:p>
        </w:tc>
        <w:tc>
          <w:tcPr>
            <w:tcW w:w="2900" w:type="dxa"/>
            <w:vAlign w:val="bottom"/>
            <w:gridSpan w:val="6"/>
          </w:tcPr>
          <w:p>
            <w:pPr>
              <w:ind w:left="3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7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w w:val="95"/>
              </w:rPr>
              <w:t>September 30,</w:t>
            </w: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E5FFFF"/>
            </w:tcBorders>
          </w:tcPr>
          <w:p>
            <w:pPr>
              <w:spacing w:after="0"/>
              <w:rPr>
                <w:sz w:val="18"/>
                <w:szCs w:val="18"/>
                <w:color w:val="auto"/>
              </w:rPr>
            </w:pPr>
          </w:p>
        </w:tc>
        <w:tc>
          <w:tcPr>
            <w:tcW w:w="112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37"/>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w w:val="95"/>
              </w:rPr>
              <w:t>2017</w:t>
            </w:r>
          </w:p>
        </w:tc>
        <w:tc>
          <w:tcPr>
            <w:tcW w:w="26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40" w:type="dxa"/>
            <w:vAlign w:val="bottom"/>
            <w:gridSpan w:val="3"/>
            <w:shd w:val="clear" w:color="auto" w:fill="E5FFFF"/>
          </w:tcPr>
          <w:p>
            <w:pPr>
              <w:spacing w:after="0" w:line="179" w:lineRule="exact"/>
              <w:rPr>
                <w:sz w:val="20"/>
                <w:szCs w:val="20"/>
                <w:color w:val="auto"/>
              </w:rPr>
            </w:pPr>
            <w:r>
              <w:rPr>
                <w:rFonts w:ascii="Arial" w:cs="Arial" w:eastAsia="Arial" w:hAnsi="Arial"/>
                <w:sz w:val="16"/>
                <w:szCs w:val="16"/>
                <w:color w:val="auto"/>
                <w:w w:val="98"/>
              </w:rPr>
              <w:t>Amortization and write-off of deferred loan/bond issuance costs</w:t>
            </w:r>
          </w:p>
        </w:tc>
        <w:tc>
          <w:tcPr>
            <w:tcW w:w="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8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220" w:type="dxa"/>
            <w:vAlign w:val="bottom"/>
            <w:tcBorders>
              <w:right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and premium</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20,889</w:t>
            </w: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2,898</w:t>
            </w:r>
          </w:p>
        </w:tc>
        <w:tc>
          <w:tcPr>
            <w:tcW w:w="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32,246</w:t>
            </w: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tcBorders>
              <w:right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gridSpan w:val="4"/>
          </w:tcPr>
          <w:p>
            <w:pPr>
              <w:spacing w:after="0"/>
              <w:rPr>
                <w:sz w:val="20"/>
                <w:szCs w:val="20"/>
                <w:color w:val="auto"/>
              </w:rPr>
            </w:pPr>
            <w:r>
              <w:rPr>
                <w:rFonts w:ascii="Arial" w:cs="Arial" w:eastAsia="Arial" w:hAnsi="Arial"/>
                <w:sz w:val="16"/>
                <w:szCs w:val="16"/>
                <w:color w:val="auto"/>
                <w:w w:val="98"/>
              </w:rPr>
              <w:t>Interest expense on loans and realized loss on cash flow hedges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18,731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55,021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64,681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gridSpan w:val="2"/>
            <w:shd w:val="clear" w:color="auto" w:fill="E5FFFF"/>
          </w:tcPr>
          <w:p>
            <w:pPr>
              <w:spacing w:after="0"/>
              <w:rPr>
                <w:sz w:val="20"/>
                <w:szCs w:val="20"/>
                <w:color w:val="auto"/>
              </w:rPr>
            </w:pPr>
            <w:r>
              <w:rPr>
                <w:rFonts w:ascii="Arial" w:cs="Arial" w:eastAsia="Arial" w:hAnsi="Arial"/>
                <w:sz w:val="16"/>
                <w:szCs w:val="16"/>
                <w:color w:val="auto"/>
                <w:w w:val="88"/>
              </w:rPr>
              <w:t>Interest expense on senior unsecured notes and realized loss on</w:t>
            </w:r>
          </w:p>
        </w:tc>
        <w:tc>
          <w:tcPr>
            <w:tcW w:w="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9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220" w:type="dxa"/>
            <w:vAlign w:val="bottom"/>
            <w:tcBorders>
              <w:right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cross-currency swaps</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3,034</w:t>
            </w: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7,526</w:t>
            </w:r>
          </w:p>
        </w:tc>
        <w:tc>
          <w:tcPr>
            <w:tcW w:w="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8,690</w:t>
            </w: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tcBorders>
              <w:right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19,497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Finance lease charge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2,785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6,572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8,167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shd w:val="clear" w:color="auto" w:fill="E5FFFF"/>
          </w:tcPr>
          <w:p>
            <w:pPr>
              <w:spacing w:after="0"/>
              <w:rPr>
                <w:sz w:val="20"/>
                <w:szCs w:val="20"/>
                <w:color w:val="auto"/>
              </w:rPr>
            </w:pPr>
            <w:r>
              <w:rPr>
                <w:rFonts w:ascii="Arial" w:cs="Arial" w:eastAsia="Arial" w:hAnsi="Arial"/>
                <w:sz w:val="16"/>
                <w:szCs w:val="16"/>
                <w:color w:val="auto"/>
                <w:w w:val="94"/>
              </w:rPr>
              <w:t>Loss arising on NOK bond repurchase at a premium (Note 7)</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6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2,120</w:t>
            </w: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tcBorders>
              <w:right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Other financial costs</w:t>
            </w:r>
          </w:p>
        </w:tc>
        <w:tc>
          <w:tcPr>
            <w:tcW w:w="36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655</w:t>
            </w:r>
          </w:p>
        </w:tc>
        <w:tc>
          <w:tcPr>
            <w:tcW w:w="28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26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2,107</w:t>
            </w:r>
          </w:p>
        </w:tc>
        <w:tc>
          <w:tcPr>
            <w:tcW w:w="28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financial costs</w:t>
            </w:r>
          </w:p>
        </w:tc>
        <w:tc>
          <w:tcPr>
            <w:tcW w:w="3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spacing w:after="0"/>
              <w:rPr>
                <w:sz w:val="17"/>
                <w:szCs w:val="17"/>
                <w:color w:val="auto"/>
              </w:rPr>
            </w:pPr>
          </w:p>
        </w:tc>
        <w:tc>
          <w:tcPr>
            <w:tcW w:w="12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46,094</w:t>
            </w:r>
          </w:p>
        </w:tc>
        <w:tc>
          <w:tcPr>
            <w:tcW w:w="28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34,709</w:t>
            </w:r>
          </w:p>
        </w:tc>
        <w:tc>
          <w:tcPr>
            <w:tcW w:w="2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106,756</w:t>
            </w:r>
          </w:p>
        </w:tc>
        <w:tc>
          <w:tcPr>
            <w:tcW w:w="28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360" w:type="dxa"/>
            <w:vAlign w:val="bottom"/>
            <w:tcBorders>
              <w:bottom w:val="single" w:sz="8" w:color="auto"/>
              <w:right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104,311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080" w:type="dxa"/>
            <w:vAlign w:val="bottom"/>
            <w:gridSpan w:val="2"/>
            <w:shd w:val="clear" w:color="auto" w:fill="E5FFFF"/>
          </w:tcPr>
          <w:p>
            <w:pPr>
              <w:spacing w:after="0"/>
              <w:rPr>
                <w:sz w:val="20"/>
                <w:szCs w:val="20"/>
                <w:color w:val="auto"/>
              </w:rPr>
            </w:pPr>
            <w:r>
              <w:rPr>
                <w:rFonts w:ascii="Arial" w:cs="Arial" w:eastAsia="Arial" w:hAnsi="Arial"/>
                <w:sz w:val="16"/>
                <w:szCs w:val="16"/>
                <w:color w:val="auto"/>
                <w:w w:val="93"/>
              </w:rPr>
              <w:t>Unrealized loss/(gain) on derivative financial instruments held</w:t>
            </w:r>
          </w:p>
        </w:tc>
        <w:tc>
          <w:tcPr>
            <w:tcW w:w="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9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220" w:type="dxa"/>
            <w:vAlign w:val="bottom"/>
            <w:tcBorders>
              <w:right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for trading (Note 13)</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9"/>
              <w:spacing w:after="0"/>
              <w:rPr>
                <w:sz w:val="20"/>
                <w:szCs w:val="20"/>
                <w:color w:val="auto"/>
              </w:rPr>
            </w:pPr>
            <w:r>
              <w:rPr>
                <w:rFonts w:ascii="Arial" w:cs="Arial" w:eastAsia="Arial" w:hAnsi="Arial"/>
                <w:sz w:val="16"/>
                <w:szCs w:val="16"/>
                <w:color w:val="auto"/>
              </w:rPr>
              <w:t>(3,206)</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9,693</w:t>
            </w: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tcBorders>
              <w:right w:val="single" w:sz="8" w:color="E5FFFF"/>
            </w:tcBorders>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Realized loss on derivative financial instruments held for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gridSpan w:val="2"/>
          </w:tcPr>
          <w:p>
            <w:pPr>
              <w:ind w:left="180"/>
              <w:spacing w:after="0"/>
              <w:rPr>
                <w:sz w:val="20"/>
                <w:szCs w:val="20"/>
                <w:color w:val="auto"/>
              </w:rPr>
            </w:pPr>
            <w:r>
              <w:rPr>
                <w:rFonts w:ascii="Arial" w:cs="Arial" w:eastAsia="Arial" w:hAnsi="Arial"/>
                <w:sz w:val="16"/>
                <w:szCs w:val="16"/>
                <w:color w:val="auto"/>
              </w:rPr>
              <w:t>trading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2,509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6,177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4,251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shd w:val="clear" w:color="auto" w:fill="E5FFFF"/>
          </w:tcPr>
          <w:p>
            <w:pPr>
              <w:spacing w:after="0"/>
              <w:rPr>
                <w:sz w:val="20"/>
                <w:szCs w:val="20"/>
                <w:color w:val="auto"/>
              </w:rPr>
            </w:pPr>
            <w:r>
              <w:rPr>
                <w:rFonts w:ascii="Arial" w:cs="Arial" w:eastAsia="Arial" w:hAnsi="Arial"/>
                <w:sz w:val="16"/>
                <w:szCs w:val="16"/>
                <w:color w:val="auto"/>
                <w:w w:val="92"/>
              </w:rPr>
              <w:t>Recycled loss of cash flow hedges reclassified to profit or loss</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17,238</w:t>
            </w: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60" w:type="dxa"/>
            <w:vAlign w:val="bottom"/>
            <w:gridSpan w:val="3"/>
            <w:shd w:val="clear" w:color="auto" w:fill="E5FFFF"/>
          </w:tcPr>
          <w:p>
            <w:pPr>
              <w:jc w:val="right"/>
              <w:ind w:right="3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23,514</w:t>
            </w: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60" w:type="dxa"/>
            <w:vAlign w:val="bottom"/>
            <w:tcBorders>
              <w:right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4,368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Total loss/(gain) on swaps</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19,931</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(3,137</w:t>
            </w:r>
          </w:p>
        </w:tc>
        <w:tc>
          <w:tcPr>
            <w:tcW w:w="260" w:type="dxa"/>
            <w:vAlign w:val="bottom"/>
          </w:tcPr>
          <w:p>
            <w:pPr>
              <w:jc w:val="right"/>
              <w:ind w:right="14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39,384</w:t>
            </w: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6,585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Non-cash Items on Statements of Cash Flows</w:t>
      </w:r>
    </w:p>
    <w:p>
      <w:pPr>
        <w:spacing w:after="0" w:line="239" w:lineRule="exact"/>
        <w:rPr>
          <w:sz w:val="20"/>
          <w:szCs w:val="20"/>
          <w:color w:val="auto"/>
        </w:rPr>
      </w:pPr>
    </w:p>
    <w:p>
      <w:pPr>
        <w:ind w:right="220" w:firstLine="405"/>
        <w:spacing w:after="0" w:line="305" w:lineRule="auto"/>
        <w:rPr>
          <w:sz w:val="20"/>
          <w:szCs w:val="20"/>
          <w:color w:val="auto"/>
        </w:rPr>
      </w:pPr>
      <w:r>
        <w:rPr>
          <w:rFonts w:ascii="Arial" w:cs="Arial" w:eastAsia="Arial" w:hAnsi="Arial"/>
          <w:sz w:val="15"/>
          <w:szCs w:val="15"/>
          <w:color w:val="auto"/>
        </w:rPr>
        <w:t>As of September 30, 2017, there are capital expenditures for vessels and vessels under construction of $4,557 that have not been paid during the nine months ended September 30, 2017 and are included in current liabilities (December 31, 2016: $2,038). Also, as of September 30, 2016, there were capital expenditures of $11,308 that had not been paid during the nine months ended September 30, 2016 and were included in current liabilities (December 31, 2015: $12,576).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405"/>
        <w:spacing w:after="0" w:line="278" w:lineRule="auto"/>
        <w:rPr>
          <w:sz w:val="20"/>
          <w:szCs w:val="20"/>
          <w:color w:val="auto"/>
        </w:rPr>
      </w:pPr>
      <w:r>
        <w:rPr>
          <w:rFonts w:ascii="Arial" w:cs="Arial" w:eastAsia="Arial" w:hAnsi="Arial"/>
          <w:sz w:val="16"/>
          <w:szCs w:val="16"/>
          <w:color w:val="auto"/>
        </w:rPr>
        <w:t>As of September 30, 2017, there are equity raising costs of $713 that have not been paid during the nine months ended September 30, 2017 and are included in current liabilities (December 31, 2016: $5). Also, as of September 30, 2016, there were equity raising costs of $204 that had not been paid during the nine months ended September 30, 2016 and were included in current liabilities (December 31, 2015: $59).</w:t>
      </w:r>
    </w:p>
    <w:p>
      <w:pPr>
        <w:spacing w:after="0" w:line="184" w:lineRule="exact"/>
        <w:rPr>
          <w:sz w:val="20"/>
          <w:szCs w:val="20"/>
          <w:color w:val="auto"/>
        </w:rPr>
      </w:pPr>
    </w:p>
    <w:p>
      <w:pPr>
        <w:ind w:right="220" w:firstLine="405"/>
        <w:spacing w:after="0" w:line="278" w:lineRule="auto"/>
        <w:rPr>
          <w:sz w:val="20"/>
          <w:szCs w:val="20"/>
          <w:color w:val="auto"/>
        </w:rPr>
      </w:pPr>
      <w:r>
        <w:rPr>
          <w:rFonts w:ascii="Arial" w:cs="Arial" w:eastAsia="Arial" w:hAnsi="Arial"/>
          <w:sz w:val="16"/>
          <w:szCs w:val="16"/>
          <w:color w:val="auto"/>
        </w:rPr>
        <w:t>As of September 30, 2017, there are loan issuance costs of $776 that have not been paid during the nine months ended September 30, 2017 and are included in current liabilities (December 31, 2016: $0). Also, as of September 30, 2016, there were loan issuance costs of $5,487 that had not been paid during the nine months ended September 30, 2016 and were included in current liabilities (December 31, 2015: $247).</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2017, there are receivables from stock options of $0 included in current assets (December 31, 2016: $108).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Share-Based Compensation</w:t>
      </w:r>
    </w:p>
    <w:p>
      <w:pPr>
        <w:spacing w:after="0" w:line="239" w:lineRule="exact"/>
        <w:rPr>
          <w:sz w:val="20"/>
          <w:szCs w:val="20"/>
          <w:color w:val="auto"/>
        </w:rPr>
      </w:pPr>
    </w:p>
    <w:p>
      <w:pPr>
        <w:ind w:right="360" w:firstLine="357"/>
        <w:spacing w:after="0" w:line="278"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2016.</w:t>
      </w:r>
    </w:p>
    <w:p>
      <w:pPr>
        <w:spacing w:after="0" w:line="184" w:lineRule="exact"/>
        <w:rPr>
          <w:sz w:val="20"/>
          <w:szCs w:val="20"/>
          <w:color w:val="auto"/>
        </w:rPr>
      </w:pPr>
    </w:p>
    <w:p>
      <w:pPr>
        <w:ind w:firstLine="357"/>
        <w:spacing w:after="0" w:line="278" w:lineRule="auto"/>
        <w:rPr>
          <w:sz w:val="20"/>
          <w:szCs w:val="20"/>
          <w:color w:val="auto"/>
        </w:rPr>
      </w:pPr>
      <w:r>
        <w:rPr>
          <w:rFonts w:ascii="Arial" w:cs="Arial" w:eastAsia="Arial" w:hAnsi="Arial"/>
          <w:sz w:val="16"/>
          <w:szCs w:val="16"/>
          <w:color w:val="auto"/>
        </w:rPr>
        <w:t>On April 3, 2017, GasLog granted to executives, managers and certain employees of the Group, 144,142 RSUs and 448,045 SARs in accordance with the Plan. The RSUs will vest on April 3, 2020 while the SARs will vest incrementally with one-third of the SARs vesting on each of April 3, 2018, 2019 and 2020. The compensation cost for the SARs is recognized on an accelerated basis as though each separately vesting portion of the SARs is a separate award.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1820" w:type="dxa"/>
            <w:vAlign w:val="bottom"/>
          </w:tcPr>
          <w:p>
            <w:pPr>
              <w:spacing w:after="0"/>
              <w:rPr>
                <w:sz w:val="20"/>
                <w:szCs w:val="20"/>
                <w:color w:val="auto"/>
              </w:rPr>
            </w:pPr>
            <w:r>
              <w:rPr>
                <w:rFonts w:ascii="Arial" w:cs="Arial" w:eastAsia="Arial" w:hAnsi="Arial"/>
                <w:sz w:val="16"/>
                <w:szCs w:val="16"/>
                <w:b w:val="1"/>
                <w:bCs w:val="1"/>
                <w:color w:val="auto"/>
              </w:rPr>
              <w:t>Awards</w:t>
            </w:r>
          </w:p>
        </w:tc>
        <w:tc>
          <w:tcPr>
            <w:tcW w:w="1620" w:type="dxa"/>
            <w:vAlign w:val="bottom"/>
            <w:gridSpan w:val="3"/>
          </w:tcPr>
          <w:p>
            <w:pPr>
              <w:ind w:left="320"/>
              <w:spacing w:after="0"/>
              <w:rPr>
                <w:sz w:val="20"/>
                <w:szCs w:val="20"/>
                <w:color w:val="auto"/>
              </w:rPr>
            </w:pPr>
            <w:r>
              <w:rPr>
                <w:rFonts w:ascii="Arial" w:cs="Arial" w:eastAsia="Arial" w:hAnsi="Arial"/>
                <w:sz w:val="16"/>
                <w:szCs w:val="16"/>
                <w:b w:val="1"/>
                <w:bCs w:val="1"/>
                <w:color w:val="auto"/>
              </w:rPr>
              <w:t>Number</w:t>
            </w:r>
          </w:p>
        </w:tc>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2320" w:type="dxa"/>
            <w:vAlign w:val="bottom"/>
            <w:gridSpan w:val="2"/>
          </w:tcPr>
          <w:p>
            <w:pPr>
              <w:spacing w:after="0"/>
              <w:rPr>
                <w:sz w:val="20"/>
                <w:szCs w:val="20"/>
                <w:color w:val="auto"/>
              </w:rPr>
            </w:pPr>
            <w:r>
              <w:rPr>
                <w:rFonts w:ascii="Arial" w:cs="Arial" w:eastAsia="Arial" w:hAnsi="Arial"/>
                <w:sz w:val="16"/>
                <w:szCs w:val="16"/>
                <w:b w:val="1"/>
                <w:bCs w:val="1"/>
                <w:color w:val="auto"/>
              </w:rPr>
              <w:t>Expiry date</w:t>
            </w: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price</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1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RSUs</w:t>
            </w:r>
          </w:p>
        </w:tc>
        <w:tc>
          <w:tcPr>
            <w:tcW w:w="3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144,142</w:t>
            </w:r>
          </w:p>
        </w:tc>
        <w:tc>
          <w:tcPr>
            <w:tcW w:w="280" w:type="dxa"/>
            <w:vAlign w:val="bottom"/>
            <w:tcBorders>
              <w:top w:val="single" w:sz="8" w:color="E5FFFF"/>
            </w:tcBorders>
            <w:shd w:val="clear" w:color="auto" w:fill="E5FFFF"/>
          </w:tcPr>
          <w:p>
            <w:pPr>
              <w:spacing w:after="0"/>
              <w:rPr>
                <w:sz w:val="17"/>
                <w:szCs w:val="17"/>
                <w:color w:val="auto"/>
              </w:rPr>
            </w:pPr>
          </w:p>
        </w:tc>
        <w:tc>
          <w:tcPr>
            <w:tcW w:w="20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April 3, 2017</w:t>
            </w:r>
          </w:p>
        </w:tc>
        <w:tc>
          <w:tcPr>
            <w:tcW w:w="28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n/a</w:t>
            </w:r>
          </w:p>
        </w:tc>
        <w:tc>
          <w:tcPr>
            <w:tcW w:w="28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26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$15.55</w:t>
            </w:r>
          </w:p>
        </w:tc>
      </w:tr>
      <w:tr>
        <w:trPr>
          <w:trHeight w:val="206"/>
        </w:trPr>
        <w:tc>
          <w:tcPr>
            <w:tcW w:w="1820" w:type="dxa"/>
            <w:vAlign w:val="bottom"/>
          </w:tcPr>
          <w:p>
            <w:pPr>
              <w:spacing w:after="0"/>
              <w:rPr>
                <w:sz w:val="20"/>
                <w:szCs w:val="20"/>
                <w:color w:val="auto"/>
              </w:rPr>
            </w:pPr>
            <w:r>
              <w:rPr>
                <w:rFonts w:ascii="Arial" w:cs="Arial" w:eastAsia="Arial" w:hAnsi="Arial"/>
                <w:sz w:val="16"/>
                <w:szCs w:val="16"/>
                <w:color w:val="auto"/>
              </w:rPr>
              <w:t>SARs</w:t>
            </w:r>
          </w:p>
        </w:tc>
        <w:tc>
          <w:tcPr>
            <w:tcW w:w="1620" w:type="dxa"/>
            <w:vAlign w:val="bottom"/>
            <w:gridSpan w:val="3"/>
          </w:tcPr>
          <w:p>
            <w:pPr>
              <w:jc w:val="right"/>
              <w:ind w:right="280"/>
              <w:spacing w:after="0"/>
              <w:rPr>
                <w:sz w:val="20"/>
                <w:szCs w:val="20"/>
                <w:color w:val="auto"/>
              </w:rPr>
            </w:pPr>
            <w:r>
              <w:rPr>
                <w:rFonts w:ascii="Arial" w:cs="Arial" w:eastAsia="Arial" w:hAnsi="Arial"/>
                <w:sz w:val="16"/>
                <w:szCs w:val="16"/>
                <w:color w:val="auto"/>
              </w:rPr>
              <w:t>448,045</w:t>
            </w:r>
          </w:p>
        </w:tc>
        <w:tc>
          <w:tcPr>
            <w:tcW w:w="2300" w:type="dxa"/>
            <w:vAlign w:val="bottom"/>
            <w:gridSpan w:val="2"/>
          </w:tcPr>
          <w:p>
            <w:pPr>
              <w:spacing w:after="0"/>
              <w:rPr>
                <w:sz w:val="20"/>
                <w:szCs w:val="20"/>
                <w:color w:val="auto"/>
              </w:rPr>
            </w:pPr>
            <w:r>
              <w:rPr>
                <w:rFonts w:ascii="Arial" w:cs="Arial" w:eastAsia="Arial" w:hAnsi="Arial"/>
                <w:sz w:val="16"/>
                <w:szCs w:val="16"/>
                <w:color w:val="auto"/>
              </w:rPr>
              <w:t>April 3, 2017</w:t>
            </w:r>
          </w:p>
        </w:tc>
        <w:tc>
          <w:tcPr>
            <w:tcW w:w="2320" w:type="dxa"/>
            <w:vAlign w:val="bottom"/>
            <w:gridSpan w:val="2"/>
          </w:tcPr>
          <w:p>
            <w:pPr>
              <w:spacing w:after="0"/>
              <w:rPr>
                <w:sz w:val="20"/>
                <w:szCs w:val="20"/>
                <w:color w:val="auto"/>
              </w:rPr>
            </w:pPr>
            <w:r>
              <w:rPr>
                <w:rFonts w:ascii="Arial" w:cs="Arial" w:eastAsia="Arial" w:hAnsi="Arial"/>
                <w:sz w:val="16"/>
                <w:szCs w:val="16"/>
                <w:color w:val="auto"/>
              </w:rPr>
              <w:t>April 3, 2027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$15.55</w:t>
            </w:r>
          </w:p>
        </w:tc>
        <w:tc>
          <w:tcPr>
            <w:tcW w:w="1500" w:type="dxa"/>
            <w:vAlign w:val="bottom"/>
          </w:tcPr>
          <w:p>
            <w:pPr>
              <w:jc w:val="right"/>
              <w:spacing w:after="0"/>
              <w:rPr>
                <w:sz w:val="20"/>
                <w:szCs w:val="20"/>
                <w:color w:val="auto"/>
              </w:rPr>
            </w:pPr>
            <w:r>
              <w:rPr>
                <w:rFonts w:ascii="Arial" w:cs="Arial" w:eastAsia="Arial" w:hAnsi="Arial"/>
                <w:sz w:val="16"/>
                <w:szCs w:val="16"/>
                <w:color w:val="auto"/>
              </w:rPr>
              <w:t>$5.0021</w:t>
            </w:r>
          </w:p>
        </w:tc>
      </w:tr>
    </w:tbl>
    <w:p>
      <w:pPr>
        <w:spacing w:after="0" w:line="202" w:lineRule="exact"/>
        <w:rPr>
          <w:sz w:val="20"/>
          <w:szCs w:val="20"/>
          <w:color w:val="auto"/>
        </w:rPr>
      </w:pPr>
    </w:p>
    <w:p>
      <w:pPr>
        <w:ind w:right="140" w:firstLine="357"/>
        <w:spacing w:after="0" w:line="273"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9" w:lineRule="exact"/>
        <w:rPr>
          <w:sz w:val="20"/>
          <w:szCs w:val="20"/>
          <w:color w:val="auto"/>
        </w:rPr>
      </w:pPr>
    </w:p>
    <w:p>
      <w:pPr>
        <w:ind w:right="180" w:firstLine="436"/>
        <w:spacing w:after="0" w:line="293"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ectPr>
          <w:pgSz w:w="11900" w:h="16878" w:orient="portrait"/>
          <w:cols w:equalWidth="0" w:num="1">
            <w:col w:w="11420"/>
          </w:cols>
          <w:pgMar w:left="240" w:top="126" w:right="239" w:bottom="0" w:gutter="0" w:footer="0" w:header="0"/>
        </w:sectPr>
      </w:pPr>
    </w:p>
    <w:bookmarkStart w:id="32" w:name="page33"/>
    <w:bookmarkEnd w:id="32"/>
    <w:p>
      <w:pPr>
        <w:ind w:left="340"/>
        <w:spacing w:after="0"/>
        <w:rPr>
          <w:sz w:val="20"/>
          <w:szCs w:val="20"/>
          <w:color w:val="auto"/>
        </w:rPr>
      </w:pPr>
      <w:r>
        <w:rPr>
          <w:rFonts w:ascii="Arial" w:cs="Arial" w:eastAsia="Arial" w:hAnsi="Arial"/>
          <w:sz w:val="16"/>
          <w:szCs w:val="16"/>
          <w:b w:val="1"/>
          <w:bCs w:val="1"/>
          <w:color w:val="auto"/>
        </w:rPr>
        <w:t>Inputs into the model</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67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Grant date share closing price</w:t>
            </w:r>
          </w:p>
        </w:tc>
        <w:tc>
          <w:tcPr>
            <w:tcW w:w="2920" w:type="dxa"/>
            <w:vAlign w:val="bottom"/>
            <w:tcBorders>
              <w:top w:val="single" w:sz="8" w:color="auto"/>
            </w:tcBorders>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15.55</w:t>
            </w:r>
          </w:p>
        </w:tc>
        <w:tc>
          <w:tcPr>
            <w:tcW w:w="220" w:type="dxa"/>
            <w:vAlign w:val="bottom"/>
            <w:tcBorders>
              <w:top w:val="single" w:sz="8" w:color="E5FFFF"/>
            </w:tcBorders>
            <w:shd w:val="clear" w:color="auto" w:fill="E5FF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Exercise price</w:t>
            </w:r>
          </w:p>
        </w:tc>
        <w:tc>
          <w:tcPr>
            <w:tcW w:w="2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15.55</w:t>
            </w:r>
          </w:p>
        </w:tc>
        <w:tc>
          <w:tcPr>
            <w:tcW w:w="220" w:type="dxa"/>
            <w:vAlign w:val="bottom"/>
          </w:tcPr>
          <w:p>
            <w:pPr>
              <w:spacing w:after="0"/>
              <w:rPr>
                <w:sz w:val="17"/>
                <w:szCs w:val="17"/>
                <w:color w:val="auto"/>
              </w:rPr>
            </w:pPr>
          </w:p>
        </w:tc>
      </w:tr>
      <w:tr>
        <w:trPr>
          <w:trHeight w:val="203"/>
        </w:trPr>
        <w:tc>
          <w:tcPr>
            <w:tcW w:w="6720" w:type="dxa"/>
            <w:vAlign w:val="bottom"/>
            <w:shd w:val="clear" w:color="auto" w:fill="E5FFFF"/>
          </w:tcPr>
          <w:p>
            <w:pPr>
              <w:spacing w:after="0"/>
              <w:rPr>
                <w:sz w:val="20"/>
                <w:szCs w:val="20"/>
                <w:color w:val="auto"/>
              </w:rPr>
            </w:pPr>
            <w:r>
              <w:rPr>
                <w:rFonts w:ascii="Arial" w:cs="Arial" w:eastAsia="Arial" w:hAnsi="Arial"/>
                <w:sz w:val="16"/>
                <w:szCs w:val="16"/>
                <w:color w:val="auto"/>
              </w:rPr>
              <w:t>Expected volatility</w:t>
            </w:r>
          </w:p>
        </w:tc>
        <w:tc>
          <w:tcPr>
            <w:tcW w:w="292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46.0%</w:t>
            </w: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Expected term</w:t>
            </w:r>
          </w:p>
        </w:tc>
        <w:tc>
          <w:tcPr>
            <w:tcW w:w="29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 years</w:t>
            </w:r>
          </w:p>
        </w:tc>
      </w:tr>
      <w:tr>
        <w:trPr>
          <w:trHeight w:val="203"/>
        </w:trPr>
        <w:tc>
          <w:tcPr>
            <w:tcW w:w="6720" w:type="dxa"/>
            <w:vAlign w:val="bottom"/>
            <w:shd w:val="clear" w:color="auto" w:fill="E5FFFF"/>
          </w:tcPr>
          <w:p>
            <w:pPr>
              <w:spacing w:after="0"/>
              <w:rPr>
                <w:sz w:val="20"/>
                <w:szCs w:val="20"/>
                <w:color w:val="auto"/>
              </w:rPr>
            </w:pPr>
            <w:r>
              <w:rPr>
                <w:rFonts w:ascii="Arial" w:cs="Arial" w:eastAsia="Arial" w:hAnsi="Arial"/>
                <w:sz w:val="16"/>
                <w:szCs w:val="16"/>
                <w:color w:val="auto"/>
              </w:rPr>
              <w:t>Risk-free interest rate for the period similar to the expected term</w:t>
            </w:r>
          </w:p>
        </w:tc>
        <w:tc>
          <w:tcPr>
            <w:tcW w:w="292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1.99%</w:t>
            </w:r>
          </w:p>
        </w:tc>
      </w:tr>
    </w:tbl>
    <w:p>
      <w:pPr>
        <w:spacing w:after="0" w:line="206" w:lineRule="exact"/>
        <w:rPr>
          <w:sz w:val="20"/>
          <w:szCs w:val="20"/>
          <w:color w:val="auto"/>
        </w:rPr>
      </w:pPr>
    </w:p>
    <w:p>
      <w:pPr>
        <w:ind w:right="80" w:firstLine="357"/>
        <w:spacing w:after="0" w:line="293" w:lineRule="auto"/>
        <w:rPr>
          <w:sz w:val="20"/>
          <w:szCs w:val="20"/>
          <w:color w:val="auto"/>
        </w:rPr>
      </w:pPr>
      <w:r>
        <w:rPr>
          <w:rFonts w:ascii="Arial" w:cs="Arial" w:eastAsia="Arial" w:hAnsi="Arial"/>
          <w:sz w:val="16"/>
          <w:szCs w:val="16"/>
          <w:color w:val="auto"/>
        </w:rPr>
        <w:t>The fair value of the RSUs was determined by using the grant date closing price of $15.55 per common unit and was not further adjusted since the holders are entitled to dividends.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 in RSUs and SARs during the period</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summary of RSUs and SARs is presented below:</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exercise</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share price at</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 per</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the date of</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contractual</w:t>
            </w:r>
          </w:p>
        </w:tc>
        <w:tc>
          <w:tcPr>
            <w:tcW w:w="16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Aggregate fair</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awards</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share</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exercise</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life</w:t>
            </w:r>
          </w:p>
        </w:tc>
        <w:tc>
          <w:tcPr>
            <w:tcW w:w="16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9"/>
        </w:trPr>
        <w:tc>
          <w:tcPr>
            <w:tcW w:w="28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1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2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12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5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6"/>
                <w:szCs w:val="16"/>
                <w:b w:val="1"/>
                <w:bCs w:val="1"/>
                <w:color w:val="auto"/>
              </w:rPr>
              <w:t>Outstanding as of January 1, 2017</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368,437</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1.63</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144,142</w:t>
            </w: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Forfeited during the period</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(1,795)</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80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(72,189)</w:t>
            </w: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 September 30,</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vMerge w:val="continue"/>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438,595</w:t>
            </w:r>
          </w:p>
        </w:tc>
        <w:tc>
          <w:tcPr>
            <w:tcW w:w="280" w:type="dxa"/>
            <w:vAlign w:val="bottom"/>
            <w:vMerge w:val="restart"/>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spacing w:after="0"/>
              <w:rPr>
                <w:sz w:val="14"/>
                <w:szCs w:val="14"/>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1.64</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114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800" w:type="dxa"/>
            <w:vAlign w:val="bottom"/>
            <w:tcBorders>
              <w:top w:val="single" w:sz="8" w:color="E5FFFF"/>
            </w:tcBorders>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SARs</w:t>
            </w:r>
          </w:p>
        </w:tc>
        <w:tc>
          <w:tcPr>
            <w:tcW w:w="114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14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26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12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580" w:type="dxa"/>
            <w:vAlign w:val="bottom"/>
            <w:tcBorders>
              <w:top w:val="single" w:sz="8" w:color="auto"/>
            </w:tcBorders>
            <w:shd w:val="clear" w:color="auto" w:fill="E5FFFF"/>
          </w:tcPr>
          <w:p>
            <w:pPr>
              <w:spacing w:after="0"/>
              <w:rPr>
                <w:sz w:val="13"/>
                <w:szCs w:val="13"/>
                <w:color w:val="auto"/>
              </w:rPr>
            </w:pPr>
          </w:p>
        </w:tc>
        <w:tc>
          <w:tcPr>
            <w:tcW w:w="100" w:type="dxa"/>
            <w:vAlign w:val="bottom"/>
            <w:tcBorders>
              <w:top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6"/>
                <w:szCs w:val="16"/>
                <w:b w:val="1"/>
                <w:bCs w:val="1"/>
                <w:color w:val="auto"/>
              </w:rPr>
              <w:t>Outstanding as of January 1, 2017</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1,713,702</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14.11</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8.25</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448,045</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15.55</w:t>
            </w:r>
          </w:p>
        </w:tc>
        <w:tc>
          <w:tcPr>
            <w:tcW w:w="2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Exercised during the period</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(25,187)</w:t>
            </w:r>
          </w:p>
        </w:tc>
        <w:tc>
          <w:tcPr>
            <w:tcW w:w="1140" w:type="dxa"/>
            <w:vAlign w:val="bottom"/>
          </w:tcPr>
          <w:p>
            <w:pPr>
              <w:jc w:val="right"/>
              <w:spacing w:after="0"/>
              <w:rPr>
                <w:sz w:val="20"/>
                <w:szCs w:val="20"/>
                <w:color w:val="auto"/>
              </w:rPr>
            </w:pPr>
            <w:r>
              <w:rPr>
                <w:rFonts w:ascii="Arial" w:cs="Arial" w:eastAsia="Arial" w:hAnsi="Arial"/>
                <w:sz w:val="16"/>
                <w:szCs w:val="16"/>
                <w:color w:val="auto"/>
              </w:rPr>
              <w:t>9.28</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16.39</w:t>
            </w:r>
          </w:p>
        </w:tc>
        <w:tc>
          <w:tcPr>
            <w:tcW w:w="28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80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(5,578)</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15.55</w:t>
            </w:r>
          </w:p>
        </w:tc>
        <w:tc>
          <w:tcPr>
            <w:tcW w:w="2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 September 30,</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vMerge w:val="continue"/>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2,130,982</w:t>
            </w:r>
          </w:p>
        </w:tc>
        <w:tc>
          <w:tcPr>
            <w:tcW w:w="280" w:type="dxa"/>
            <w:vAlign w:val="bottom"/>
            <w:vMerge w:val="restart"/>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14.47</w:t>
            </w:r>
          </w:p>
        </w:tc>
        <w:tc>
          <w:tcPr>
            <w:tcW w:w="2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spacing w:after="0"/>
              <w:rPr>
                <w:sz w:val="14"/>
                <w:szCs w:val="14"/>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7.92</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11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2017, 1,026,400 SARs have vested but have not been exercised.</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57"/>
        <w:spacing w:after="0" w:line="278" w:lineRule="auto"/>
        <w:rPr>
          <w:sz w:val="20"/>
          <w:szCs w:val="20"/>
          <w:color w:val="auto"/>
        </w:rPr>
      </w:pPr>
      <w:r>
        <w:rPr>
          <w:rFonts w:ascii="Arial" w:cs="Arial" w:eastAsia="Arial" w:hAnsi="Arial"/>
          <w:sz w:val="16"/>
          <w:szCs w:val="16"/>
          <w:color w:val="auto"/>
        </w:rPr>
        <w:t>The terms of the 2015 GasLog Partners’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2016.</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6"/>
          <w:szCs w:val="16"/>
          <w:color w:val="auto"/>
        </w:rPr>
        <w:t>On April 3, 2017, GasLog Partners granted to its executives 26,097 RCUs and 26,097 PCUs in accordance with the GasLog Partners’ Plan. The RCUs and PCUs will vest on April 3, 2020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50th-75th percentile of the peer group results in 50% of award vesting; TUR below the 50th percentile of the peer group results in none of the award vesting. The holders are entitled to cash distributions that will be accrued and settled on vesting.</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Number</w:t>
            </w:r>
          </w:p>
        </w:tc>
        <w:tc>
          <w:tcPr>
            <w:tcW w:w="2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Grant date</w:t>
            </w:r>
          </w:p>
        </w:tc>
        <w:tc>
          <w:tcPr>
            <w:tcW w:w="1920" w:type="dxa"/>
            <w:vAlign w:val="bottom"/>
            <w:gridSpan w:val="2"/>
          </w:tcPr>
          <w:p>
            <w:pPr>
              <w:ind w:left="420"/>
              <w:spacing w:after="0"/>
              <w:rPr>
                <w:sz w:val="20"/>
                <w:szCs w:val="20"/>
                <w:color w:val="auto"/>
              </w:rPr>
            </w:pPr>
            <w:r>
              <w:rPr>
                <w:rFonts w:ascii="Arial" w:cs="Arial" w:eastAsia="Arial" w:hAnsi="Arial"/>
                <w:sz w:val="16"/>
                <w:szCs w:val="16"/>
                <w:b w:val="1"/>
                <w:bCs w:val="1"/>
                <w:color w:val="auto"/>
              </w:rPr>
              <w:t>Expiry date</w:t>
            </w: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25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26,097</w:t>
            </w:r>
          </w:p>
        </w:tc>
        <w:tc>
          <w:tcPr>
            <w:tcW w:w="26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7"/>
              </w:rPr>
              <w:t>April 3, 2017</w:t>
            </w:r>
          </w:p>
        </w:tc>
        <w:tc>
          <w:tcPr>
            <w:tcW w:w="26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ind w:left="1460"/>
              <w:spacing w:after="0"/>
              <w:rPr>
                <w:sz w:val="20"/>
                <w:szCs w:val="20"/>
                <w:color w:val="auto"/>
              </w:rPr>
            </w:pPr>
            <w:r>
              <w:rPr>
                <w:rFonts w:ascii="Arial" w:cs="Arial" w:eastAsia="Arial" w:hAnsi="Arial"/>
                <w:sz w:val="16"/>
                <w:szCs w:val="16"/>
                <w:color w:val="auto"/>
                <w:w w:val="80"/>
              </w:rPr>
              <w:t>n/a</w:t>
            </w:r>
          </w:p>
        </w:tc>
        <w:tc>
          <w:tcPr>
            <w:tcW w:w="2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$23.85</w:t>
            </w:r>
          </w:p>
        </w:tc>
      </w:tr>
      <w:tr>
        <w:trPr>
          <w:trHeight w:val="206"/>
        </w:trPr>
        <w:tc>
          <w:tcPr>
            <w:tcW w:w="2640" w:type="dxa"/>
            <w:vAlign w:val="bottom"/>
            <w:gridSpan w:val="2"/>
          </w:tcPr>
          <w:p>
            <w:pPr>
              <w:spacing w:after="0"/>
              <w:rPr>
                <w:sz w:val="20"/>
                <w:szCs w:val="20"/>
                <w:color w:val="auto"/>
              </w:rPr>
            </w:pPr>
            <w:r>
              <w:rPr>
                <w:rFonts w:ascii="Arial" w:cs="Arial" w:eastAsia="Arial" w:hAnsi="Arial"/>
                <w:sz w:val="16"/>
                <w:szCs w:val="16"/>
                <w:color w:val="auto"/>
              </w:rPr>
              <w:t>PCUs</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26,097</w:t>
            </w:r>
          </w:p>
        </w:tc>
        <w:tc>
          <w:tcPr>
            <w:tcW w:w="206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April 3, 2017</w:t>
            </w:r>
          </w:p>
        </w:tc>
        <w:tc>
          <w:tcPr>
            <w:tcW w:w="1920" w:type="dxa"/>
            <w:vAlign w:val="bottom"/>
            <w:gridSpan w:val="2"/>
          </w:tcPr>
          <w:p>
            <w:pPr>
              <w:ind w:left="1460"/>
              <w:spacing w:after="0"/>
              <w:rPr>
                <w:sz w:val="20"/>
                <w:szCs w:val="20"/>
                <w:color w:val="auto"/>
              </w:rPr>
            </w:pPr>
            <w:r>
              <w:rPr>
                <w:rFonts w:ascii="Arial" w:cs="Arial" w:eastAsia="Arial" w:hAnsi="Arial"/>
                <w:sz w:val="16"/>
                <w:szCs w:val="16"/>
                <w:color w:val="auto"/>
              </w:rPr>
              <w:t>n/a</w:t>
            </w:r>
          </w:p>
        </w:tc>
        <w:tc>
          <w:tcPr>
            <w:tcW w:w="1360" w:type="dxa"/>
            <w:vAlign w:val="bottom"/>
          </w:tcPr>
          <w:p>
            <w:pPr>
              <w:jc w:val="right"/>
              <w:spacing w:after="0"/>
              <w:rPr>
                <w:sz w:val="20"/>
                <w:szCs w:val="20"/>
                <w:color w:val="auto"/>
              </w:rPr>
            </w:pPr>
            <w:r>
              <w:rPr>
                <w:rFonts w:ascii="Arial" w:cs="Arial" w:eastAsia="Arial" w:hAnsi="Arial"/>
                <w:sz w:val="16"/>
                <w:szCs w:val="16"/>
                <w:color w:val="auto"/>
              </w:rPr>
              <w:t>$23.85</w:t>
            </w:r>
          </w:p>
        </w:tc>
      </w:tr>
    </w:tbl>
    <w:p>
      <w:pPr>
        <w:spacing w:after="0" w:line="202" w:lineRule="exact"/>
        <w:rPr>
          <w:sz w:val="20"/>
          <w:szCs w:val="20"/>
          <w:color w:val="auto"/>
        </w:rPr>
      </w:pPr>
    </w:p>
    <w:p>
      <w:pPr>
        <w:ind w:right="20" w:firstLine="357"/>
        <w:spacing w:after="0" w:line="278" w:lineRule="auto"/>
        <w:rPr>
          <w:sz w:val="20"/>
          <w:szCs w:val="20"/>
          <w:color w:val="auto"/>
        </w:rPr>
      </w:pPr>
      <w:r>
        <w:rPr>
          <w:rFonts w:ascii="Arial" w:cs="Arial" w:eastAsia="Arial" w:hAnsi="Arial"/>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4" w:lineRule="exact"/>
        <w:rPr>
          <w:sz w:val="20"/>
          <w:szCs w:val="20"/>
          <w:color w:val="auto"/>
        </w:rPr>
      </w:pPr>
    </w:p>
    <w:p>
      <w:pPr>
        <w:ind w:right="20" w:firstLine="357"/>
        <w:spacing w:after="0" w:line="293" w:lineRule="auto"/>
        <w:rPr>
          <w:sz w:val="20"/>
          <w:szCs w:val="20"/>
          <w:color w:val="auto"/>
        </w:rPr>
      </w:pPr>
      <w:r>
        <w:rPr>
          <w:rFonts w:ascii="Arial" w:cs="Arial" w:eastAsia="Arial" w:hAnsi="Arial"/>
          <w:sz w:val="16"/>
          <w:szCs w:val="16"/>
          <w:color w:val="auto"/>
        </w:rPr>
        <w:t>The fair value of the RCUs and PCUs in accordance with the GasLog Partners’ Plan was determined by using the grant date closing price of $23.85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9"/>
        </w:trPr>
        <w:tc>
          <w:tcPr>
            <w:tcW w:w="570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9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9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9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awards</w:t>
            </w: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contractual life</w:t>
            </w: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fair value</w:t>
            </w:r>
          </w:p>
        </w:tc>
      </w:tr>
      <w:tr>
        <w:trPr>
          <w:trHeight w:val="189"/>
        </w:trPr>
        <w:tc>
          <w:tcPr>
            <w:tcW w:w="980" w:type="dxa"/>
            <w:vAlign w:val="bottom"/>
          </w:tcPr>
          <w:p>
            <w:pPr>
              <w:spacing w:after="0"/>
              <w:rPr>
                <w:sz w:val="16"/>
                <w:szCs w:val="16"/>
                <w:color w:val="auto"/>
              </w:rPr>
            </w:pPr>
          </w:p>
        </w:tc>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36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b w:val="1"/>
                <w:bCs w:val="1"/>
                <w:color w:val="auto"/>
              </w:rPr>
              <w:t>Outstanding as of January 1, 2017</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41,924</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820</w:t>
            </w:r>
          </w:p>
        </w:tc>
        <w:tc>
          <w:tcPr>
            <w:tcW w:w="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26,097</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622</w:t>
            </w:r>
          </w:p>
        </w:tc>
        <w:tc>
          <w:tcPr>
            <w:tcW w:w="80" w:type="dxa"/>
            <w:vAlign w:val="bottom"/>
            <w:shd w:val="clear" w:color="auto" w:fill="E5FFFF"/>
          </w:tcPr>
          <w:p>
            <w:pPr>
              <w:spacing w:after="0"/>
              <w:rPr>
                <w:sz w:val="17"/>
                <w:szCs w:val="17"/>
                <w:color w:val="auto"/>
              </w:rPr>
            </w:pPr>
          </w:p>
        </w:tc>
      </w:tr>
      <w:tr>
        <w:trPr>
          <w:trHeight w:val="236"/>
        </w:trPr>
        <w:tc>
          <w:tcPr>
            <w:tcW w:w="980" w:type="dxa"/>
            <w:vAlign w:val="bottom"/>
          </w:tcPr>
          <w:p>
            <w:pPr>
              <w:spacing w:after="0"/>
              <w:rPr>
                <w:sz w:val="20"/>
                <w:szCs w:val="20"/>
                <w:color w:val="auto"/>
              </w:rPr>
            </w:pPr>
          </w:p>
        </w:tc>
        <w:tc>
          <w:tcPr>
            <w:tcW w:w="4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Outstanding as of September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68,021</w:t>
            </w:r>
          </w:p>
        </w:tc>
        <w:tc>
          <w:tcPr>
            <w:tcW w:w="30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8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156"/>
        </w:trPr>
        <w:tc>
          <w:tcPr>
            <w:tcW w:w="980" w:type="dxa"/>
            <w:vAlign w:val="bottom"/>
          </w:tcPr>
          <w:p>
            <w:pPr>
              <w:spacing w:after="0"/>
              <w:rPr>
                <w:sz w:val="13"/>
                <w:szCs w:val="13"/>
                <w:color w:val="auto"/>
              </w:rPr>
            </w:pPr>
          </w:p>
        </w:tc>
        <w:tc>
          <w:tcPr>
            <w:tcW w:w="472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PCUs</w:t>
            </w:r>
          </w:p>
        </w:tc>
        <w:tc>
          <w:tcPr>
            <w:tcW w:w="1360" w:type="dxa"/>
            <w:vAlign w:val="bottom"/>
            <w:shd w:val="clear" w:color="auto" w:fill="E5FFFF"/>
          </w:tcPr>
          <w:p>
            <w:pPr>
              <w:spacing w:after="0"/>
              <w:rPr>
                <w:sz w:val="13"/>
                <w:szCs w:val="13"/>
                <w:color w:val="auto"/>
              </w:rPr>
            </w:pPr>
          </w:p>
        </w:tc>
        <w:tc>
          <w:tcPr>
            <w:tcW w:w="300" w:type="dxa"/>
            <w:vAlign w:val="bottom"/>
            <w:shd w:val="clear" w:color="auto" w:fill="E5FFFF"/>
          </w:tcPr>
          <w:p>
            <w:pPr>
              <w:spacing w:after="0"/>
              <w:rPr>
                <w:sz w:val="13"/>
                <w:szCs w:val="13"/>
                <w:color w:val="auto"/>
              </w:rPr>
            </w:pPr>
          </w:p>
        </w:tc>
        <w:tc>
          <w:tcPr>
            <w:tcW w:w="13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36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9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b w:val="1"/>
                <w:bCs w:val="1"/>
                <w:color w:val="auto"/>
              </w:rPr>
              <w:t>Outstanding as of January 1, 2017</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41,924</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820</w:t>
            </w:r>
          </w:p>
        </w:tc>
        <w:tc>
          <w:tcPr>
            <w:tcW w:w="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26,097</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622</w:t>
            </w:r>
          </w:p>
        </w:tc>
        <w:tc>
          <w:tcPr>
            <w:tcW w:w="80" w:type="dxa"/>
            <w:vAlign w:val="bottom"/>
            <w:shd w:val="clear" w:color="auto" w:fill="E5FFFF"/>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b w:val="1"/>
                <w:bCs w:val="1"/>
                <w:color w:val="auto"/>
              </w:rPr>
              <w:t>Outstanding as of September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68,021</w:t>
            </w:r>
          </w:p>
        </w:tc>
        <w:tc>
          <w:tcPr>
            <w:tcW w:w="3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380"/>
          </w:cols>
          <w:pgMar w:left="240" w:top="342" w:right="279" w:bottom="0" w:gutter="0" w:footer="0" w:header="0"/>
        </w:sectPr>
      </w:pPr>
    </w:p>
    <w:bookmarkStart w:id="33" w:name="page34"/>
    <w:bookmarkEnd w:id="33"/>
    <w:p>
      <w:pPr>
        <w:ind w:right="60" w:firstLine="436"/>
        <w:spacing w:after="0" w:line="329" w:lineRule="auto"/>
        <w:rPr>
          <w:sz w:val="20"/>
          <w:szCs w:val="20"/>
          <w:color w:val="auto"/>
        </w:rPr>
      </w:pPr>
      <w:r>
        <w:rPr>
          <w:rFonts w:ascii="Arial" w:cs="Arial" w:eastAsia="Arial" w:hAnsi="Arial"/>
          <w:sz w:val="15"/>
          <w:szCs w:val="15"/>
          <w:color w:val="auto"/>
        </w:rPr>
        <w:t>The total expense recognized in respect of share-based compensation for the three and nine months ended September 30, 2017 was $1,257 and $3,492 (for the three and nine months ended September 30, 2016: $1,035 and $2,835). The total accrued cash distribution as of September 30, 2017 is $696 (December 31, 2016: $353).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Earnings/(losses) per Share (“EPS”)</w:t>
      </w:r>
    </w:p>
    <w:p>
      <w:pPr>
        <w:spacing w:after="0" w:line="239" w:lineRule="exact"/>
        <w:rPr>
          <w:sz w:val="20"/>
          <w:szCs w:val="20"/>
          <w:color w:val="auto"/>
        </w:rPr>
      </w:pPr>
    </w:p>
    <w:p>
      <w:pPr>
        <w:ind w:right="360" w:firstLine="356"/>
        <w:spacing w:after="0" w:line="293" w:lineRule="auto"/>
        <w:rPr>
          <w:sz w:val="20"/>
          <w:szCs w:val="20"/>
          <w:color w:val="auto"/>
        </w:rPr>
      </w:pPr>
      <w:r>
        <w:rPr>
          <w:rFonts w:ascii="Arial" w:cs="Arial" w:eastAsia="Arial" w:hAnsi="Arial"/>
          <w:sz w:val="16"/>
          <w:szCs w:val="16"/>
          <w:color w:val="auto"/>
        </w:rPr>
        <w:t>Basic earnings/(losses) per share was calculated by dividing the profit for the period attributable to the owners of the common shares after deducting the dividend on preference shares by the weighted average number of common shares issued and outstanding during the period.</w:t>
      </w:r>
    </w:p>
    <w:p>
      <w:pPr>
        <w:spacing w:after="0" w:line="172" w:lineRule="exact"/>
        <w:rPr>
          <w:sz w:val="20"/>
          <w:szCs w:val="20"/>
          <w:color w:val="auto"/>
        </w:rPr>
      </w:pPr>
    </w:p>
    <w:p>
      <w:pPr>
        <w:ind w:firstLine="356"/>
        <w:spacing w:after="0" w:line="278" w:lineRule="auto"/>
        <w:rPr>
          <w:sz w:val="20"/>
          <w:szCs w:val="20"/>
          <w:color w:val="auto"/>
        </w:rPr>
      </w:pPr>
      <w:r>
        <w:rPr>
          <w:rFonts w:ascii="Arial" w:cs="Arial" w:eastAsia="Arial" w:hAnsi="Arial"/>
          <w:sz w:val="16"/>
          <w:szCs w:val="16"/>
          <w:color w:val="auto"/>
        </w:rPr>
        <w:t>Diluted earnings/(losses) per share is calculated by dividing the profit for the period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earnings/(losses) and share data used in the basic and diluted earnings/(losses) per share computations: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31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E5FFFF"/>
            </w:tcBorders>
          </w:tcPr>
          <w:p>
            <w:pPr>
              <w:spacing w:after="0"/>
              <w:rPr>
                <w:sz w:val="18"/>
                <w:szCs w:val="18"/>
                <w:color w:val="auto"/>
              </w:rPr>
            </w:pPr>
          </w:p>
        </w:tc>
      </w:tr>
      <w:tr>
        <w:trPr>
          <w:trHeight w:val="189"/>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(loss)/earnings per share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(Loss)/profit for the period attributable to owners of the Group</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(29,046)</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5,335</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Plus: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Dividend on preference shares (Note 11)</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(2,516)</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(2,516)</w:t>
            </w:r>
          </w:p>
        </w:tc>
      </w:tr>
      <w:tr>
        <w:trPr>
          <w:trHeight w:val="196"/>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(Loss)/profit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(31,562)</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80,553,238</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80,631,298</w:t>
            </w:r>
          </w:p>
        </w:tc>
        <w:tc>
          <w:tcPr>
            <w:tcW w:w="100" w:type="dxa"/>
            <w:vAlign w:val="bottom"/>
            <w:tcBorders>
              <w:bottom w:val="single" w:sz="8" w:color="E5FFFF"/>
            </w:tcBorders>
          </w:tcPr>
          <w:p>
            <w:pPr>
              <w:spacing w:after="0"/>
              <w:rPr>
                <w:sz w:val="17"/>
                <w:szCs w:val="17"/>
                <w:color w:val="auto"/>
              </w:rPr>
            </w:pPr>
          </w:p>
        </w:tc>
      </w:tr>
      <w:tr>
        <w:trPr>
          <w:trHeight w:val="196"/>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(loss)/earnings per share</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b w:val="1"/>
                <w:bCs w:val="1"/>
                <w:color w:val="auto"/>
              </w:rPr>
              <w:t>(0.39)</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100" w:type="dxa"/>
            <w:vAlign w:val="bottom"/>
            <w:shd w:val="clear" w:color="auto" w:fill="E5FFFF"/>
          </w:tcPr>
          <w:p>
            <w:pPr>
              <w:spacing w:after="0"/>
              <w:rPr>
                <w:sz w:val="17"/>
                <w:szCs w:val="17"/>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(loss)/earnings per share</w:t>
            </w: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w w:val="99"/>
              </w:rPr>
              <w:t>(Loss)/profit for the period available to owners of the Group used in the calculation of diluted (loss)/earnings per</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78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(31,562)</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2,819</w:t>
            </w:r>
          </w:p>
        </w:tc>
      </w:tr>
      <w:tr>
        <w:trPr>
          <w:trHeight w:val="196"/>
        </w:trPr>
        <w:tc>
          <w:tcPr>
            <w:tcW w:w="786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80,553,238</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80,631,298</w:t>
            </w:r>
          </w:p>
        </w:tc>
        <w:tc>
          <w:tcPr>
            <w:tcW w:w="10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6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643,263</w:t>
            </w: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80,553,238</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81,274,561</w:t>
            </w:r>
          </w:p>
        </w:tc>
        <w:tc>
          <w:tcPr>
            <w:tcW w:w="100" w:type="dxa"/>
            <w:vAlign w:val="bottom"/>
            <w:tcBorders>
              <w:bottom w:val="single" w:sz="8" w:color="E5FFFF"/>
            </w:tcBorders>
          </w:tcPr>
          <w:p>
            <w:pPr>
              <w:spacing w:after="0"/>
              <w:rPr>
                <w:sz w:val="17"/>
                <w:szCs w:val="17"/>
                <w:color w:val="auto"/>
              </w:rPr>
            </w:pPr>
          </w:p>
        </w:tc>
      </w:tr>
      <w:tr>
        <w:trPr>
          <w:trHeight w:val="196"/>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(loss)/earnings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(0.39</w:t>
            </w:r>
          </w:p>
        </w:tc>
        <w:tc>
          <w:tcPr>
            <w:tcW w:w="280" w:type="dxa"/>
            <w:vAlign w:val="bottom"/>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100" w:type="dxa"/>
            <w:vAlign w:val="bottom"/>
            <w:shd w:val="clear" w:color="auto" w:fill="E5FFFF"/>
          </w:tcPr>
          <w:p>
            <w:pPr>
              <w:spacing w:after="0"/>
              <w:rPr>
                <w:sz w:val="17"/>
                <w:szCs w:val="17"/>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The Group excluded the effect of 1,018,089 SARs in calculating diluted EPS for the three months ended September 30, 2017, as they were anti-dilutive (September 30, 2016: 1,721,817 SARs and 368,437 RSUs).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31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E5FFFF"/>
            </w:tcBorders>
          </w:tcPr>
          <w:p>
            <w:pPr>
              <w:spacing w:after="0"/>
              <w:rPr>
                <w:sz w:val="18"/>
                <w:szCs w:val="18"/>
                <w:color w:val="auto"/>
              </w:rPr>
            </w:pPr>
          </w:p>
        </w:tc>
      </w:tr>
      <w:tr>
        <w:trPr>
          <w:trHeight w:val="189"/>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 per share</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(Loss)/profit for the period attributable to owners of the Group</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(52,808)</w:t>
            </w:r>
          </w:p>
        </w:tc>
        <w:tc>
          <w:tcPr>
            <w:tcW w:w="1460" w:type="dxa"/>
            <w:vAlign w:val="bottom"/>
            <w:gridSpan w:val="2"/>
          </w:tcPr>
          <w:p>
            <w:pPr>
              <w:jc w:val="right"/>
              <w:ind w:right="59"/>
              <w:spacing w:after="0"/>
              <w:rPr>
                <w:sz w:val="20"/>
                <w:szCs w:val="20"/>
                <w:color w:val="auto"/>
              </w:rPr>
            </w:pPr>
            <w:r>
              <w:rPr>
                <w:rFonts w:ascii="Arial" w:cs="Arial" w:eastAsia="Arial" w:hAnsi="Arial"/>
                <w:sz w:val="16"/>
                <w:szCs w:val="16"/>
                <w:color w:val="auto"/>
              </w:rPr>
              <w:t>6,572</w:t>
            </w: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Plus: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Dividend on preference shares (Note 11)</w:t>
            </w:r>
          </w:p>
        </w:tc>
        <w:tc>
          <w:tcPr>
            <w:tcW w:w="1640" w:type="dxa"/>
            <w:vAlign w:val="bottom"/>
            <w:gridSpan w:val="2"/>
          </w:tcPr>
          <w:p>
            <w:pPr>
              <w:jc w:val="right"/>
              <w:ind w:right="139"/>
              <w:spacing w:after="0"/>
              <w:rPr>
                <w:sz w:val="20"/>
                <w:szCs w:val="20"/>
                <w:color w:val="auto"/>
              </w:rPr>
            </w:pPr>
            <w:r>
              <w:rPr>
                <w:rFonts w:ascii="Arial" w:cs="Arial" w:eastAsia="Arial" w:hAnsi="Arial"/>
                <w:sz w:val="16"/>
                <w:szCs w:val="16"/>
                <w:color w:val="auto"/>
              </w:rPr>
              <w:t>(7,547)</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(7,548)</w:t>
            </w:r>
          </w:p>
        </w:tc>
      </w:tr>
      <w:tr>
        <w:trPr>
          <w:trHeight w:val="196"/>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(60,355)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80,528,389</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100" w:type="dxa"/>
            <w:vAlign w:val="bottom"/>
            <w:tcBorders>
              <w:bottom w:val="single" w:sz="8" w:color="E5FFFF"/>
            </w:tcBorders>
          </w:tcPr>
          <w:p>
            <w:pPr>
              <w:spacing w:after="0"/>
              <w:rPr>
                <w:sz w:val="17"/>
                <w:szCs w:val="17"/>
                <w:color w:val="auto"/>
              </w:rPr>
            </w:pPr>
          </w:p>
        </w:tc>
      </w:tr>
      <w:tr>
        <w:trPr>
          <w:trHeight w:val="196"/>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(0.75)</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E5FFFF"/>
          </w:tcPr>
          <w:p>
            <w:pPr>
              <w:spacing w:after="0"/>
              <w:rPr>
                <w:sz w:val="17"/>
                <w:szCs w:val="17"/>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 per share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Loss for the period available to owners of the Group used in the calculation of diluted loss per share</w:t>
            </w:r>
          </w:p>
        </w:tc>
        <w:tc>
          <w:tcPr>
            <w:tcW w:w="16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(60,355)</w:t>
            </w:r>
          </w:p>
        </w:tc>
        <w:tc>
          <w:tcPr>
            <w:tcW w:w="146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(976)</w:t>
            </w:r>
          </w:p>
        </w:tc>
      </w:tr>
      <w:tr>
        <w:trPr>
          <w:trHeight w:val="196"/>
        </w:trPr>
        <w:tc>
          <w:tcPr>
            <w:tcW w:w="786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80,528,389</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10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64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80,528,389</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80,605,848</w:t>
            </w:r>
          </w:p>
        </w:tc>
        <w:tc>
          <w:tcPr>
            <w:tcW w:w="100" w:type="dxa"/>
            <w:vAlign w:val="bottom"/>
            <w:tcBorders>
              <w:bottom w:val="single" w:sz="8" w:color="E5FFFF"/>
            </w:tcBorders>
          </w:tcPr>
          <w:p>
            <w:pPr>
              <w:spacing w:after="0"/>
              <w:rPr>
                <w:sz w:val="17"/>
                <w:szCs w:val="17"/>
                <w:color w:val="auto"/>
              </w:rPr>
            </w:pPr>
          </w:p>
        </w:tc>
      </w:tr>
      <w:tr>
        <w:trPr>
          <w:trHeight w:val="196"/>
        </w:trPr>
        <w:tc>
          <w:tcPr>
            <w:tcW w:w="78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(0.75</w:t>
            </w:r>
          </w:p>
        </w:tc>
        <w:tc>
          <w:tcPr>
            <w:tcW w:w="28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E5FFFF"/>
          </w:tcPr>
          <w:p>
            <w:pPr>
              <w:jc w:val="right"/>
              <w:ind w:right="19"/>
              <w:spacing w:after="0"/>
              <w:rPr>
                <w:sz w:val="20"/>
                <w:szCs w:val="20"/>
                <w:color w:val="auto"/>
              </w:rPr>
            </w:pPr>
            <w:r>
              <w:rPr>
                <w:rFonts w:ascii="Arial" w:cs="Arial" w:eastAsia="Arial" w:hAnsi="Arial"/>
                <w:sz w:val="8"/>
                <w:szCs w:val="8"/>
                <w:b w:val="1"/>
                <w:bCs w:val="1"/>
                <w:color w:val="auto"/>
                <w:w w:val="73"/>
              </w:rPr>
              <w:t>)</w:t>
            </w:r>
          </w:p>
        </w:tc>
      </w:tr>
    </w:tbl>
    <w:p>
      <w:pPr>
        <w:spacing w:after="0" w:line="206" w:lineRule="exact"/>
        <w:rPr>
          <w:sz w:val="20"/>
          <w:szCs w:val="20"/>
          <w:color w:val="auto"/>
        </w:rPr>
      </w:pPr>
    </w:p>
    <w:p>
      <w:pPr>
        <w:jc w:val="both"/>
        <w:ind w:right="440" w:firstLine="392"/>
        <w:spacing w:after="0" w:line="293" w:lineRule="auto"/>
        <w:rPr>
          <w:sz w:val="20"/>
          <w:szCs w:val="20"/>
          <w:color w:val="auto"/>
        </w:rPr>
      </w:pPr>
      <w:r>
        <w:rPr>
          <w:rFonts w:ascii="Arial" w:cs="Arial" w:eastAsia="Arial" w:hAnsi="Arial"/>
          <w:sz w:val="16"/>
          <w:szCs w:val="16"/>
          <w:color w:val="auto"/>
        </w:rPr>
        <w:t>The Group excluded the effect of 2,130,982 SARs and 438,595 RSUs in calculating diluted EPS for the nine months ended September 30, 2017, as they were anti-dilutive (September 30, 2016: 1,721,817 SARs and 368,437 RSUs).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Subsequent Events</w:t>
      </w:r>
    </w:p>
    <w:p>
      <w:pPr>
        <w:spacing w:after="0" w:line="239" w:lineRule="exact"/>
        <w:rPr>
          <w:sz w:val="20"/>
          <w:szCs w:val="20"/>
          <w:color w:val="auto"/>
        </w:rPr>
      </w:pPr>
    </w:p>
    <w:p>
      <w:pPr>
        <w:ind w:right="320" w:firstLine="356"/>
        <w:spacing w:after="0" w:line="293" w:lineRule="auto"/>
        <w:rPr>
          <w:sz w:val="20"/>
          <w:szCs w:val="20"/>
          <w:color w:val="auto"/>
        </w:rPr>
      </w:pPr>
      <w:r>
        <w:rPr>
          <w:rFonts w:ascii="Arial" w:cs="Arial" w:eastAsia="Arial" w:hAnsi="Arial"/>
          <w:sz w:val="16"/>
          <w:szCs w:val="16"/>
          <w:color w:val="auto"/>
        </w:rPr>
        <w:t xml:space="preserve">On October 20, 2017, GasLog completed the sale of 100% of the ownership interest in GAS-eight Ltd., the entity which owns the </w:t>
      </w:r>
      <w:r>
        <w:rPr>
          <w:rFonts w:ascii="Arial" w:cs="Arial" w:eastAsia="Arial" w:hAnsi="Arial"/>
          <w:sz w:val="16"/>
          <w:szCs w:val="16"/>
          <w:i w:val="1"/>
          <w:iCs w:val="1"/>
          <w:color w:val="auto"/>
        </w:rPr>
        <w:t>Solaris</w:t>
      </w:r>
      <w:r>
        <w:rPr>
          <w:rFonts w:ascii="Arial" w:cs="Arial" w:eastAsia="Arial" w:hAnsi="Arial"/>
          <w:sz w:val="16"/>
          <w:szCs w:val="16"/>
          <w:color w:val="auto"/>
        </w:rPr>
        <w:t>, to GasLog Partners, for an aggregate purchase price of $185,900, including $1,000 of positive working capital.</w:t>
      </w:r>
    </w:p>
    <w:p>
      <w:pPr>
        <w:spacing w:after="0" w:line="172" w:lineRule="exact"/>
        <w:rPr>
          <w:sz w:val="20"/>
          <w:szCs w:val="20"/>
          <w:color w:val="auto"/>
        </w:rPr>
      </w:pPr>
    </w:p>
    <w:p>
      <w:pPr>
        <w:ind w:right="120" w:firstLine="356"/>
        <w:spacing w:after="0" w:line="293" w:lineRule="auto"/>
        <w:rPr>
          <w:sz w:val="20"/>
          <w:szCs w:val="20"/>
          <w:color w:val="auto"/>
        </w:rPr>
      </w:pPr>
      <w:r>
        <w:rPr>
          <w:rFonts w:ascii="Arial" w:cs="Arial" w:eastAsia="Arial" w:hAnsi="Arial"/>
          <w:sz w:val="16"/>
          <w:szCs w:val="16"/>
          <w:color w:val="auto"/>
        </w:rPr>
        <w:t>On November 1, 2017, the board of directors declared a quarterly cash dividend of $0.14 per common share payable on November 22, 2017 to shareholders of record as of November 13, 2017.</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lowerLetter"/>
      <w:start w:val="4"/>
    </w:lvl>
  </w:abstractNum>
  <w:abstractNum w:abstractNumId="18">
    <w:nsid w:val="436C6125"/>
    <w:multiLevelType w:val="hybridMultilevel"/>
    <w:lvl w:ilvl="0">
      <w:lvlJc w:val="left"/>
      <w:lvlText w:val="(%1)"/>
      <w:numFmt w:val="lowerLetter"/>
      <w:start w:val="5"/>
    </w:lvl>
  </w:abstractNum>
  <w:abstractNum w:abstractNumId="19">
    <w:nsid w:val="628C895D"/>
    <w:multiLevelType w:val="hybridMultilevel"/>
    <w:lvl w:ilvl="0">
      <w:lvlJc w:val="left"/>
      <w:lvlText w:val="(%1)"/>
      <w:numFmt w:val="lowerRoman"/>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2019-12-07T16:50:21Z</dcterms:created>
  <dcterms:modified xsi:type="dcterms:W3CDTF">2019-12-07T16:50:21Z</dcterms:modified>
</cp:coreProperties>
</file>