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1050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Form 6-K</w:t>
            </w:r>
          </w:p>
        </w:tc>
        <w:tc>
          <w:tcPr>
            <w:tcW w:w="740" w:type="dxa"/>
            <w:vAlign w:val="bottom"/>
          </w:tcPr>
          <w:p>
            <w:pPr>
              <w:spacing w:after="0"/>
              <w:rPr>
                <w:sz w:val="20"/>
                <w:szCs w:val="20"/>
                <w:color w:val="auto"/>
              </w:rPr>
            </w:pPr>
          </w:p>
        </w:tc>
      </w:tr>
      <w:tr>
        <w:trPr>
          <w:trHeight w:val="410"/>
        </w:trPr>
        <w:tc>
          <w:tcPr>
            <w:tcW w:w="1050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REPORT OF FOREIGN PRIVATE ISSUER PURSUANT TO RULE 13a-16 OR 15d-16 UNDER THE SECURITIES</w:t>
            </w:r>
          </w:p>
        </w:tc>
        <w:tc>
          <w:tcPr>
            <w:tcW w:w="740" w:type="dxa"/>
            <w:vAlign w:val="bottom"/>
          </w:tcPr>
          <w:p>
            <w:pPr>
              <w:spacing w:after="0"/>
              <w:rPr>
                <w:sz w:val="24"/>
                <w:szCs w:val="24"/>
                <w:color w:val="auto"/>
              </w:rPr>
            </w:pPr>
          </w:p>
        </w:tc>
      </w:tr>
      <w:tr>
        <w:trPr>
          <w:trHeight w:val="238"/>
        </w:trPr>
        <w:tc>
          <w:tcPr>
            <w:tcW w:w="1050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EXCHANGE ACT OF 1934</w:t>
            </w:r>
          </w:p>
        </w:tc>
        <w:tc>
          <w:tcPr>
            <w:tcW w:w="740" w:type="dxa"/>
            <w:vAlign w:val="bottom"/>
          </w:tcPr>
          <w:p>
            <w:pPr>
              <w:spacing w:after="0"/>
              <w:rPr>
                <w:sz w:val="20"/>
                <w:szCs w:val="20"/>
                <w:color w:val="auto"/>
              </w:rPr>
            </w:pPr>
          </w:p>
        </w:tc>
      </w:tr>
      <w:tr>
        <w:trPr>
          <w:trHeight w:val="432"/>
        </w:trPr>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For the month of March 2021</w:t>
            </w:r>
          </w:p>
        </w:tc>
        <w:tc>
          <w:tcPr>
            <w:tcW w:w="740" w:type="dxa"/>
            <w:vAlign w:val="bottom"/>
          </w:tcPr>
          <w:p>
            <w:pPr>
              <w:spacing w:after="0"/>
              <w:rPr>
                <w:sz w:val="24"/>
                <w:szCs w:val="24"/>
                <w:color w:val="auto"/>
              </w:rPr>
            </w:pPr>
          </w:p>
        </w:tc>
      </w:tr>
      <w:tr>
        <w:trPr>
          <w:trHeight w:val="432"/>
        </w:trPr>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Commission File Number 001-35466</w:t>
            </w:r>
          </w:p>
        </w:tc>
        <w:tc>
          <w:tcPr>
            <w:tcW w:w="740" w:type="dxa"/>
            <w:vAlign w:val="bottom"/>
          </w:tcPr>
          <w:p>
            <w:pPr>
              <w:spacing w:after="0"/>
              <w:rPr>
                <w:sz w:val="24"/>
                <w:szCs w:val="24"/>
                <w:color w:val="auto"/>
              </w:rPr>
            </w:pPr>
          </w:p>
        </w:tc>
      </w:tr>
      <w:tr>
        <w:trPr>
          <w:trHeight w:val="414"/>
        </w:trPr>
        <w:tc>
          <w:tcPr>
            <w:tcW w:w="1050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GasLog Ltd</w:t>
            </w:r>
          </w:p>
        </w:tc>
        <w:tc>
          <w:tcPr>
            <w:tcW w:w="740" w:type="dxa"/>
            <w:vAlign w:val="bottom"/>
          </w:tcPr>
          <w:p>
            <w:pPr>
              <w:spacing w:after="0"/>
              <w:rPr>
                <w:sz w:val="24"/>
                <w:szCs w:val="24"/>
                <w:color w:val="auto"/>
              </w:rPr>
            </w:pPr>
          </w:p>
        </w:tc>
      </w:tr>
      <w:tr>
        <w:trPr>
          <w:trHeight w:val="234"/>
        </w:trPr>
        <w:tc>
          <w:tcPr>
            <w:tcW w:w="105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(Translation of registrant’s name into English)</w:t>
            </w:r>
          </w:p>
        </w:tc>
        <w:tc>
          <w:tcPr>
            <w:tcW w:w="740" w:type="dxa"/>
            <w:vAlign w:val="bottom"/>
          </w:tcPr>
          <w:p>
            <w:pPr>
              <w:spacing w:after="0"/>
              <w:rPr>
                <w:sz w:val="20"/>
                <w:szCs w:val="20"/>
                <w:color w:val="auto"/>
              </w:rPr>
            </w:pPr>
          </w:p>
        </w:tc>
      </w:tr>
      <w:tr>
        <w:trPr>
          <w:trHeight w:val="414"/>
        </w:trPr>
        <w:tc>
          <w:tcPr>
            <w:tcW w:w="1050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c/o GasLog Services LNG Ltd.</w:t>
            </w:r>
          </w:p>
        </w:tc>
        <w:tc>
          <w:tcPr>
            <w:tcW w:w="740" w:type="dxa"/>
            <w:vAlign w:val="bottom"/>
          </w:tcPr>
          <w:p>
            <w:pPr>
              <w:spacing w:after="0"/>
              <w:rPr>
                <w:sz w:val="24"/>
                <w:szCs w:val="24"/>
                <w:color w:val="auto"/>
              </w:rPr>
            </w:pPr>
          </w:p>
        </w:tc>
      </w:tr>
      <w:tr>
        <w:trPr>
          <w:trHeight w:val="216"/>
        </w:trPr>
        <w:tc>
          <w:tcPr>
            <w:tcW w:w="1050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69 Akti Miaouli 18537</w:t>
            </w:r>
          </w:p>
        </w:tc>
        <w:tc>
          <w:tcPr>
            <w:tcW w:w="740" w:type="dxa"/>
            <w:vAlign w:val="bottom"/>
          </w:tcPr>
          <w:p>
            <w:pPr>
              <w:spacing w:after="0"/>
              <w:rPr>
                <w:sz w:val="18"/>
                <w:szCs w:val="18"/>
                <w:color w:val="auto"/>
              </w:rPr>
            </w:pPr>
          </w:p>
        </w:tc>
      </w:tr>
      <w:tr>
        <w:trPr>
          <w:trHeight w:val="216"/>
        </w:trPr>
        <w:tc>
          <w:tcPr>
            <w:tcW w:w="105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Piraeus Greece</w:t>
            </w:r>
          </w:p>
        </w:tc>
        <w:tc>
          <w:tcPr>
            <w:tcW w:w="740" w:type="dxa"/>
            <w:vAlign w:val="bottom"/>
          </w:tcPr>
          <w:p>
            <w:pPr>
              <w:spacing w:after="0"/>
              <w:rPr>
                <w:sz w:val="18"/>
                <w:szCs w:val="18"/>
                <w:color w:val="auto"/>
              </w:rPr>
            </w:pPr>
          </w:p>
        </w:tc>
      </w:tr>
      <w:tr>
        <w:trPr>
          <w:trHeight w:val="234"/>
        </w:trPr>
        <w:tc>
          <w:tcPr>
            <w:tcW w:w="1050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9"/>
              </w:rPr>
              <w:t>(Address of principal executive office)</w:t>
            </w:r>
          </w:p>
        </w:tc>
        <w:tc>
          <w:tcPr>
            <w:tcW w:w="740" w:type="dxa"/>
            <w:vAlign w:val="bottom"/>
          </w:tcPr>
          <w:p>
            <w:pPr>
              <w:spacing w:after="0"/>
              <w:rPr>
                <w:sz w:val="20"/>
                <w:szCs w:val="20"/>
                <w:color w:val="auto"/>
              </w:rPr>
            </w:pPr>
          </w:p>
        </w:tc>
      </w:tr>
      <w:tr>
        <w:trPr>
          <w:trHeight w:val="432"/>
        </w:trPr>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tc>
        <w:tc>
          <w:tcPr>
            <w:tcW w:w="740" w:type="dxa"/>
            <w:vAlign w:val="bottom"/>
          </w:tcPr>
          <w:p>
            <w:pPr>
              <w:spacing w:after="0"/>
              <w:rPr>
                <w:sz w:val="24"/>
                <w:szCs w:val="24"/>
                <w:color w:val="auto"/>
              </w:rPr>
            </w:pPr>
          </w:p>
        </w:tc>
      </w:tr>
      <w:tr>
        <w:trPr>
          <w:trHeight w:val="452"/>
        </w:trPr>
        <w:tc>
          <w:tcPr>
            <w:tcW w:w="1050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tc>
        <w:tc>
          <w:tcPr>
            <w:tcW w:w="740" w:type="dxa"/>
            <w:vAlign w:val="bottom"/>
          </w:tcPr>
          <w:p>
            <w:pPr>
              <w:spacing w:after="0"/>
              <w:rPr>
                <w:sz w:val="24"/>
                <w:szCs w:val="24"/>
                <w:color w:val="auto"/>
              </w:rPr>
            </w:pPr>
          </w:p>
        </w:tc>
      </w:tr>
      <w:tr>
        <w:trPr>
          <w:trHeight w:val="432"/>
        </w:trPr>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tc>
        <w:tc>
          <w:tcPr>
            <w:tcW w:w="74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tc>
        <w:tc>
          <w:tcPr>
            <w:tcW w:w="74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r>
      <w:tr>
        <w:trPr>
          <w:trHeight w:val="196"/>
        </w:trPr>
        <w:tc>
          <w:tcPr>
            <w:tcW w:w="105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r>
      <w:tr>
        <w:trPr>
          <w:trHeight w:val="28"/>
        </w:trPr>
        <w:tc>
          <w:tcPr>
            <w:tcW w:w="10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648"/>
        </w:trPr>
        <w:tc>
          <w:tcPr>
            <w:tcW w:w="105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25" w:right="339" w:bottom="1440" w:gutter="0" w:footer="0" w:header="0"/>
        </w:sectPr>
      </w:pPr>
    </w:p>
    <w:bookmarkStart w:id="1" w:name="page2"/>
    <w:bookmarkEnd w:id="1"/>
    <w:p>
      <w:pPr>
        <w:jc w:val="both"/>
        <w:spacing w:after="0" w:line="282" w:lineRule="auto"/>
        <w:rPr>
          <w:sz w:val="20"/>
          <w:szCs w:val="20"/>
          <w:color w:val="auto"/>
        </w:rPr>
      </w:pPr>
      <w:r>
        <w:rPr>
          <w:rFonts w:ascii="Times New Roman" w:cs="Times New Roman" w:eastAsia="Times New Roman" w:hAnsi="Times New Roman"/>
          <w:sz w:val="18"/>
          <w:szCs w:val="18"/>
          <w:color w:val="auto"/>
        </w:rPr>
        <w:t>The press release issued by GasLog Ltd. on March 17, 2021 announcing that GasLog Ltd. has declared a dividend on its Series A Preference Shares is attached hereto as Exhibit 99.1.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INCORPORATION BY REFERENCE</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Exhibit 99.1 to this Report on Form 6-K shall be incorporated by reference into our registration statements on Form F-3 (File Nos. 333-194894, 333-230205 and 333-239797), initially filed with the Securities and Exchange Commission (the “SEC”) on March 28, 2014, March 12, 2019 and July 10, 2020,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LIST</w:t>
      </w:r>
    </w:p>
    <w:p>
      <w:pPr>
        <w:spacing w:after="0" w:line="2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Exhibit</w:t>
        <w:tab/>
        <w:t>Description</w:t>
      </w:r>
    </w:p>
    <w:p>
      <w:pPr>
        <w:spacing w:after="0" w:line="225" w:lineRule="exact"/>
        <w:rPr>
          <w:sz w:val="20"/>
          <w:szCs w:val="20"/>
          <w:color w:val="auto"/>
        </w:rPr>
      </w:pPr>
    </w:p>
    <w:p>
      <w:pPr>
        <w:spacing w:after="0"/>
        <w:tabs>
          <w:tab w:leader="none" w:pos="780" w:val="left"/>
        </w:tabs>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99.1</w:t>
        </w:r>
      </w:hyperlink>
      <w:r>
        <w:rPr>
          <w:rFonts w:ascii="Times New Roman" w:cs="Times New Roman" w:eastAsia="Times New Roman" w:hAnsi="Times New Roman"/>
          <w:sz w:val="18"/>
          <w:szCs w:val="18"/>
          <w:u w:val="single" w:color="auto"/>
          <w:color w:val="0000EE"/>
        </w:rPr>
        <w:tab/>
      </w:r>
      <w:hyperlink w:anchor="page4">
        <w:r>
          <w:rPr>
            <w:rFonts w:ascii="Times New Roman" w:cs="Times New Roman" w:eastAsia="Times New Roman" w:hAnsi="Times New Roman"/>
            <w:sz w:val="18"/>
            <w:szCs w:val="18"/>
            <w:u w:val="single" w:color="auto"/>
            <w:color w:val="0000EE"/>
          </w:rPr>
          <w:t>Press Release Dated March 17,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17, 2021</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GASLOG LTD</w:t>
      </w:r>
    </w:p>
    <w:p>
      <w:pPr>
        <w:spacing w:after="0" w:line="225" w:lineRule="exact"/>
        <w:rPr>
          <w:sz w:val="20"/>
          <w:szCs w:val="20"/>
          <w:color w:val="auto"/>
        </w:rPr>
      </w:pPr>
    </w:p>
    <w:p>
      <w:pPr>
        <w:ind w:left="5980"/>
        <w:spacing w:after="0"/>
        <w:tabs>
          <w:tab w:leader="none" w:pos="6340" w:val="left"/>
        </w:tabs>
        <w:rPr>
          <w:sz w:val="20"/>
          <w:szCs w:val="20"/>
          <w:color w:val="auto"/>
        </w:rPr>
      </w:pPr>
      <w:r>
        <w:rPr>
          <w:rFonts w:ascii="Times New Roman" w:cs="Times New Roman" w:eastAsia="Times New Roman" w:hAnsi="Times New Roman"/>
          <w:sz w:val="18"/>
          <w:szCs w:val="18"/>
          <w:color w:val="auto"/>
        </w:rPr>
        <w:t>by</w:t>
        <w:tab/>
        <w:t>/s/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31286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7" w:lineRule="exact"/>
        <w:rPr>
          <w:sz w:val="20"/>
          <w:szCs w:val="20"/>
          <w:color w:val="auto"/>
        </w:rPr>
      </w:pPr>
    </w:p>
    <w:p>
      <w:pPr>
        <w:ind w:left="6320"/>
        <w:spacing w:after="0"/>
        <w:tabs>
          <w:tab w:leader="none" w:pos="69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Paul A. Wogan</w:t>
      </w:r>
    </w:p>
    <w:p>
      <w:pPr>
        <w:spacing w:after="0" w:line="23" w:lineRule="exact"/>
        <w:rPr>
          <w:sz w:val="20"/>
          <w:szCs w:val="20"/>
          <w:color w:val="auto"/>
        </w:rPr>
      </w:pPr>
    </w:p>
    <w:p>
      <w:pPr>
        <w:ind w:left="6320"/>
        <w:spacing w:after="0"/>
        <w:tabs>
          <w:tab w:leader="none" w:pos="69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904" w:right="9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GasLog Ltd. Declares Dividend on Series A Preference Shares</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Piraeus, Greece, March 17, 2021 — </w:t>
      </w:r>
      <w:r>
        <w:rPr>
          <w:rFonts w:ascii="Times New Roman" w:cs="Times New Roman" w:eastAsia="Times New Roman" w:hAnsi="Times New Roman"/>
          <w:sz w:val="18"/>
          <w:szCs w:val="18"/>
          <w:color w:val="auto"/>
        </w:rPr>
        <w:t>GasLog Ltd. (“GasLog” or “Company”) (NYSE: GLOG) today announced a dividend of $0.546875 per share on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8.75% Series A Cumulative Redeemable Perpetual Preference Shares, payable on April 1, 2021 for all shareholders of record as of March 31, 2021.</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Nelson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+1 212-223-0643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ir@gaslogltd.com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GasLog</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GasLog is an international owner, operator and manager of LNG carriers providing support to international energy companies as part of their LNG logistics chain. GasLog’s consolidated fleet consists of 35 LNG carriers. Of these vessels, 17 (15 on the water and two on order) are owned by GasLog, three have been sold to a subsidiary of Mitsui &amp; Co. Ltd. to CMBFL and ICBC respectively, and leased back by GasLog under long-term bareboat charters and the remaining 15 LNG carriers are owned by the Company’s subsidiary, GasLog Partners. GasLog’s principal executive offices are at 69 Akti Miaouli, 18537 Piraeus, Greece. Visit GasLog’s website at http://www.gaslogltd.com.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2021-03-17T05:46:45Z</dcterms:created>
  <dcterms:modified xsi:type="dcterms:W3CDTF">2021-03-17T05:46:45Z</dcterms:modified>
</cp:coreProperties>
</file>