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REPORT OF FOREIGN PRIVATE ISSUER PURSUANT TO RULE 13a-16 OR 15d-16 UNDER THE</w:t>
      </w:r>
    </w:p>
    <w:p>
      <w:pPr>
        <w:spacing w:after="0" w:line="4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Form 40-F o</w:t>
      </w:r>
    </w:p>
    <w:p>
      <w:pPr>
        <w:spacing w:after="0" w:line="258" w:lineRule="exact"/>
        <w:rPr>
          <w:sz w:val="24"/>
          <w:szCs w:val="24"/>
          <w:color w:val="auto"/>
        </w:rPr>
      </w:pPr>
    </w:p>
    <w:p>
      <w:pPr>
        <w:spacing w:after="0"/>
        <w:tabs>
          <w:tab w:leader="none" w:pos="88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r>
        <w:rPr>
          <w:sz w:val="20"/>
          <w:szCs w:val="20"/>
          <w:color w:val="auto"/>
        </w:rPr>
        <w:tab/>
      </w:r>
      <w:r>
        <w:rPr>
          <w:rFonts w:ascii="Arial" w:cs="Arial" w:eastAsia="Arial" w:hAnsi="Arial"/>
          <w:sz w:val="14"/>
          <w:szCs w:val="14"/>
          <w:color w:val="auto"/>
        </w:rPr>
        <w:t>o</w:t>
      </w:r>
    </w:p>
    <w:p>
      <w:pPr>
        <w:spacing w:after="0" w:line="248" w:lineRule="exact"/>
        <w:rPr>
          <w:sz w:val="24"/>
          <w:szCs w:val="24"/>
          <w:color w:val="auto"/>
        </w:rPr>
      </w:pPr>
    </w:p>
    <w:p>
      <w:pPr>
        <w:spacing w:after="0"/>
        <w:tabs>
          <w:tab w:leader="none" w:pos="88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 w:name="page2"/>
    <w:bookmarkEnd w:id="1"/>
    <w:p>
      <w:pPr>
        <w:ind w:right="160" w:firstLine="348"/>
        <w:spacing w:after="0" w:line="268" w:lineRule="auto"/>
        <w:rPr>
          <w:sz w:val="20"/>
          <w:szCs w:val="20"/>
          <w:color w:val="auto"/>
        </w:rPr>
      </w:pPr>
      <w:r>
        <w:rPr>
          <w:rFonts w:ascii="Arial" w:cs="Arial" w:eastAsia="Arial" w:hAnsi="Arial"/>
          <w:sz w:val="18"/>
          <w:szCs w:val="18"/>
          <w:color w:val="auto"/>
        </w:rPr>
        <w:t>The press release issued by GasLog Ltd. on August 2, 2018 relating to its results for the second quarter of 2018 and the related financial report are attached hereto as Exhibits 99.1 and 99.2,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Exhibit 99.2 to this Report on Form 6-K shall be incorporated by reference into our registration statements on Form F-3 (File Nos. 333-194894 and 333-210169), initially filed with the Securities and Exchange Commission (the "SEC") on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Pr>
          <w:p>
            <w:pPr>
              <w:spacing w:after="0"/>
              <w:rPr>
                <w:sz w:val="19"/>
                <w:szCs w:val="19"/>
                <w:color w:val="auto"/>
              </w:rPr>
            </w:pPr>
          </w:p>
        </w:tc>
        <w:tc>
          <w:tcPr>
            <w:tcW w:w="9440" w:type="dxa"/>
            <w:vAlign w:val="bottom"/>
          </w:tcPr>
          <w:p>
            <w:pPr>
              <w:ind w:left="3180"/>
              <w:spacing w:after="0"/>
              <w:rPr>
                <w:sz w:val="20"/>
                <w:szCs w:val="20"/>
                <w:color w:val="auto"/>
              </w:rPr>
            </w:pPr>
            <w:r>
              <w:rPr>
                <w:rFonts w:ascii="Arial" w:cs="Arial" w:eastAsia="Arial" w:hAnsi="Arial"/>
                <w:sz w:val="18"/>
                <w:szCs w:val="18"/>
                <w:color w:val="auto"/>
              </w:rPr>
              <w:t>EXHIBIT LIST</w:t>
            </w:r>
          </w:p>
        </w:tc>
      </w:tr>
      <w:tr>
        <w:trPr>
          <w:trHeight w:val="432"/>
        </w:trPr>
        <w:tc>
          <w:tcPr>
            <w:tcW w:w="1980" w:type="dxa"/>
            <w:vAlign w:val="bottom"/>
          </w:tcPr>
          <w:p>
            <w:pPr>
              <w:ind w:left="1140"/>
              <w:spacing w:after="0"/>
              <w:rPr>
                <w:sz w:val="20"/>
                <w:szCs w:val="20"/>
                <w:color w:val="auto"/>
              </w:rPr>
            </w:pPr>
            <w:r>
              <w:rPr>
                <w:rFonts w:ascii="Arial" w:cs="Arial" w:eastAsia="Arial" w:hAnsi="Arial"/>
                <w:sz w:val="18"/>
                <w:szCs w:val="18"/>
                <w:color w:val="auto"/>
              </w:rPr>
              <w:t>Exhibit</w:t>
            </w:r>
          </w:p>
        </w:tc>
        <w:tc>
          <w:tcPr>
            <w:tcW w:w="9440" w:type="dxa"/>
            <w:vAlign w:val="bottom"/>
          </w:tcPr>
          <w:p>
            <w:pPr>
              <w:ind w:left="180"/>
              <w:spacing w:after="0"/>
              <w:rPr>
                <w:sz w:val="20"/>
                <w:szCs w:val="20"/>
                <w:color w:val="auto"/>
              </w:rPr>
            </w:pPr>
            <w:r>
              <w:rPr>
                <w:rFonts w:ascii="Arial" w:cs="Arial" w:eastAsia="Arial" w:hAnsi="Arial"/>
                <w:sz w:val="18"/>
                <w:szCs w:val="18"/>
                <w:color w:val="auto"/>
              </w:rPr>
              <w:t>Description</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99.1</w:t>
            </w:r>
          </w:p>
        </w:tc>
        <w:tc>
          <w:tcPr>
            <w:tcW w:w="9440" w:type="dxa"/>
            <w:vAlign w:val="bottom"/>
          </w:tcPr>
          <w:p>
            <w:pPr>
              <w:ind w:left="180"/>
              <w:spacing w:after="0"/>
              <w:rPr>
                <w:sz w:val="20"/>
                <w:szCs w:val="20"/>
                <w:color w:val="auto"/>
              </w:rPr>
            </w:pPr>
            <w:r>
              <w:rPr>
                <w:rFonts w:ascii="Arial" w:cs="Arial" w:eastAsia="Arial" w:hAnsi="Arial"/>
                <w:sz w:val="18"/>
                <w:szCs w:val="18"/>
                <w:color w:val="auto"/>
              </w:rPr>
              <w:t>Press Release dated August 2, 2018</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99.2</w:t>
            </w:r>
          </w:p>
        </w:tc>
        <w:tc>
          <w:tcPr>
            <w:tcW w:w="9440" w:type="dxa"/>
            <w:vAlign w:val="bottom"/>
          </w:tcPr>
          <w:p>
            <w:pPr>
              <w:ind w:left="180"/>
              <w:spacing w:after="0"/>
              <w:rPr>
                <w:sz w:val="20"/>
                <w:szCs w:val="20"/>
                <w:color w:val="auto"/>
              </w:rPr>
            </w:pPr>
            <w:r>
              <w:rPr>
                <w:rFonts w:ascii="Arial" w:cs="Arial" w:eastAsia="Arial" w:hAnsi="Arial"/>
                <w:sz w:val="18"/>
                <w:szCs w:val="18"/>
                <w:color w:val="auto"/>
              </w:rPr>
              <w:t>Financial Report for the Three and Six Months Ended June 30, 2018</w:t>
            </w:r>
          </w:p>
        </w:tc>
      </w:tr>
      <w:tr>
        <w:trPr>
          <w:trHeight w:val="459"/>
        </w:trPr>
        <w:tc>
          <w:tcPr>
            <w:tcW w:w="19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r>
      <w:tr>
        <w:trPr>
          <w:trHeight w:val="459"/>
        </w:trPr>
        <w:tc>
          <w:tcPr>
            <w:tcW w:w="19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Unaudited Condensed Consolidated Financial Statements</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101.INS</w:t>
            </w:r>
          </w:p>
        </w:tc>
        <w:tc>
          <w:tcPr>
            <w:tcW w:w="94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101.SCH</w:t>
            </w:r>
          </w:p>
        </w:tc>
        <w:tc>
          <w:tcPr>
            <w:tcW w:w="94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101.CAL</w:t>
            </w:r>
          </w:p>
        </w:tc>
        <w:tc>
          <w:tcPr>
            <w:tcW w:w="9440" w:type="dxa"/>
            <w:vAlign w:val="bottom"/>
          </w:tcPr>
          <w:p>
            <w:pPr>
              <w:ind w:left="180"/>
              <w:spacing w:after="0"/>
              <w:rPr>
                <w:sz w:val="20"/>
                <w:szCs w:val="20"/>
                <w:color w:val="auto"/>
              </w:rPr>
            </w:pPr>
            <w:r>
              <w:rPr>
                <w:rFonts w:ascii="Arial" w:cs="Arial" w:eastAsia="Arial" w:hAnsi="Arial"/>
                <w:sz w:val="18"/>
                <w:szCs w:val="18"/>
                <w:color w:val="auto"/>
              </w:rPr>
              <w:t>XBRL Taxonomy Extension Scheme Calculation Linkbase</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101.DEF</w:t>
            </w:r>
          </w:p>
        </w:tc>
        <w:tc>
          <w:tcPr>
            <w:tcW w:w="9440" w:type="dxa"/>
            <w:vAlign w:val="bottom"/>
          </w:tcPr>
          <w:p>
            <w:pPr>
              <w:ind w:left="180"/>
              <w:spacing w:after="0"/>
              <w:rPr>
                <w:sz w:val="20"/>
                <w:szCs w:val="20"/>
                <w:color w:val="auto"/>
              </w:rPr>
            </w:pPr>
            <w:r>
              <w:rPr>
                <w:rFonts w:ascii="Arial" w:cs="Arial" w:eastAsia="Arial" w:hAnsi="Arial"/>
                <w:sz w:val="18"/>
                <w:szCs w:val="18"/>
                <w:color w:val="auto"/>
              </w:rPr>
              <w:t>XBRL Taxonomy Extension Scheme Definition Linkbase</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101.LAB</w:t>
            </w:r>
          </w:p>
        </w:tc>
        <w:tc>
          <w:tcPr>
            <w:tcW w:w="9440" w:type="dxa"/>
            <w:vAlign w:val="bottom"/>
          </w:tcPr>
          <w:p>
            <w:pPr>
              <w:ind w:left="180"/>
              <w:spacing w:after="0"/>
              <w:rPr>
                <w:sz w:val="20"/>
                <w:szCs w:val="20"/>
                <w:color w:val="auto"/>
              </w:rPr>
            </w:pPr>
            <w:r>
              <w:rPr>
                <w:rFonts w:ascii="Arial" w:cs="Arial" w:eastAsia="Arial" w:hAnsi="Arial"/>
                <w:sz w:val="18"/>
                <w:szCs w:val="18"/>
                <w:color w:val="auto"/>
              </w:rPr>
              <w:t>XBRL Taxonomy Extension Scheme Label Linkbase</w:t>
            </w:r>
          </w:p>
        </w:tc>
      </w:tr>
      <w:tr>
        <w:trPr>
          <w:trHeight w:val="459"/>
        </w:trPr>
        <w:tc>
          <w:tcPr>
            <w:tcW w:w="1980" w:type="dxa"/>
            <w:vAlign w:val="bottom"/>
          </w:tcPr>
          <w:p>
            <w:pPr>
              <w:ind w:left="1140"/>
              <w:spacing w:after="0"/>
              <w:rPr>
                <w:sz w:val="20"/>
                <w:szCs w:val="20"/>
                <w:color w:val="auto"/>
              </w:rPr>
            </w:pPr>
            <w:r>
              <w:rPr>
                <w:rFonts w:ascii="Arial" w:cs="Arial" w:eastAsia="Arial" w:hAnsi="Arial"/>
                <w:sz w:val="18"/>
                <w:szCs w:val="18"/>
                <w:color w:val="auto"/>
              </w:rPr>
              <w:t>101.PRE</w:t>
            </w:r>
          </w:p>
        </w:tc>
        <w:tc>
          <w:tcPr>
            <w:tcW w:w="9440" w:type="dxa"/>
            <w:vAlign w:val="bottom"/>
          </w:tcPr>
          <w:p>
            <w:pPr>
              <w:ind w:left="180"/>
              <w:spacing w:after="0"/>
              <w:rPr>
                <w:sz w:val="20"/>
                <w:szCs w:val="20"/>
                <w:color w:val="auto"/>
              </w:rPr>
            </w:pPr>
            <w:r>
              <w:rPr>
                <w:rFonts w:ascii="Arial" w:cs="Arial" w:eastAsia="Arial" w:hAnsi="Arial"/>
                <w:sz w:val="18"/>
                <w:szCs w:val="18"/>
                <w:color w:val="auto"/>
              </w:rPr>
              <w:t>XBRL Taxonomy Extension Scheme Presentation Linkbase</w:t>
            </w:r>
          </w:p>
        </w:tc>
      </w:tr>
      <w:tr>
        <w:trPr>
          <w:trHeight w:val="432"/>
        </w:trPr>
        <w:tc>
          <w:tcPr>
            <w:tcW w:w="1980" w:type="dxa"/>
            <w:vAlign w:val="bottom"/>
          </w:tcPr>
          <w:p>
            <w:pPr>
              <w:spacing w:after="0"/>
              <w:rPr>
                <w:sz w:val="24"/>
                <w:szCs w:val="24"/>
                <w:color w:val="auto"/>
              </w:rPr>
            </w:pPr>
          </w:p>
        </w:tc>
        <w:tc>
          <w:tcPr>
            <w:tcW w:w="9440" w:type="dxa"/>
            <w:vAlign w:val="bottom"/>
          </w:tcPr>
          <w:p>
            <w:pPr>
              <w:ind w:left="3700"/>
              <w:spacing w:after="0"/>
              <w:rPr>
                <w:sz w:val="20"/>
                <w:szCs w:val="20"/>
                <w:color w:val="auto"/>
              </w:rPr>
            </w:pPr>
            <w:r>
              <w:rPr>
                <w:rFonts w:ascii="Arial" w:cs="Arial" w:eastAsia="Arial" w:hAnsi="Arial"/>
                <w:sz w:val="18"/>
                <w:szCs w:val="18"/>
                <w:color w:val="auto"/>
              </w:rPr>
              <w:t>2</w:t>
            </w:r>
          </w:p>
        </w:tc>
      </w:tr>
      <w:tr>
        <w:trPr>
          <w:trHeight w:val="228"/>
        </w:trPr>
        <w:tc>
          <w:tcPr>
            <w:tcW w:w="1980" w:type="dxa"/>
            <w:vAlign w:val="bottom"/>
            <w:tcBorders>
              <w:bottom w:val="single" w:sz="8" w:color="808080"/>
            </w:tcBorders>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August 2, 2018</w:t>
      </w: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70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78" w:lineRule="exact"/>
        <w:rPr>
          <w:sz w:val="20"/>
          <w:szCs w:val="20"/>
          <w:color w:val="auto"/>
        </w:rPr>
      </w:pPr>
    </w:p>
    <w:p>
      <w:pPr>
        <w:ind w:left="60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15" w:lineRule="exact"/>
        <w:rPr>
          <w:sz w:val="20"/>
          <w:szCs w:val="20"/>
          <w:color w:val="auto"/>
        </w:rPr>
      </w:pPr>
    </w:p>
    <w:p>
      <w:pPr>
        <w:ind w:left="6020"/>
        <w:spacing w:after="0"/>
        <w:tabs>
          <w:tab w:leader="none" w:pos="6620" w:val="left"/>
        </w:tabs>
        <w:rPr>
          <w:sz w:val="20"/>
          <w:szCs w:val="20"/>
          <w:color w:val="auto"/>
        </w:rPr>
      </w:pPr>
      <w:r>
        <w:rPr>
          <w:rFonts w:ascii="Arial" w:cs="Arial" w:eastAsia="Arial" w:hAnsi="Arial"/>
          <w:sz w:val="18"/>
          <w:szCs w:val="18"/>
          <w:color w:val="auto"/>
        </w:rPr>
        <w:t>Title:</w:t>
        <w:tab/>
        <w:t>Chief Executive Officer</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22"/>
          <w:szCs w:val="22"/>
          <w:color w:val="0000EE"/>
        </w:rPr>
      </w:pPr>
      <w:hyperlink w:anchor="page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99.1</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Press Release</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 Reports Financial Results for the Quarter Ended June 30, 2018</w:t>
      </w:r>
    </w:p>
    <w:p>
      <w:pPr>
        <w:spacing w:after="0" w:line="225"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Monaco, August 2, 2018, GasLog Ltd. and its subsidiaries ("GasLog", "Group" or "Company") (NYSE: GLOG)</w:t>
      </w:r>
      <w:r>
        <w:rPr>
          <w:rFonts w:ascii="Arial" w:cs="Arial" w:eastAsia="Arial" w:hAnsi="Arial"/>
          <w:sz w:val="16"/>
          <w:szCs w:val="16"/>
          <w:color w:val="auto"/>
        </w:rPr>
        <w:t>, an international owner, operator 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of liquefied natural gas ("LNG") carriers, today reported its financial results for the quarter ended June 30,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45" w:lineRule="exact"/>
        <w:rPr>
          <w:sz w:val="20"/>
          <w:szCs w:val="20"/>
          <w:color w:val="auto"/>
        </w:rPr>
      </w:pPr>
    </w:p>
    <w:p>
      <w:pPr>
        <w:ind w:left="54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Signed a multi-year charter party with Pioneer Shipping Limited, a wholly owned subsidiary of Centrica plc ("Centrica"), for a newbuild LNG carrier. The vessel, a 180,000 cubic meter ("cbm") LNG carrier to be built by Samsung Heavy Industries Co., Ltd. ("Samsung") with dual fuel two stroke engine propulsion ("LP-2S"), is scheduled for delivery in the third quarter of 2020.</w:t>
      </w:r>
    </w:p>
    <w:p>
      <w:pPr>
        <w:spacing w:after="0" w:line="221" w:lineRule="exact"/>
        <w:rPr>
          <w:rFonts w:ascii="Arial" w:cs="Arial" w:eastAsia="Arial" w:hAnsi="Arial"/>
          <w:sz w:val="18"/>
          <w:szCs w:val="18"/>
          <w:color w:val="auto"/>
        </w:rPr>
      </w:pPr>
    </w:p>
    <w:p>
      <w:pPr>
        <w:ind w:left="540" w:right="2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Completed the sale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to GasLog Partners LP ("GasLog Partners" or the "Partnership") for $207.0 million on April 26, 2018. Part of the consideration was satisfied by the private issuance of $45.0 million of common units in GasLog Partners to GasLog.</w:t>
      </w:r>
    </w:p>
    <w:p>
      <w:pPr>
        <w:spacing w:after="0" w:line="152"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Completion of the dry-docking of, and installation of reliquefaction modules, on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enhancing the commercial competitiveness of both vessels.</w:t>
      </w:r>
    </w:p>
    <w:p>
      <w:pPr>
        <w:spacing w:after="0" w:line="199" w:lineRule="exact"/>
        <w:rPr>
          <w:rFonts w:ascii="Arial" w:cs="Arial" w:eastAsia="Arial" w:hAnsi="Arial"/>
          <w:sz w:val="18"/>
          <w:szCs w:val="18"/>
          <w:color w:val="auto"/>
        </w:rPr>
      </w:pPr>
    </w:p>
    <w:p>
      <w:pPr>
        <w:ind w:left="540" w:right="82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GasLog Partners announced a new time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for 18 months with a wholly owned subsidiary of Cheniere Energy, Inc. ("Cheniere"), scheduled to commence between September and December 2018.</w:t>
      </w:r>
    </w:p>
    <w:p>
      <w:pPr>
        <w:spacing w:after="0" w:line="214" w:lineRule="exact"/>
        <w:rPr>
          <w:rFonts w:ascii="Arial" w:cs="Arial" w:eastAsia="Arial" w:hAnsi="Arial"/>
          <w:sz w:val="18"/>
          <w:szCs w:val="18"/>
          <w:color w:val="auto"/>
        </w:rPr>
      </w:pPr>
    </w:p>
    <w:p>
      <w:pPr>
        <w:ind w:left="540" w:right="80" w:hanging="532"/>
        <w:spacing w:after="0" w:line="188" w:lineRule="auto"/>
        <w:tabs>
          <w:tab w:leader="none" w:pos="540" w:val="left"/>
        </w:tabs>
        <w:numPr>
          <w:ilvl w:val="0"/>
          <w:numId w:val="1"/>
        </w:numPr>
        <w:rPr>
          <w:rFonts w:ascii="Arial" w:cs="Arial" w:eastAsia="Arial" w:hAnsi="Arial"/>
          <w:sz w:val="35"/>
          <w:szCs w:val="35"/>
          <w:color w:val="auto"/>
          <w:vertAlign w:val="superscript"/>
        </w:rPr>
      </w:pPr>
      <w:r>
        <w:rPr>
          <w:rFonts w:ascii="Arial" w:cs="Arial" w:eastAsia="Arial" w:hAnsi="Arial"/>
          <w:sz w:val="18"/>
          <w:szCs w:val="18"/>
          <w:color w:val="auto"/>
        </w:rPr>
        <w:t>Revenues of $132.8 million (Q2 2017: $129.9 million), Profit of $14.2 million (Q2 2017: $6.9 million) and Loss per share of $0.08</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(Q2 2017: Loss per share of $0.12) for the quarter ended June 30, 2018.</w:t>
      </w:r>
    </w:p>
    <w:p>
      <w:pPr>
        <w:spacing w:after="0" w:line="143"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$92.6 million (Q2 2017: $87.4 million) and Adjusted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$92.9 million (Q2 2017: $87.4 million), Adjusted Profit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w:t>
      </w:r>
    </w:p>
    <w:p>
      <w:pPr>
        <w:ind w:left="540" w:right="420"/>
        <w:spacing w:after="0" w:line="188" w:lineRule="auto"/>
        <w:rPr>
          <w:rFonts w:ascii="Arial" w:cs="Arial" w:eastAsia="Arial" w:hAnsi="Arial"/>
          <w:sz w:val="34"/>
          <w:szCs w:val="34"/>
          <w:color w:val="auto"/>
          <w:vertAlign w:val="superscript"/>
        </w:rPr>
      </w:pPr>
      <w:r>
        <w:rPr>
          <w:rFonts w:ascii="Arial" w:cs="Arial" w:eastAsia="Arial" w:hAnsi="Arial"/>
          <w:sz w:val="18"/>
          <w:szCs w:val="18"/>
          <w:color w:val="auto"/>
        </w:rPr>
        <w:t>$14.8 million (Q2 2017: $14.4 million) and Adjusted Loss per share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$0.07</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(Q2 2017: Adjusted Loss per share of $0.03) for the quarter ended June 30, 2018.</w:t>
      </w:r>
    </w:p>
    <w:p>
      <w:pPr>
        <w:spacing w:after="0" w:line="224" w:lineRule="exact"/>
        <w:rPr>
          <w:rFonts w:ascii="Arial" w:cs="Arial" w:eastAsia="Arial" w:hAnsi="Arial"/>
          <w:sz w:val="34"/>
          <w:szCs w:val="34"/>
          <w:color w:val="auto"/>
          <w:vertAlign w:val="superscript"/>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$0.15 per common share payable on August 23, 2018, 7.1% higher than the second quarter of 2017.</w:t>
      </w:r>
    </w:p>
    <w:p>
      <w:pPr>
        <w:spacing w:after="0" w:line="209" w:lineRule="exact"/>
        <w:rPr>
          <w:sz w:val="20"/>
          <w:szCs w:val="20"/>
          <w:color w:val="auto"/>
        </w:rPr>
      </w:pPr>
    </w:p>
    <w:p>
      <w:pPr>
        <w:ind w:left="540" w:right="120" w:hanging="532"/>
        <w:spacing w:after="0" w:line="239" w:lineRule="auto"/>
        <w:tabs>
          <w:tab w:leader="none" w:pos="540" w:val="left"/>
        </w:tabs>
        <w:numPr>
          <w:ilvl w:val="0"/>
          <w:numId w:val="2"/>
        </w:numPr>
        <w:rPr>
          <w:rFonts w:ascii="Arial" w:cs="Arial" w:eastAsia="Arial" w:hAnsi="Arial"/>
          <w:sz w:val="11"/>
          <w:szCs w:val="11"/>
          <w:color w:val="auto"/>
        </w:rPr>
      </w:pPr>
      <w:r>
        <w:rPr>
          <w:rFonts w:ascii="Arial" w:cs="Arial" w:eastAsia="Arial" w:hAnsi="Arial"/>
          <w:sz w:val="14"/>
          <w:szCs w:val="14"/>
          <w:color w:val="auto"/>
        </w:rPr>
        <w:t>Earnings/(loss) per share ("EPS") and Adjusted EPS are net of the profit attributable to the non-controlling interests of $17.8 million and the dividend on preferred stock of $2.5 million for the quarter ended June 30, 2018 ($14.4 million and $2.5 million, respectively, for the quarter ended June 30, 2017).</w:t>
      </w:r>
    </w:p>
    <w:p>
      <w:pPr>
        <w:spacing w:after="0" w:line="111" w:lineRule="exact"/>
        <w:rPr>
          <w:rFonts w:ascii="Arial" w:cs="Arial" w:eastAsia="Arial" w:hAnsi="Arial"/>
          <w:sz w:val="11"/>
          <w:szCs w:val="11"/>
          <w:color w:val="auto"/>
        </w:rPr>
      </w:pPr>
    </w:p>
    <w:p>
      <w:pPr>
        <w:jc w:val="both"/>
        <w:ind w:left="540" w:right="340" w:hanging="532"/>
        <w:spacing w:after="0" w:line="233" w:lineRule="auto"/>
        <w:tabs>
          <w:tab w:leader="none" w:pos="540" w:val="left"/>
        </w:tabs>
        <w:numPr>
          <w:ilvl w:val="0"/>
          <w:numId w:val="2"/>
        </w:numPr>
        <w:rPr>
          <w:rFonts w:ascii="Arial" w:cs="Arial" w:eastAsia="Arial" w:hAnsi="Arial"/>
          <w:sz w:val="11"/>
          <w:szCs w:val="11"/>
          <w:color w:val="auto"/>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Paul Wogan, Chief Executive Officer, stated: "We continued to execute our long-term strategy in the second quarter with the announcement of a new seven-year time charter party with a wholly owned subsidiary of Centrica. Against this, we ordered a newbuild 180,000 cbm LNG carrier with LP-2S propulsion from Samsung for delivery in the third quarter of 2020. We now have five newbuilds on order for delivery in 2019 and 2020, three of which have committed multi-year charters, while the two uncommitted newbuilds are expected to deliver into an attractive LNG shipping market.</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we anticipated, there was seasonal weakening in demand for LNG and for LNG shipping in the second quarter. LNG shipping spot rates troughed in late April but then more than doubled through June, driven by counter seasonal strength in LNG demand and Asian pricing that provided a clear arbitrage opportunity between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 w:name="page6"/>
    <w:bookmarkEnd w:id="5"/>
    <w:p>
      <w:pPr>
        <w:ind w:right="100"/>
        <w:spacing w:after="0" w:line="268" w:lineRule="auto"/>
        <w:rPr>
          <w:sz w:val="20"/>
          <w:szCs w:val="20"/>
          <w:color w:val="auto"/>
        </w:rPr>
      </w:pPr>
      <w:r>
        <w:rPr>
          <w:rFonts w:ascii="Arial" w:cs="Arial" w:eastAsia="Arial" w:hAnsi="Arial"/>
          <w:sz w:val="18"/>
          <w:szCs w:val="18"/>
          <w:color w:val="auto"/>
        </w:rPr>
        <w:t>Atlantic and Pacific Basins. If this recent momentum is maintained through the 2018/19 winter, we expect the future financial performance of our spot vessels to show significant improvement on the second quarter of 2018.</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longer-term supply and demand fundamentals for LNG remain very positive, with China's LNG imports, in particular, increasing 50% year-on-year in the first half of 2018. On the back of these robust fundamentals, Cheniere took a final investment decision ("FID") on Corpus Christi Train 3 which was the first new liquefaction FID since June 2017. We have seen momentum pick up for new, long-term offtake contracts which should encourage further new liquefaction FIDs within the next 12 to 18 months. GasLog is well positioned to capitalize on the shipping requirements for any new LNG supply.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Demand for natural gas and LNG remains robust, underpinned in the second quarter by significant increases in demand from major Asian consumers. According to Poten, LNG imports into China, South Korea and India during the first half of 2018 increased 50%, 14% and 10%, respectively, year-on-year, marginally offset by a 3% reduction in Japan's LNG imports. In particular, the growth in China's LNG demand is attributed to the secular driver of coal-to-gas switching, strong industrial demand and constrained domestic gas production. The backdrop for growth in global LNG demand remains favorable, with Wood Mackenzie estimating compound annual growth of 6% over the 2017-2023 period.</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Wood Mackenzie estimates that during the second quarter of 2018 global LNG supply increased by 8% year-over-year, but declined 3% from the first quarter of 2018. The year-on-year increase was driven by the start-up of new liquefaction capacity in the United States ("US"), Russia and Australia, while the sequential decline is attributed to normal seasonal weakness in the spring shoulder months, supply disruptions from PNG LNG following an earthquake earlier this year, underperformance from projects in Algeria and Trinidad and unplanned downtime of facilities in the United Arab Emirates. These disruptions offset new liquefaction startups in the quarter which included Cameroon Floating LNG, Cove Point and Wheatstone LNG Train 2. In the second quarter of 2018, 75 cargoes were exported from the US, with around half of these cargoes delivered to Asia. Data from the second quarter of 2018 suggests that 1.91 vessels were required for each million tonnes of LNG exported from the US, compared to an average of 1.86 ships per million tonnes of LNG since the start-up of Sabine Pass.</w:t>
      </w:r>
    </w:p>
    <w:p>
      <w:pPr>
        <w:spacing w:after="0" w:line="172" w:lineRule="exact"/>
        <w:rPr>
          <w:sz w:val="20"/>
          <w:szCs w:val="20"/>
          <w:color w:val="auto"/>
        </w:rPr>
      </w:pPr>
    </w:p>
    <w:p>
      <w:pPr>
        <w:ind w:right="500"/>
        <w:spacing w:after="0" w:line="305" w:lineRule="auto"/>
        <w:rPr>
          <w:sz w:val="20"/>
          <w:szCs w:val="20"/>
          <w:color w:val="auto"/>
        </w:rPr>
      </w:pPr>
      <w:r>
        <w:rPr>
          <w:rFonts w:ascii="Arial" w:cs="Arial" w:eastAsia="Arial" w:hAnsi="Arial"/>
          <w:sz w:val="15"/>
          <w:szCs w:val="15"/>
          <w:color w:val="auto"/>
        </w:rPr>
        <w:t>Progress was made during the quarter on projects that underpin Wood Mackenzie's 2018 LNG supply growth forecast of 9%. Commissioning cargoes were introduced to the Ichthys and Prelude facilities, while Yamal Train 2 (Russia) and Elba Island (US) are also expected onstream before year-end. A further</w:t>
      </w:r>
    </w:p>
    <w:p>
      <w:pPr>
        <w:ind w:right="200"/>
        <w:spacing w:after="0" w:line="261" w:lineRule="auto"/>
        <w:rPr>
          <w:sz w:val="20"/>
          <w:szCs w:val="20"/>
          <w:color w:val="auto"/>
        </w:rPr>
      </w:pPr>
      <w:r>
        <w:rPr>
          <w:rFonts w:ascii="Arial" w:cs="Arial" w:eastAsia="Arial" w:hAnsi="Arial"/>
          <w:sz w:val="18"/>
          <w:szCs w:val="18"/>
          <w:color w:val="auto"/>
        </w:rPr>
        <w:t>41 million tonnes per annum ("mtpa") of new supply, or 13% growth, is expected in 2019, principally driven by additions in the US and the ramp-up of Ichthys and Prelude in Australia.</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May, Cheniere announced a FID on Train 3 at the Corpus Christi Liquefaction Project, the first approval of a new liquefaction project since June 2017 and the first in the US since 2015. According to Wood Mackenzie and press reports, in the second quarter of 2018, 15 mtpa of long-term supply contracts were agreed or signed, bringing the total volume of long-term supply contracts concluded since the beginning of 2017 to 52 mtpa. Buyers include Asian and European utilities as well as portfolio suppliers and traders. Several recent offtake contracts for projects yet to reach FID have been for a duration of 20 years or more, giving these projects greater visibility on cashflows which may de-risk the financing required for FID. LNG Canada, which is targeting 24 mtpa of capacity in a phased approach and where Petronas took a 25% stake in May, may take FID later in 2018, while FID on the Golden Pass project (16 mtpa capacity) in the US may be taken in early 2019. Mozambique Area 1 LNG (13 mtpa capacity) and the Calcasieu Pass (10 mtpa capacity) project in the US have also made progress in the second quarter towards potential FIDs in 2019.</w:t>
      </w:r>
    </w:p>
    <w:p>
      <w:pPr>
        <w:spacing w:after="0" w:line="17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During the second quarter, Panama became the 42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country to import LNG after commencing operations at its Costa Norte terminal. Plans have also progressed to import LNG into eastern Australia's gas market to alleviate potential shortages in the future. Pakistan's Ambassador to the US outlined plans in early July to import more gas from the US, claiming that the country is on its way to becoming "one of the world's largest gas importers". In May, Chinese gas distributor ENN was reportedly seeking a commissioning cargo for the country's first privately owned LNG regasification terminal. The Zhoushan terminal has a planned capacity of 3 mtpa and is expected to come onstream in the coming months.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line="288" w:lineRule="auto"/>
        <w:rPr>
          <w:sz w:val="20"/>
          <w:szCs w:val="20"/>
          <w:color w:val="auto"/>
        </w:rPr>
      </w:pPr>
      <w:r>
        <w:rPr>
          <w:rFonts w:ascii="Arial" w:cs="Arial" w:eastAsia="Arial" w:hAnsi="Arial"/>
          <w:sz w:val="16"/>
          <w:szCs w:val="16"/>
          <w:color w:val="auto"/>
        </w:rPr>
        <w:t>Headline daily spot tri-fuel diesel electric ("TFDE") LNG shipping rates as reported by Clarksons averaged $54,000 in the second quarter, compared to $34,000 in the second quarter of 2017. During the period, rates exhibited counter-seasonal strength, rising to $87,000 per day in late June from $38,000 per day in late April. This recent, sharp increase in headline spot rates was driven by increased vessel demand, as LNG suppliers sought to capitalize on the arbitrage between the Atlantic basin and Asian markets, which was widened by counter-seasonal strength in Asian LNG prices (as measured by the Platts Japan-Korea Marker ("JKM") assessment). As a result, the number of spot fixtures rose to 110 during the second quarter of 2018, an all-time high and an increase over the 70 and 78 fixtures in the first quarter of 2018 and second quarter of 2017, respectively. Spot TFDE shipping rates have moderated in recent weeks, with a current Clarksons assessment of $75,000 per day, as softening Asia LNG prices have narrowed the near-term arbitrage opportunity. However, based on current JKM pricing, the arbitrage between the Atlantic and Pacific Basins is expected to remain open for the 2018/19 Northern Hemisphere winter, suggesting that the recent increase in LNG shipping rates could potentially be sustained throughout the remainder of 2018 and into early 2019.</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According to Poten and press reports, 26 firm orders for LNG carriers have been made so far in 2018, of which three are GasLog vessels. The pace of firm newbuild orders has recently increased, as shipowners look to lock in attractive yard pricing against a positive backdrop for LNG vessel demand. However, even after taking into account the current orderbook, we believe that the LNG shipping market could be short of vessels as soon as 2019 based on current supply and demand projections. The earliest a newbuilding can now be delivered is 2021, which points towards a tighter market in 2019 and 2020, again underpinning the outlook for shipping rates. Based on our analysis and excluding the current orderbook, 28-56 additional vessels may be needed by 2022 to satisfy projected market growth, with this range increasing to 105-137 additional vessels by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Vessel</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30, 2018, GasLog confirmed the order of a 180,000 cbm GTT Mark III Flex LNG Carrier with LP-2S propulsion (Hull No. 2262) from Samsung that is scheduled to be delivered in the third quarter of 2020. The vessel will be chartered to Pioneer Shipping Limited, a wholly owned subsidiary of Centrica, for an initial period of seven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Completion of Dropdown of the GasLog Gibraltar</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On April 26, 2018, GasLog completed the sale of 100% of the ownership interest in GAS-fourteen Ltd., the entity which owns the </w:t>
      </w:r>
      <w:r>
        <w:rPr>
          <w:rFonts w:ascii="Arial" w:cs="Arial" w:eastAsia="Arial" w:hAnsi="Arial"/>
          <w:sz w:val="18"/>
          <w:szCs w:val="18"/>
          <w:i w:val="1"/>
          <w:iCs w:val="1"/>
          <w:color w:val="auto"/>
        </w:rPr>
        <w:t>GasLog Gibraltar</w:t>
      </w:r>
      <w:r>
        <w:rPr>
          <w:rFonts w:ascii="Arial" w:cs="Arial" w:eastAsia="Arial" w:hAnsi="Arial"/>
          <w:sz w:val="18"/>
          <w:szCs w:val="18"/>
          <w:color w:val="auto"/>
        </w:rPr>
        <w:t>, to GasLog Partners, for an aggregate purchase price of $207.0 million, which includes $1.0 million of positive net working capital. In connection with the sale, GasLog was issued $45.0 million of newly issued, privately placed common units (1,858,975 common units at a price of $24.21 per unit) of GasLog Partners as partial consideration.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Alexandroupolis Project Update</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During the quarter, Gastrade S.A. ("Gastrade") and the stakeholders in the Alexandroupolis project continued their efforts to move the project towards FID. The parties have finalized the majority of the terms under which both the Greek national gas utility DEPA and Bulgarian Energy Holding ("BEH") would take a shareholding in the project. Preparations have been ongoing during the quarter for the launch of a market test for potential users and the invitation to tender for various elements of the project, with both expected to commence in the near-term. Gastrade and its partners continue to target an end-2018 FID.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Charter Agreements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On June 18, 2018, GasLog Partners entered into a new time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for 18 months with Cheniere Marketing International LLP, a wholly owned subsidiary of Cheniere, scheduled to commence between September and December 2018. The charterer has options to extend the charter for up to two consecutive periods of six months at escalating rates.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is a 155,000 cbm TFDE LNG carrier built in 2013 and currently concluding a multi-year time charter with a wholly owned subsidiary of Royal Dutch Shell plc ("Shell") in September 2018. The vessel recently completed a scheduled dry-docking during which its commercial competitiveness was enhanced through the installation of a reliquefaction module.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 w:name="page8"/>
    <w:bookmarkEnd w:id="7"/>
    <w:p>
      <w:pPr>
        <w:ind w:right="240"/>
        <w:spacing w:after="0" w:line="259" w:lineRule="auto"/>
        <w:rPr>
          <w:sz w:val="20"/>
          <w:szCs w:val="20"/>
          <w:color w:val="auto"/>
        </w:rPr>
      </w:pPr>
      <w:r>
        <w:rPr>
          <w:rFonts w:ascii="Arial" w:cs="Arial" w:eastAsia="Arial" w:hAnsi="Arial"/>
          <w:sz w:val="18"/>
          <w:szCs w:val="18"/>
          <w:color w:val="auto"/>
        </w:rPr>
        <w:t xml:space="preserve">In addition, GasLog entered into an agreement with a major LNG producer for an approximately seven-month charter for the </w:t>
      </w:r>
      <w:r>
        <w:rPr>
          <w:rFonts w:ascii="Arial" w:cs="Arial" w:eastAsia="Arial" w:hAnsi="Arial"/>
          <w:sz w:val="18"/>
          <w:szCs w:val="18"/>
          <w:i w:val="1"/>
          <w:iCs w:val="1"/>
          <w:color w:val="auto"/>
        </w:rPr>
        <w:t>GasLog Houston</w:t>
      </w:r>
      <w:r>
        <w:rPr>
          <w:rFonts w:ascii="Arial" w:cs="Arial" w:eastAsia="Arial" w:hAnsi="Arial"/>
          <w:sz w:val="18"/>
          <w:szCs w:val="18"/>
          <w:color w:val="auto"/>
        </w:rPr>
        <w:t>, a 174,000 cbm low pressure, LP-2S propulsion, which commenced in June 2018 and ends on delivery of the vessel into her long-term charter with Shell in the beginning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At-the-Market Common Units Equity Offering Programme (the "ATM Programme")</w:t>
      </w:r>
    </w:p>
    <w:p>
      <w:pPr>
        <w:spacing w:after="0" w:line="2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Since the commencement of the ATM Programme through June 30, 2018, GasLog Partners has issued and received payment for a total of 2,738,425 common units, with cumulative gross proceeds of $62.9 million at a weighted average price of $22.97 per unit, representing a discount of 0.5% to the volume weighted average trading price of GasLog Partners' common units on the days on which new common units were issued. As of June 30, 2018, the cumulative net proceeds were $61.2 million.</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the second quarter of 2018, GasLog Partners issued and received payment for an additional 1,020 common units at a weighted average price of $24.25 per common unit for total gross and net proceeds of $0.02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3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On May 11, 2018, the board of directors declared a dividend on the Series A Preference Shares of $0.546875 per share, or $2.5 million in aggregate, payable on July 2, 2018 to holders of record as of June 29, 2018. GasLog paid the declared dividend to the transfer agent on June 28, 2018.</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 2018, the board of directors declared a quarterly cash dividend of $0.15 per common share, or $12.1 million in the aggregate, payable on August 23, 2018 to shareholders of record as of August 13,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Financial Summary</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1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For the three months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880" w:type="dxa"/>
            <w:vAlign w:val="bottom"/>
            <w:gridSpan w:val="3"/>
          </w:tcPr>
          <w:p>
            <w:pPr>
              <w:ind w:left="1140"/>
              <w:spacing w:after="0"/>
              <w:rPr>
                <w:sz w:val="20"/>
                <w:szCs w:val="20"/>
                <w:color w:val="auto"/>
              </w:rPr>
            </w:pPr>
            <w:r>
              <w:rPr>
                <w:rFonts w:ascii="Arial" w:cs="Arial" w:eastAsia="Arial" w:hAnsi="Arial"/>
                <w:sz w:val="18"/>
                <w:szCs w:val="18"/>
                <w:b w:val="1"/>
                <w:bCs w:val="1"/>
                <w:i w:val="1"/>
                <w:iCs w:val="1"/>
                <w:color w:val="auto"/>
              </w:rPr>
              <w:t>Amounts in thousands of U.S. dollars except per share data</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1160" w:type="dxa"/>
            <w:vAlign w:val="bottom"/>
          </w:tcPr>
          <w:p>
            <w:pPr>
              <w:spacing w:after="0"/>
              <w:rPr>
                <w:sz w:val="18"/>
                <w:szCs w:val="18"/>
                <w:color w:val="auto"/>
              </w:rPr>
            </w:pPr>
          </w:p>
        </w:tc>
        <w:tc>
          <w:tcPr>
            <w:tcW w:w="572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auto"/>
            </w:tcBorders>
            <w:shd w:val="clear" w:color="auto" w:fill="E8FFFA"/>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129,930</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w w:val="86"/>
              </w:rPr>
              <w:t>132,824</w:t>
            </w:r>
          </w:p>
        </w:tc>
        <w:tc>
          <w:tcPr>
            <w:tcW w:w="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572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87,409</w:t>
            </w:r>
          </w:p>
        </w:tc>
        <w:tc>
          <w:tcPr>
            <w:tcW w:w="160" w:type="dxa"/>
            <w:vAlign w:val="bottom"/>
          </w:tcPr>
          <w:p>
            <w:pPr>
              <w:spacing w:after="0"/>
              <w:rPr>
                <w:sz w:val="22"/>
                <w:szCs w:val="22"/>
                <w:color w:val="auto"/>
              </w:rPr>
            </w:pPr>
          </w:p>
        </w:tc>
        <w:tc>
          <w:tcPr>
            <w:tcW w:w="96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92,564</w:t>
            </w:r>
          </w:p>
        </w:tc>
        <w:tc>
          <w:tcPr>
            <w:tcW w:w="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5720" w:type="dxa"/>
            <w:vAlign w:val="bottom"/>
            <w:gridSpan w:val="2"/>
            <w:shd w:val="clear" w:color="auto" w:fill="E8FFFA"/>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420" w:type="dxa"/>
            <w:vAlign w:val="bottom"/>
            <w:shd w:val="clear" w:color="auto" w:fill="E8FFFA"/>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87,352</w:t>
            </w:r>
          </w:p>
        </w:tc>
        <w:tc>
          <w:tcPr>
            <w:tcW w:w="160" w:type="dxa"/>
            <w:vAlign w:val="bottom"/>
            <w:shd w:val="clear" w:color="auto" w:fill="E8FFFA"/>
          </w:tcPr>
          <w:p>
            <w:pPr>
              <w:spacing w:after="0"/>
              <w:rPr>
                <w:sz w:val="22"/>
                <w:szCs w:val="22"/>
                <w:color w:val="auto"/>
              </w:rPr>
            </w:pPr>
          </w:p>
        </w:tc>
        <w:tc>
          <w:tcPr>
            <w:tcW w:w="960" w:type="dxa"/>
            <w:vAlign w:val="bottom"/>
            <w:shd w:val="clear" w:color="auto" w:fill="E8FFFA"/>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92,947</w:t>
            </w:r>
          </w:p>
        </w:tc>
        <w:tc>
          <w:tcPr>
            <w:tcW w:w="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6,904</w:t>
            </w:r>
          </w:p>
        </w:tc>
        <w:tc>
          <w:tcPr>
            <w:tcW w:w="160" w:type="dxa"/>
            <w:vAlign w:val="bottom"/>
          </w:tcPr>
          <w:p>
            <w:pPr>
              <w:spacing w:after="0"/>
              <w:rPr>
                <w:sz w:val="18"/>
                <w:szCs w:val="18"/>
                <w:color w:val="auto"/>
              </w:rPr>
            </w:pPr>
          </w:p>
        </w:tc>
        <w:tc>
          <w:tcPr>
            <w:tcW w:w="96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14,212</w:t>
            </w:r>
          </w:p>
        </w:tc>
        <w:tc>
          <w:tcPr>
            <w:tcW w:w="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5720" w:type="dxa"/>
            <w:vAlign w:val="bottom"/>
            <w:gridSpan w:val="2"/>
            <w:shd w:val="clear" w:color="auto" w:fill="E8FFFA"/>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420" w:type="dxa"/>
            <w:vAlign w:val="bottom"/>
            <w:shd w:val="clear" w:color="auto" w:fill="E8FFFA"/>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14,419</w:t>
            </w:r>
          </w:p>
        </w:tc>
        <w:tc>
          <w:tcPr>
            <w:tcW w:w="160" w:type="dxa"/>
            <w:vAlign w:val="bottom"/>
            <w:shd w:val="clear" w:color="auto" w:fill="E8FFFA"/>
          </w:tcPr>
          <w:p>
            <w:pPr>
              <w:spacing w:after="0"/>
              <w:rPr>
                <w:sz w:val="22"/>
                <w:szCs w:val="22"/>
                <w:color w:val="auto"/>
              </w:rPr>
            </w:pPr>
          </w:p>
        </w:tc>
        <w:tc>
          <w:tcPr>
            <w:tcW w:w="960" w:type="dxa"/>
            <w:vAlign w:val="bottom"/>
            <w:shd w:val="clear" w:color="auto" w:fill="E8FFFA"/>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14,788</w:t>
            </w:r>
          </w:p>
        </w:tc>
        <w:tc>
          <w:tcPr>
            <w:tcW w:w="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Loss attributable to the owners of GasLog</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(7,515)</w:t>
            </w:r>
          </w:p>
        </w:tc>
        <w:tc>
          <w:tcPr>
            <w:tcW w:w="96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(3,620)</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2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EPS, basic</w:t>
            </w:r>
          </w:p>
        </w:tc>
        <w:tc>
          <w:tcPr>
            <w:tcW w:w="420" w:type="dxa"/>
            <w:vAlign w:val="bottom"/>
            <w:shd w:val="clear" w:color="auto" w:fill="E8FFFA"/>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(0.12)</w:t>
            </w:r>
          </w:p>
        </w:tc>
        <w:tc>
          <w:tcPr>
            <w:tcW w:w="960" w:type="dxa"/>
            <w:vAlign w:val="bottom"/>
            <w:shd w:val="clear" w:color="auto" w:fill="E8FFFA"/>
          </w:tcPr>
          <w:p>
            <w:pPr>
              <w:jc w:val="right"/>
              <w:ind w:right="612"/>
              <w:spacing w:after="0"/>
              <w:rPr>
                <w:sz w:val="20"/>
                <w:szCs w:val="20"/>
                <w:color w:val="auto"/>
              </w:rPr>
            </w:pPr>
            <w:r>
              <w:rPr>
                <w:rFonts w:ascii="Arial" w:cs="Arial" w:eastAsia="Arial" w:hAnsi="Arial"/>
                <w:sz w:val="18"/>
                <w:szCs w:val="18"/>
                <w:color w:val="auto"/>
              </w:rPr>
              <w:t>$</w:t>
            </w:r>
          </w:p>
        </w:tc>
        <w:tc>
          <w:tcPr>
            <w:tcW w:w="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r>
      <w:tr>
        <w:trPr>
          <w:trHeight w:val="382"/>
        </w:trPr>
        <w:tc>
          <w:tcPr>
            <w:tcW w:w="116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(1)</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96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(0.07)</w:t>
            </w:r>
          </w:p>
        </w:tc>
      </w:tr>
    </w:tbl>
    <w:p>
      <w:pPr>
        <w:spacing w:after="0" w:line="67" w:lineRule="exact"/>
        <w:rPr>
          <w:sz w:val="20"/>
          <w:szCs w:val="20"/>
          <w:color w:val="auto"/>
        </w:rPr>
      </w:pPr>
    </w:p>
    <w:p>
      <w:pPr>
        <w:ind w:left="1680" w:right="100" w:hanging="531"/>
        <w:spacing w:after="0" w:line="233" w:lineRule="auto"/>
        <w:tabs>
          <w:tab w:leader="none" w:pos="1680" w:val="left"/>
        </w:tabs>
        <w:numPr>
          <w:ilvl w:val="0"/>
          <w:numId w:val="3"/>
        </w:numPr>
        <w:rPr>
          <w:rFonts w:ascii="Arial" w:cs="Arial" w:eastAsia="Arial" w:hAnsi="Arial"/>
          <w:sz w:val="11"/>
          <w:szCs w:val="11"/>
          <w:color w:val="auto"/>
        </w:rPr>
      </w:pP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 xml:space="preserve">There were 2,249 operating days for the quarter ended June 30, 2018, as compared to 2,081 operating days for the quarter ended June 30, 2017. The increase in operating days resulted mainly from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on January 8, 2018, March 20, 2018 and March 29, 2018, respectively, partially offset by the off-hire days from the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Revenues were $132.8 million for the quarter ended June 30, 2018 ($129.9 million for the quarter ended June 30, 2017). The increase was mainly driven by the new deliveries in our fleet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Genoa</w:t>
      </w:r>
      <w:r>
        <w:rPr>
          <w:rFonts w:ascii="Arial" w:cs="Arial" w:eastAsia="Arial" w:hAnsi="Arial"/>
          <w:sz w:val="18"/>
          <w:szCs w:val="18"/>
          <w:color w:val="auto"/>
        </w:rPr>
        <w:t>), partially offset by the decreased revenues from vessels operating in the spot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right="20"/>
        <w:spacing w:after="0" w:line="332" w:lineRule="auto"/>
        <w:rPr>
          <w:sz w:val="20"/>
          <w:szCs w:val="20"/>
          <w:color w:val="auto"/>
        </w:rPr>
      </w:pPr>
      <w:r>
        <w:rPr>
          <w:rFonts w:ascii="Arial" w:cs="Arial" w:eastAsia="Arial" w:hAnsi="Arial"/>
          <w:sz w:val="16"/>
          <w:szCs w:val="16"/>
          <w:color w:val="auto"/>
        </w:rPr>
        <w:t>the increased off-hire days due to dry-dockings (two extended dry-dockings in the second quarter of 2018 as opposed to no dry-dockings in the second quarter of 2017) and the decrease due to the expiration of the long-term time charter of the GasLog Shanghai and her entering into the spot market.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pool allocation was $7.0 million for the quarter ended June 30, 2018 ($0.5 million for the quarter ended June 30, 2017). The increase was attributable to the movement in the adjustment of the net pool results generated by the GasLog vessels in accordance with the pool distribution formula. GasLog recognized gross revenues and gross voyage expenses and commissions of $5.0 million and $2.2 million, respectively, from the operation of its vessels in the Cool Pool during the quarter ended June 30, 2018 (June 30, 2017: $8.0 million and $1.7 million, respectively). The increase in GasLog's total net pool performance compared to the quarter ended June 30, 2017 was driven by higher spot rates and higher utilization achieved by all vessels trading in the Cool Pool. GasLog's total net pool performance is presented below:</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June 30, 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June 30, 2018</w:t>
            </w:r>
          </w:p>
        </w:tc>
      </w:tr>
      <w:tr>
        <w:trPr>
          <w:trHeight w:val="210"/>
        </w:trPr>
        <w:tc>
          <w:tcPr>
            <w:tcW w:w="20" w:type="dxa"/>
            <w:vAlign w:val="bottom"/>
          </w:tcPr>
          <w:p>
            <w:pPr>
              <w:spacing w:after="0"/>
              <w:rPr>
                <w:sz w:val="18"/>
                <w:szCs w:val="18"/>
                <w:color w:val="auto"/>
              </w:rPr>
            </w:pPr>
          </w:p>
        </w:tc>
        <w:tc>
          <w:tcPr>
            <w:tcW w:w="6220" w:type="dxa"/>
            <w:vAlign w:val="bottom"/>
            <w:shd w:val="clear" w:color="auto" w:fill="E8FFFA"/>
          </w:tcPr>
          <w:p>
            <w:pPr>
              <w:spacing w:after="0"/>
              <w:rPr>
                <w:sz w:val="20"/>
                <w:szCs w:val="20"/>
                <w:color w:val="auto"/>
              </w:rPr>
            </w:pPr>
            <w:r>
              <w:rPr>
                <w:rFonts w:ascii="Arial" w:cs="Arial" w:eastAsia="Arial" w:hAnsi="Arial"/>
                <w:sz w:val="18"/>
                <w:szCs w:val="18"/>
                <w:color w:val="auto"/>
              </w:rPr>
              <w:t>Pool gross revenues (included in Revenues)</w:t>
            </w:r>
          </w:p>
        </w:tc>
        <w:tc>
          <w:tcPr>
            <w:tcW w:w="20" w:type="dxa"/>
            <w:vAlign w:val="bottom"/>
            <w:shd w:val="clear" w:color="auto" w:fill="E8FFFA"/>
          </w:tcPr>
          <w:p>
            <w:pPr>
              <w:spacing w:after="0"/>
              <w:rPr>
                <w:sz w:val="18"/>
                <w:szCs w:val="18"/>
                <w:color w:val="auto"/>
              </w:rPr>
            </w:pPr>
          </w:p>
        </w:tc>
        <w:tc>
          <w:tcPr>
            <w:tcW w:w="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8,023</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5,047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4"/>
              </w:rPr>
              <w:t>Pool gross voyage expenses and commissions (included in Voyage expenses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(2,165)</w:t>
            </w:r>
          </w:p>
        </w:tc>
      </w:tr>
      <w:tr>
        <w:trPr>
          <w:trHeight w:val="218"/>
        </w:trPr>
        <w:tc>
          <w:tcPr>
            <w:tcW w:w="20" w:type="dxa"/>
            <w:vAlign w:val="bottom"/>
          </w:tcPr>
          <w:p>
            <w:pPr>
              <w:spacing w:after="0"/>
              <w:rPr>
                <w:sz w:val="18"/>
                <w:szCs w:val="18"/>
                <w:color w:val="auto"/>
              </w:rPr>
            </w:pPr>
          </w:p>
        </w:tc>
        <w:tc>
          <w:tcPr>
            <w:tcW w:w="6220" w:type="dxa"/>
            <w:vAlign w:val="bottom"/>
            <w:shd w:val="clear" w:color="auto" w:fill="E8FFFA"/>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20" w:type="dxa"/>
            <w:vAlign w:val="bottom"/>
            <w:shd w:val="clear" w:color="auto" w:fill="E8FFFA"/>
          </w:tcPr>
          <w:p>
            <w:pPr>
              <w:spacing w:after="0"/>
              <w:rPr>
                <w:sz w:val="18"/>
                <w:szCs w:val="18"/>
                <w:color w:val="auto"/>
              </w:rPr>
            </w:pPr>
          </w:p>
        </w:tc>
        <w:tc>
          <w:tcPr>
            <w:tcW w:w="100" w:type="dxa"/>
            <w:vAlign w:val="bottom"/>
            <w:tcBorders>
              <w:bottom w:val="single" w:sz="8" w:color="auto"/>
            </w:tcBorders>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00" w:type="dxa"/>
            <w:vAlign w:val="bottom"/>
            <w:tcBorders>
              <w:bottom w:val="single" w:sz="8" w:color="auto"/>
            </w:tcBorders>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6,958</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9,840</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Voyage expenses and commissions were $4.6 million for the quarter ended June 30, 2018 ($3.3 million for the quarter ended June 30, 2017). The increase resulted mainly from the increased voyage expenses of the vessels operating in the spot market and an increase in bunkers consumed during off-hire and unchartered periods for the remaining vessels of the fleet.</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Vessel operating and supervision costs were $32.7 million for the quarter ended June 30, 2018 ($29.8 million for the quarter ended June 30, 2017). The increase was mainly attributable to the deliveries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operating in our fleet for the full second quarter in 2018, partially offset by one-off savings in certain crew expenses.</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Depreciation was $38.8 million for the quarter ended June 30, 2018 ($34.5 million for the quarter ended June 30, 2017). The increase resulted from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on January 8, 2018, March 20, 2018 and March 29,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$10.4 million for the quarter ended June 30, 2018 ($10.2 million for the quarter ended June 30, 2017).</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costs were $42.0 million for the quarter ended June 30, 2018 ($37.1 million for the quarter ended June 30, 2017). The increase was attributable to the increased weighted average debt outstanding as a result of the debt drawdowns for the vessels delivered in 2018 and the increased weighted average interest rate deriving from</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upward movement of the USD London Interbank Offered Rate ("LIBOR") rates. An analysis of the financial costs is set forth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three months ended</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June 30,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20" w:type="dxa"/>
            <w:vAlign w:val="bottom"/>
          </w:tcPr>
          <w:p>
            <w:pPr>
              <w:spacing w:after="0"/>
              <w:rPr>
                <w:sz w:val="18"/>
                <w:szCs w:val="18"/>
                <w:color w:val="auto"/>
              </w:rPr>
            </w:pPr>
          </w:p>
        </w:tc>
        <w:tc>
          <w:tcPr>
            <w:tcW w:w="62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Financial costs</w:t>
            </w:r>
          </w:p>
        </w:tc>
        <w:tc>
          <w:tcPr>
            <w:tcW w:w="20" w:type="dxa"/>
            <w:vAlign w:val="bottom"/>
            <w:shd w:val="clear" w:color="auto" w:fill="E8FFFA"/>
          </w:tcPr>
          <w:p>
            <w:pPr>
              <w:spacing w:after="0"/>
              <w:rPr>
                <w:sz w:val="18"/>
                <w:szCs w:val="18"/>
                <w:color w:val="auto"/>
              </w:rPr>
            </w:pPr>
          </w:p>
        </w:tc>
        <w:tc>
          <w:tcPr>
            <w:tcW w:w="100" w:type="dxa"/>
            <w:vAlign w:val="bottom"/>
            <w:tcBorders>
              <w:top w:val="single" w:sz="8" w:color="auto"/>
            </w:tcBorders>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20" w:type="dxa"/>
            <w:vAlign w:val="bottom"/>
            <w:tcBorders>
              <w:top w:val="single" w:sz="8" w:color="auto"/>
            </w:tcBorders>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Amortization and write-off of deferred loan/bond issuance costs/premium</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8FFFA"/>
          </w:tcPr>
          <w:p>
            <w:pPr>
              <w:spacing w:after="0"/>
              <w:rPr>
                <w:sz w:val="20"/>
                <w:szCs w:val="20"/>
                <w:color w:val="auto"/>
              </w:rPr>
            </w:pPr>
            <w:r>
              <w:rPr>
                <w:rFonts w:ascii="Arial" w:cs="Arial" w:eastAsia="Arial" w:hAnsi="Arial"/>
                <w:sz w:val="18"/>
                <w:szCs w:val="18"/>
                <w:color w:val="auto"/>
              </w:rPr>
              <w:t>Interest expense on loans</w:t>
            </w:r>
          </w:p>
        </w:tc>
        <w:tc>
          <w:tcPr>
            <w:tcW w:w="2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280" w:type="dxa"/>
            <w:vAlign w:val="bottom"/>
            <w:gridSpan w:val="2"/>
            <w:shd w:val="clear" w:color="auto" w:fill="E8FFFA"/>
          </w:tcPr>
          <w:p>
            <w:pPr>
              <w:jc w:val="right"/>
              <w:ind w:right="40"/>
              <w:spacing w:after="0"/>
              <w:rPr>
                <w:sz w:val="20"/>
                <w:szCs w:val="20"/>
                <w:color w:val="auto"/>
              </w:rPr>
            </w:pPr>
            <w:r>
              <w:rPr>
                <w:rFonts w:ascii="Arial" w:cs="Arial" w:eastAsia="Arial" w:hAnsi="Arial"/>
                <w:sz w:val="18"/>
                <w:szCs w:val="18"/>
                <w:color w:val="auto"/>
              </w:rPr>
              <w:t>(21,099)</w:t>
            </w:r>
          </w:p>
        </w:tc>
        <w:tc>
          <w:tcPr>
            <w:tcW w:w="6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(28,066)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9"/>
              </w:rPr>
              <w:t>Interest expense on bonds and realized loss on cross-currency swaps ("CCS")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8FFFA"/>
          </w:tcPr>
          <w:p>
            <w:pPr>
              <w:spacing w:after="0"/>
              <w:rPr>
                <w:sz w:val="20"/>
                <w:szCs w:val="20"/>
                <w:color w:val="auto"/>
              </w:rPr>
            </w:pPr>
            <w:r>
              <w:rPr>
                <w:rFonts w:ascii="Arial" w:cs="Arial" w:eastAsia="Arial" w:hAnsi="Arial"/>
                <w:sz w:val="18"/>
                <w:szCs w:val="18"/>
                <w:color w:val="auto"/>
              </w:rPr>
              <w:t>Finance lease charge</w:t>
            </w:r>
          </w:p>
        </w:tc>
        <w:tc>
          <w:tcPr>
            <w:tcW w:w="2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280" w:type="dxa"/>
            <w:vAlign w:val="bottom"/>
            <w:gridSpan w:val="2"/>
            <w:shd w:val="clear" w:color="auto" w:fill="E8FFFA"/>
          </w:tcPr>
          <w:p>
            <w:pPr>
              <w:jc w:val="right"/>
              <w:ind w:right="40"/>
              <w:spacing w:after="0"/>
              <w:rPr>
                <w:sz w:val="20"/>
                <w:szCs w:val="20"/>
                <w:color w:val="auto"/>
              </w:rPr>
            </w:pPr>
            <w:r>
              <w:rPr>
                <w:rFonts w:ascii="Arial" w:cs="Arial" w:eastAsia="Arial" w:hAnsi="Arial"/>
                <w:sz w:val="18"/>
                <w:szCs w:val="18"/>
                <w:color w:val="auto"/>
              </w:rPr>
              <w:t>(2,722)</w:t>
            </w:r>
          </w:p>
        </w:tc>
        <w:tc>
          <w:tcPr>
            <w:tcW w:w="6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(2,634)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arising on NOK bond repurchase at a premium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8FFFA"/>
          </w:tcPr>
          <w:p>
            <w:pPr>
              <w:spacing w:after="0"/>
              <w:rPr>
                <w:sz w:val="20"/>
                <w:szCs w:val="20"/>
                <w:color w:val="auto"/>
              </w:rPr>
            </w:pPr>
            <w:r>
              <w:rPr>
                <w:rFonts w:ascii="Arial" w:cs="Arial" w:eastAsia="Arial" w:hAnsi="Arial"/>
                <w:sz w:val="18"/>
                <w:szCs w:val="18"/>
                <w:color w:val="auto"/>
              </w:rPr>
              <w:t>Other financial costs</w:t>
            </w:r>
          </w:p>
        </w:tc>
        <w:tc>
          <w:tcPr>
            <w:tcW w:w="2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280" w:type="dxa"/>
            <w:vAlign w:val="bottom"/>
            <w:gridSpan w:val="2"/>
            <w:shd w:val="clear" w:color="auto" w:fill="E8FFFA"/>
          </w:tcPr>
          <w:p>
            <w:pPr>
              <w:jc w:val="right"/>
              <w:ind w:right="40"/>
              <w:spacing w:after="0"/>
              <w:rPr>
                <w:sz w:val="20"/>
                <w:szCs w:val="20"/>
                <w:color w:val="auto"/>
              </w:rPr>
            </w:pPr>
            <w:r>
              <w:rPr>
                <w:rFonts w:ascii="Arial" w:cs="Arial" w:eastAsia="Arial" w:hAnsi="Arial"/>
                <w:sz w:val="18"/>
                <w:szCs w:val="18"/>
                <w:color w:val="auto"/>
              </w:rPr>
              <w:t>(369)</w:t>
            </w:r>
          </w:p>
        </w:tc>
        <w:tc>
          <w:tcPr>
            <w:tcW w:w="6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Gain on derivatives was $1.2 million for the quarter ended June 30, 2018 ($9.7 million loss for the quarter ended June 30, 2017). The increase in gain on derivatives in the second quarter of 2018, as compared to the second quarter of 2017, is mainly attributable to the $4.4 million decrease in loss that was reclassified from equity to the statement of profit or loss, an increase of $3.6 million in gain from mark-to-market valuation of our derivative financial instruments carried at fair value through profit or loss, derived mainly from the higher LIBOR yield curve which was used to estimate the present value of the estimated future cash flows compared to the agreed fixed interest rates and an increase of $3.2 million in realized gain on interest rate swaps held for trading. An analysis of gain on derivatives is set forth below.</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three months ended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June 30, 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20" w:type="dxa"/>
            <w:vAlign w:val="bottom"/>
          </w:tcPr>
          <w:p>
            <w:pPr>
              <w:spacing w:after="0"/>
              <w:rPr>
                <w:sz w:val="18"/>
                <w:szCs w:val="18"/>
                <w:color w:val="auto"/>
              </w:rPr>
            </w:pPr>
          </w:p>
        </w:tc>
        <w:tc>
          <w:tcPr>
            <w:tcW w:w="56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(Loss)/gain on derivatives</w:t>
            </w:r>
          </w:p>
        </w:tc>
        <w:tc>
          <w:tcPr>
            <w:tcW w:w="520" w:type="dxa"/>
            <w:vAlign w:val="bottom"/>
            <w:shd w:val="clear" w:color="auto" w:fill="E8FFFA"/>
          </w:tcPr>
          <w:p>
            <w:pPr>
              <w:spacing w:after="0"/>
              <w:rPr>
                <w:sz w:val="18"/>
                <w:szCs w:val="18"/>
                <w:color w:val="auto"/>
              </w:rPr>
            </w:pPr>
          </w:p>
        </w:tc>
        <w:tc>
          <w:tcPr>
            <w:tcW w:w="100" w:type="dxa"/>
            <w:vAlign w:val="bottom"/>
            <w:tcBorders>
              <w:top w:val="single" w:sz="8" w:color="auto"/>
            </w:tcBorders>
            <w:shd w:val="clear" w:color="auto" w:fill="E8FFFA"/>
          </w:tcPr>
          <w:p>
            <w:pPr>
              <w:spacing w:after="0"/>
              <w:rPr>
                <w:sz w:val="18"/>
                <w:szCs w:val="18"/>
                <w:color w:val="auto"/>
              </w:rPr>
            </w:pPr>
          </w:p>
        </w:tc>
        <w:tc>
          <w:tcPr>
            <w:tcW w:w="1200" w:type="dxa"/>
            <w:vAlign w:val="bottom"/>
            <w:tcBorders>
              <w:top w:val="single" w:sz="8" w:color="auto"/>
            </w:tcBorders>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00" w:type="dxa"/>
            <w:vAlign w:val="bottom"/>
            <w:tcBorders>
              <w:top w:val="single" w:sz="8" w:color="auto"/>
            </w:tcBorders>
            <w:shd w:val="clear" w:color="auto" w:fill="E8FFFA"/>
          </w:tcPr>
          <w:p>
            <w:pPr>
              <w:spacing w:after="0"/>
              <w:rPr>
                <w:sz w:val="18"/>
                <w:szCs w:val="18"/>
                <w:color w:val="auto"/>
              </w:rPr>
            </w:pPr>
          </w:p>
        </w:tc>
        <w:tc>
          <w:tcPr>
            <w:tcW w:w="120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Realized (loss)/gain on interest rate swaps held for trading</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8FFFA"/>
          </w:tcPr>
          <w:p>
            <w:pPr>
              <w:spacing w:after="0"/>
              <w:rPr>
                <w:sz w:val="20"/>
                <w:szCs w:val="20"/>
                <w:color w:val="auto"/>
              </w:rPr>
            </w:pPr>
            <w:r>
              <w:rPr>
                <w:rFonts w:ascii="Arial" w:cs="Arial" w:eastAsia="Arial" w:hAnsi="Arial"/>
                <w:sz w:val="18"/>
                <w:szCs w:val="18"/>
                <w:color w:val="auto"/>
              </w:rPr>
              <w:t>Realized gain on forward foreign exchange contracts held for trading</w:t>
            </w:r>
          </w:p>
        </w:tc>
        <w:tc>
          <w:tcPr>
            <w:tcW w:w="52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2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2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8"/>
              </w:rPr>
              <w:t>Unrealized (loss)/gain on derivative financial instruments held for trading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(3,487)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8FFFA"/>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52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300" w:type="dxa"/>
            <w:vAlign w:val="bottom"/>
            <w:gridSpan w:val="2"/>
            <w:shd w:val="clear" w:color="auto" w:fill="E8FFFA"/>
          </w:tcPr>
          <w:p>
            <w:pPr>
              <w:jc w:val="right"/>
              <w:ind w:right="60"/>
              <w:spacing w:after="0"/>
              <w:rPr>
                <w:sz w:val="20"/>
                <w:szCs w:val="20"/>
                <w:color w:val="auto"/>
              </w:rPr>
            </w:pPr>
            <w:r>
              <w:rPr>
                <w:rFonts w:ascii="Arial" w:cs="Arial" w:eastAsia="Arial" w:hAnsi="Arial"/>
                <w:sz w:val="18"/>
                <w:szCs w:val="18"/>
                <w:color w:val="auto"/>
              </w:rPr>
              <w:t>(4,368)</w:t>
            </w:r>
          </w:p>
        </w:tc>
        <w:tc>
          <w:tcPr>
            <w:tcW w:w="6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2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Ineffective portion of cash flow hedges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E8FFFA"/>
          </w:tcPr>
          <w:p>
            <w:pPr>
              <w:spacing w:after="0"/>
              <w:rPr>
                <w:sz w:val="18"/>
                <w:szCs w:val="18"/>
                <w:color w:val="auto"/>
              </w:rPr>
            </w:pPr>
          </w:p>
        </w:tc>
        <w:tc>
          <w:tcPr>
            <w:tcW w:w="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(9,720)</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1,167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There was a profit of $14.2 million for the quarter ended June 30, 2018 ($6.9 million profit for the quarter ended June 30, 2017). This increase in profit is mainly attributable to the increase in gain on derivatives and the increase in profit from operations due to the factors mentioned above, partially offset by the increase in financial costs.</w:t>
      </w:r>
    </w:p>
    <w:p>
      <w:pPr>
        <w:spacing w:after="0" w:line="195" w:lineRule="exact"/>
        <w:rPr>
          <w:sz w:val="20"/>
          <w:szCs w:val="20"/>
          <w:color w:val="auto"/>
        </w:rPr>
      </w:pPr>
    </w:p>
    <w:p>
      <w:pPr>
        <w:ind w:right="220"/>
        <w:spacing w:after="0" w:line="212" w:lineRule="auto"/>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$14.8 million for the quarter ended June 30, 2018 ($14.4 million for the quarter ended June 30, 2017) adjusted for the effects of the non-cash gain on derivatives, the write-off of unamortized loan fees as well as the net foreign exchange gains/losses.</w:t>
      </w:r>
    </w:p>
    <w:p>
      <w:pPr>
        <w:spacing w:after="0" w:line="21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Loss attributable to the owners of GasLog was $3.6 million for the quarter ended June 30, 2018 ($7.5 million loss for the quarter ended June 30, 2017). The decrease in loss attributable to the owners of GasLog resulted mainly from the respective movements in profit mentioned above, partially offset by the increased amount allocated to third parties as a result of GasLog Partners' ATM Programme initiated in May 2017, the preference unit issuances in May 2017 and January 2018, and the sale of four vessels to GasLog Partners.</w:t>
      </w:r>
    </w:p>
    <w:p>
      <w:pPr>
        <w:spacing w:after="0" w:line="198" w:lineRule="exact"/>
        <w:rPr>
          <w:sz w:val="20"/>
          <w:szCs w:val="20"/>
          <w:color w:val="auto"/>
        </w:rPr>
      </w:pPr>
    </w:p>
    <w:p>
      <w:pPr>
        <w:ind w:right="240"/>
        <w:spacing w:after="0" w:line="212" w:lineRule="auto"/>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$92.6 million for the quarter ended June 30, 2018 ($87.4 million for the quarter ended June 30, 2017). The increase in EBITDA was driven by the increase in net revenues, partially offset by the increase in vessel operating expenses as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$92.9 million for the quarter ended June 30, 2018 ($87.4 million for the quarter ended June 30, 2017).</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right="480"/>
        <w:spacing w:after="0" w:line="268" w:lineRule="auto"/>
        <w:rPr>
          <w:sz w:val="20"/>
          <w:szCs w:val="20"/>
          <w:color w:val="auto"/>
        </w:rPr>
      </w:pPr>
      <w:r>
        <w:rPr>
          <w:rFonts w:ascii="Arial" w:cs="Arial" w:eastAsia="Arial" w:hAnsi="Arial"/>
          <w:sz w:val="18"/>
          <w:szCs w:val="18"/>
          <w:color w:val="auto"/>
        </w:rPr>
        <w:t>Loss per share was $0.08 for the quarter ended June 30, 2018 (a loss of $0.12 for the quarter ended June 30, 2017). The decrease in loss per share is mainly attributable to the respective movements in loss attributable to the owners of GasLog discussed above.</w:t>
      </w:r>
    </w:p>
    <w:p>
      <w:pPr>
        <w:spacing w:after="0" w:line="187"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Adjusted Loss per share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$0.07 for the quarter ended June 30, 2018 (a loss of $0.03 for the quarter ended June 30, 2017), adjusted for the effects of the non-cash loss on derivative financial instruments and the net foreign exchange gains/losses.</w:t>
      </w:r>
    </w:p>
    <w:p>
      <w:pPr>
        <w:spacing w:after="0" w:line="194" w:lineRule="exact"/>
        <w:rPr>
          <w:sz w:val="20"/>
          <w:szCs w:val="20"/>
          <w:color w:val="auto"/>
        </w:rPr>
      </w:pPr>
    </w:p>
    <w:p>
      <w:pPr>
        <w:ind w:left="540" w:right="100" w:hanging="532"/>
        <w:spacing w:after="0" w:line="233" w:lineRule="auto"/>
        <w:tabs>
          <w:tab w:leader="none" w:pos="540" w:val="left"/>
        </w:tabs>
        <w:numPr>
          <w:ilvl w:val="0"/>
          <w:numId w:val="4"/>
        </w:numPr>
        <w:rPr>
          <w:rFonts w:ascii="Arial" w:cs="Arial" w:eastAsia="Arial" w:hAnsi="Arial"/>
          <w:sz w:val="11"/>
          <w:szCs w:val="11"/>
          <w:color w:val="auto"/>
        </w:rPr>
      </w:pP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31"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GasLog's contracted charter revenues are estimated to increase from $486.0 million for the fiscal year 2017 to $548.8 million for the fiscal year 2019, based on contracts in effect as of June 30, 2018, without including any extension options. As of June 30, 2018, the total future firm contracted revenue stood at $3.2 billion</w:t>
      </w:r>
      <w:r>
        <w:rPr>
          <w:rFonts w:ascii="Arial" w:cs="Arial" w:eastAsia="Arial" w:hAnsi="Arial"/>
          <w:sz w:val="28"/>
          <w:szCs w:val="28"/>
          <w:color w:val="auto"/>
          <w:vertAlign w:val="superscript"/>
        </w:rPr>
        <w:t>(1)</w:t>
      </w:r>
      <w:r>
        <w:rPr>
          <w:rFonts w:ascii="Arial" w:cs="Arial" w:eastAsia="Arial" w:hAnsi="Arial"/>
          <w:sz w:val="17"/>
          <w:szCs w:val="17"/>
          <w:color w:val="auto"/>
        </w:rPr>
        <w:t>, including the vessels owned by GasLog Partners but excluding the vessels operating in the spot market.</w:t>
      </w:r>
    </w:p>
    <w:p>
      <w:pPr>
        <w:spacing w:after="0" w:line="36" w:lineRule="exact"/>
        <w:rPr>
          <w:sz w:val="20"/>
          <w:szCs w:val="20"/>
          <w:color w:val="auto"/>
        </w:rPr>
      </w:pPr>
    </w:p>
    <w:p>
      <w:pPr>
        <w:ind w:left="540" w:right="140" w:hanging="532"/>
        <w:spacing w:after="0" w:line="318" w:lineRule="auto"/>
        <w:tabs>
          <w:tab w:leader="none" w:pos="540" w:val="left"/>
        </w:tabs>
        <w:numPr>
          <w:ilvl w:val="0"/>
          <w:numId w:val="5"/>
        </w:numPr>
        <w:rPr>
          <w:rFonts w:ascii="Arial" w:cs="Arial" w:eastAsia="Arial" w:hAnsi="Arial"/>
          <w:sz w:val="10"/>
          <w:szCs w:val="10"/>
          <w:color w:val="auto"/>
        </w:rPr>
      </w:pPr>
      <w:r>
        <w:rPr>
          <w:rFonts w:ascii="Arial" w:cs="Arial" w:eastAsia="Arial" w:hAnsi="Arial"/>
          <w:sz w:val="12"/>
          <w:szCs w:val="12"/>
          <w:color w:val="auto"/>
        </w:rPr>
        <w:t>Contracted revenue calculations assume: (a) 365 revenue days per annum, with 30 off-hire days when the ship undergoes scheduled dry-docking (every five years) and ten additional off-hire days for the enhancement of one vessel; (b) all LNG carriers on order are delivered on schedule; and (c) no exercise of any option to extend the terms of charters.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June 30, 2018, GasLog had $314.4 million of cash and cash equivalents, of which $189.2 million was held in time deposits and the remaining balance in current accounts. Moreover, as of June 30, 2018, GasLog had $26.0 million held in time deposits with an initial duration of more than three months but less than a year that have been classified as short-term investments and $2.3 million in restricted cash, which consisted of a guarantee held for a vessel with respect to the enhancement of its operational performance.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of June 30, 2018, GasLog had an aggregate of $2.9 billion of indebtedness outstanding under its credit facilities and bond agreements, of which $182.6 million was repayable within one year, and a $209.8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$6.5 million was repayable within one year.</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June 30, 2018, there was undrawn available capacity of $100.0 million under the revolving credit facility of the credit agreement of up to $1.1 billion entered into on July 19, 2016 (the "Legacy Facility Refinancing").</w:t>
      </w:r>
    </w:p>
    <w:p>
      <w:pPr>
        <w:spacing w:after="0" w:line="18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As of June 30, 2018, the total remaining balance of the contract prices of the five LNG carriers on order was $875.9 million that GasLog expects to be funded with the $165.8 million undrawn capacity under the financing agreement entered into on October 16, 2015, as well as cash balances, cash from operations and borrowings under new debt agreements.</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As of June 30, 2018, GasLog's current assets totaled $389.6 million, while current liabilities totaled $324.7 million, resulting in a positive working capital position of $64.9 million.</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GasLog terminated, extended or signed new interest rate swap agreements maintaining the total notional amount as of June 30, 2018 at $1.2 billion. GasLog has hedged 46.2% of its expected floating interest rate exposure on its outstanding debt (excluding the finance lease liability) as of June 30,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GasLog has five newbuildings on order at Samsung which are on schedule and within budget:</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Cargo</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Estimated Charter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90"/>
              </w:rPr>
              <w:t>Capacity</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LNG Carrier</w:t>
            </w:r>
          </w:p>
        </w:tc>
        <w:tc>
          <w:tcPr>
            <w:tcW w:w="160" w:type="dxa"/>
            <w:vAlign w:val="bottom"/>
          </w:tcPr>
          <w:p>
            <w:pPr>
              <w:spacing w:after="0"/>
              <w:rPr>
                <w:sz w:val="23"/>
                <w:szCs w:val="23"/>
                <w:color w:val="auto"/>
              </w:rPr>
            </w:pPr>
          </w:p>
        </w:tc>
        <w:tc>
          <w:tcPr>
            <w:tcW w:w="960" w:type="dxa"/>
            <w:vAlign w:val="bottom"/>
            <w:tcBorders>
              <w:bottom w:val="single" w:sz="8" w:color="auto"/>
            </w:tcBorders>
            <w:gridSpan w:val="2"/>
          </w:tcPr>
          <w:p>
            <w:pPr>
              <w:jc w:val="center"/>
              <w:spacing w:after="0" w:line="267" w:lineRule="exact"/>
              <w:rPr>
                <w:sz w:val="20"/>
                <w:szCs w:val="20"/>
                <w:color w:val="auto"/>
              </w:rPr>
            </w:pPr>
            <w:r>
              <w:rPr>
                <w:rFonts w:ascii="Arial" w:cs="Arial" w:eastAsia="Arial" w:hAnsi="Arial"/>
                <w:sz w:val="18"/>
                <w:szCs w:val="18"/>
                <w:b w:val="1"/>
                <w:bCs w:val="1"/>
                <w:color w:val="auto"/>
                <w:w w:val="87"/>
              </w:rPr>
              <w:t>Year Built</w:t>
            </w:r>
            <w:r>
              <w:rPr>
                <w:rFonts w:ascii="Arial" w:cs="Arial" w:eastAsia="Arial" w:hAnsi="Arial"/>
                <w:sz w:val="29"/>
                <w:szCs w:val="29"/>
                <w:b w:val="1"/>
                <w:bCs w:val="1"/>
                <w:color w:val="auto"/>
                <w:w w:val="87"/>
                <w:vertAlign w:val="superscript"/>
              </w:rPr>
              <w:t>(1)</w:t>
            </w:r>
          </w:p>
        </w:tc>
        <w:tc>
          <w:tcPr>
            <w:tcW w:w="18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Shipyard</w:t>
            </w:r>
          </w:p>
        </w:tc>
        <w:tc>
          <w:tcPr>
            <w:tcW w:w="160" w:type="dxa"/>
            <w:vAlign w:val="bottom"/>
          </w:tcPr>
          <w:p>
            <w:pPr>
              <w:spacing w:after="0"/>
              <w:rPr>
                <w:sz w:val="23"/>
                <w:szCs w:val="2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60" w:type="dxa"/>
            <w:vAlign w:val="bottom"/>
          </w:tcPr>
          <w:p>
            <w:pPr>
              <w:spacing w:after="0"/>
              <w:rPr>
                <w:sz w:val="23"/>
                <w:szCs w:val="2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Propulsion</w:t>
            </w:r>
          </w:p>
        </w:tc>
        <w:tc>
          <w:tcPr>
            <w:tcW w:w="160" w:type="dxa"/>
            <w:vAlign w:val="bottom"/>
          </w:tcPr>
          <w:p>
            <w:pPr>
              <w:spacing w:after="0"/>
              <w:rPr>
                <w:sz w:val="23"/>
                <w:szCs w:val="23"/>
                <w:color w:val="auto"/>
              </w:rPr>
            </w:pPr>
          </w:p>
        </w:tc>
        <w:tc>
          <w:tcPr>
            <w:tcW w:w="200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7"/>
              </w:rPr>
              <w:t>Expiration</w:t>
            </w:r>
            <w:r>
              <w:rPr>
                <w:rFonts w:ascii="Arial" w:cs="Arial" w:eastAsia="Arial" w:hAnsi="Arial"/>
                <w:sz w:val="29"/>
                <w:szCs w:val="29"/>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E8FFFA"/>
          </w:tcPr>
          <w:p>
            <w:pPr>
              <w:spacing w:after="0"/>
              <w:rPr>
                <w:sz w:val="20"/>
                <w:szCs w:val="20"/>
                <w:color w:val="auto"/>
              </w:rPr>
            </w:pPr>
            <w:r>
              <w:rPr>
                <w:rFonts w:ascii="Arial" w:cs="Arial" w:eastAsia="Arial" w:hAnsi="Arial"/>
                <w:sz w:val="18"/>
                <w:szCs w:val="18"/>
                <w:color w:val="auto"/>
              </w:rPr>
              <w:t>Hull No. 2131</w:t>
            </w:r>
          </w:p>
        </w:tc>
        <w:tc>
          <w:tcPr>
            <w:tcW w:w="16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Q1 2019</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Samsung</w:t>
            </w:r>
          </w:p>
        </w:tc>
        <w:tc>
          <w:tcPr>
            <w:tcW w:w="160" w:type="dxa"/>
            <w:vAlign w:val="bottom"/>
            <w:shd w:val="clear" w:color="auto" w:fill="E8FFFA"/>
          </w:tcPr>
          <w:p>
            <w:pPr>
              <w:spacing w:after="0"/>
              <w:rPr>
                <w:sz w:val="18"/>
                <w:szCs w:val="18"/>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E8FFFA"/>
          </w:tcPr>
          <w:p>
            <w:pPr>
              <w:spacing w:after="0"/>
              <w:rPr>
                <w:sz w:val="18"/>
                <w:szCs w:val="18"/>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E8FFFA"/>
          </w:tcPr>
          <w:p>
            <w:pPr>
              <w:spacing w:after="0"/>
              <w:rPr>
                <w:sz w:val="18"/>
                <w:szCs w:val="18"/>
                <w:color w:val="auto"/>
              </w:rPr>
            </w:pPr>
          </w:p>
        </w:tc>
        <w:tc>
          <w:tcPr>
            <w:tcW w:w="200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4"/>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Hull No. 2212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Q3 2019</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Samsung</w:t>
            </w:r>
          </w:p>
        </w:tc>
        <w:tc>
          <w:tcPr>
            <w:tcW w:w="114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180,000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8FFFA"/>
          </w:tcPr>
          <w:p>
            <w:pPr>
              <w:spacing w:after="0"/>
              <w:rPr>
                <w:sz w:val="20"/>
                <w:szCs w:val="20"/>
                <w:color w:val="auto"/>
              </w:rPr>
            </w:pPr>
            <w:r>
              <w:rPr>
                <w:rFonts w:ascii="Arial" w:cs="Arial" w:eastAsia="Arial" w:hAnsi="Arial"/>
                <w:sz w:val="18"/>
                <w:szCs w:val="18"/>
                <w:color w:val="auto"/>
              </w:rPr>
              <w:t>Hull No. 2213</w:t>
            </w:r>
          </w:p>
        </w:tc>
        <w:tc>
          <w:tcPr>
            <w:tcW w:w="16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Q2 2020</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Samsung</w:t>
            </w:r>
          </w:p>
        </w:tc>
        <w:tc>
          <w:tcPr>
            <w:tcW w:w="11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6"/>
              </w:rPr>
              <w:t>180,000</w:t>
            </w:r>
          </w:p>
        </w:tc>
        <w:tc>
          <w:tcPr>
            <w:tcW w:w="160" w:type="dxa"/>
            <w:vAlign w:val="bottom"/>
            <w:shd w:val="clear" w:color="auto" w:fill="E8FFFA"/>
          </w:tcPr>
          <w:p>
            <w:pPr>
              <w:spacing w:after="0"/>
              <w:rPr>
                <w:sz w:val="18"/>
                <w:szCs w:val="18"/>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LP-2S</w:t>
            </w:r>
          </w:p>
        </w:tc>
        <w:tc>
          <w:tcPr>
            <w:tcW w:w="216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4"/>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Hull No. 2274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Q2 2020</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Samsung</w:t>
            </w:r>
          </w:p>
        </w:tc>
        <w:tc>
          <w:tcPr>
            <w:tcW w:w="114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180,000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8FFFA"/>
          </w:tcPr>
          <w:p>
            <w:pPr>
              <w:spacing w:after="0"/>
              <w:rPr>
                <w:sz w:val="20"/>
                <w:szCs w:val="20"/>
                <w:color w:val="auto"/>
              </w:rPr>
            </w:pPr>
            <w:r>
              <w:rPr>
                <w:rFonts w:ascii="Arial" w:cs="Arial" w:eastAsia="Arial" w:hAnsi="Arial"/>
                <w:sz w:val="18"/>
                <w:szCs w:val="18"/>
                <w:color w:val="auto"/>
              </w:rPr>
              <w:t>Hull No. 2262</w:t>
            </w:r>
          </w:p>
        </w:tc>
        <w:tc>
          <w:tcPr>
            <w:tcW w:w="16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Q3 2020</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Samsung</w:t>
            </w:r>
          </w:p>
        </w:tc>
        <w:tc>
          <w:tcPr>
            <w:tcW w:w="11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6"/>
              </w:rPr>
              <w:t>180,000</w:t>
            </w:r>
          </w:p>
        </w:tc>
        <w:tc>
          <w:tcPr>
            <w:tcW w:w="160" w:type="dxa"/>
            <w:vAlign w:val="bottom"/>
            <w:shd w:val="clear" w:color="auto" w:fill="E8FFFA"/>
          </w:tcPr>
          <w:p>
            <w:pPr>
              <w:spacing w:after="0"/>
              <w:rPr>
                <w:sz w:val="18"/>
                <w:szCs w:val="18"/>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LP-2S</w:t>
            </w:r>
          </w:p>
        </w:tc>
        <w:tc>
          <w:tcPr>
            <w:tcW w:w="216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4"/>
              </w:rPr>
              <w:t>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ind w:left="1680" w:hanging="531"/>
        <w:spacing w:after="0"/>
        <w:tabs>
          <w:tab w:leader="none" w:pos="1680" w:val="left"/>
        </w:tabs>
        <w:numPr>
          <w:ilvl w:val="0"/>
          <w:numId w:val="6"/>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GasLog will host a conference call to discuss its results for the second quarter of 2018 at 8:30 a.m. EDT (1:30 p.m. BST) on Thursday, August 2, 2018. Paul Wogan, Chief Executive Officer, and Alastair Maxwell, Chief Financial Officer, will review the Company's operational and financial performance for the period. Management's presentation will be followed by a Q&amp;A session.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+1 855 253 8928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8436589</w:t>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A live webcast of the conference call will also be available on the investor relations page of the Company's website at </w:t>
      </w:r>
      <w:r>
        <w:rPr>
          <w:rFonts w:ascii="Arial" w:cs="Arial" w:eastAsia="Arial" w:hAnsi="Arial"/>
          <w:sz w:val="18"/>
          <w:szCs w:val="18"/>
          <w:u w:val="single" w:color="auto"/>
          <w:color w:val="auto"/>
        </w:rPr>
        <w:t>http://www.gaslogltd.com/investor-relations.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those unable to participate in the conference call, a replay will also be available from 12:00 p.m. EDT (5:00 p.m. BST) on Thursday, August 2, 2018 until 12:00 p.m. EDT (5:00 p.m. BST) on Thursday, August 9,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8436589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replay will also be available via a webcast in the investor relations page of the Company's website at </w:t>
      </w:r>
      <w:r>
        <w:rPr>
          <w:rFonts w:ascii="Arial" w:cs="Arial" w:eastAsia="Arial" w:hAnsi="Arial"/>
          <w:sz w:val="16"/>
          <w:szCs w:val="16"/>
          <w:u w:val="single" w:color="auto"/>
          <w:color w:val="auto"/>
        </w:rPr>
        <w:t>http://www.gaslogltd.com/investor-relations</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30 LNG carriers (25 ships on the water and five on order). GasLog also has an additional LNG carrier which was sold to a subsidiary of Mitsui &amp; Co. Ltd. and leased back under a long-term bareboat charter. GasLog's consolidated fleet currently includes 13 LNG carriers in operation owned by GasLog Partners. GasLog's principal executive offices are at Gildo Pastor Center, 7 Rue du Gabian, MC 98000, Monaco. Visit GasLog's website at </w:t>
      </w:r>
      <w:r>
        <w:rPr>
          <w:rFonts w:ascii="Arial" w:cs="Arial" w:eastAsia="Arial" w:hAnsi="Arial"/>
          <w:sz w:val="18"/>
          <w:szCs w:val="18"/>
          <w:u w:val="single" w:color="auto"/>
          <w:color w:val="auto"/>
        </w:rPr>
        <w:t>http://www.gaslogltd.com</w:t>
      </w:r>
      <w:r>
        <w:rPr>
          <w:rFonts w:ascii="Arial" w:cs="Arial" w:eastAsia="Arial" w:hAnsi="Arial"/>
          <w:sz w:val="18"/>
          <w:szCs w:val="18"/>
          <w:color w:val="auto"/>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60" w:hanging="532"/>
        <w:spacing w:after="0" w:line="28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59"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 w:lineRule="exact"/>
        <w:rPr>
          <w:rFonts w:ascii="Arial" w:cs="Arial" w:eastAsia="Arial" w:hAnsi="Arial"/>
          <w:sz w:val="18"/>
          <w:szCs w:val="18"/>
          <w:color w:val="auto"/>
        </w:rPr>
      </w:pPr>
    </w:p>
    <w:p>
      <w:pPr>
        <w:ind w:left="1080" w:right="200" w:hanging="532"/>
        <w:spacing w:after="0" w:line="25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 w:lineRule="exact"/>
        <w:rPr>
          <w:rFonts w:ascii="Arial" w:cs="Arial" w:eastAsia="Arial" w:hAnsi="Arial"/>
          <w:sz w:val="18"/>
          <w:szCs w:val="18"/>
          <w:color w:val="auto"/>
        </w:rPr>
      </w:pPr>
    </w:p>
    <w:p>
      <w:pPr>
        <w:ind w:left="1080" w:right="620" w:hanging="532"/>
        <w:spacing w:after="0" w:line="28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20" w:lineRule="exact"/>
        <w:rPr>
          <w:rFonts w:ascii="Arial" w:cs="Arial" w:eastAsia="Arial" w:hAnsi="Arial"/>
          <w:sz w:val="16"/>
          <w:szCs w:val="16"/>
          <w:color w:val="auto"/>
        </w:rPr>
      </w:pPr>
    </w:p>
    <w:p>
      <w:pPr>
        <w:ind w:left="1080" w:right="30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 w:lineRule="exact"/>
        <w:rPr>
          <w:rFonts w:ascii="Arial" w:cs="Arial" w:eastAsia="Arial" w:hAnsi="Arial"/>
          <w:sz w:val="18"/>
          <w:szCs w:val="18"/>
          <w:color w:val="auto"/>
        </w:rPr>
      </w:pPr>
    </w:p>
    <w:p>
      <w:pPr>
        <w:ind w:left="1080" w:right="20" w:hanging="532"/>
        <w:spacing w:after="0" w:line="25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risk of accidents, collisions and the discharge of pollutants;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36" w:lineRule="exact"/>
        <w:rPr>
          <w:rFonts w:ascii="Arial" w:cs="Arial" w:eastAsia="Arial" w:hAnsi="Arial"/>
          <w:sz w:val="18"/>
          <w:szCs w:val="18"/>
          <w:color w:val="auto"/>
        </w:rPr>
      </w:pPr>
    </w:p>
    <w:p>
      <w:pPr>
        <w:ind w:left="1080" w:right="84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February 28, 2018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 w:name="page14"/>
    <w:bookmarkEnd w:id="13"/>
    <w:p>
      <w:pPr>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I—Unaudited Interim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2017</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2018</w:t>
            </w: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40" w:type="dxa"/>
            <w:vAlign w:val="bottom"/>
            <w:tcBorders>
              <w:top w:val="single" w:sz="8" w:color="auto"/>
            </w:tcBorders>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240" w:type="dxa"/>
            <w:vAlign w:val="bottom"/>
            <w:tcBorders>
              <w:top w:val="single" w:sz="8" w:color="auto"/>
            </w:tcBorders>
            <w:shd w:val="clear" w:color="auto" w:fill="E8FFFA"/>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Goodwill</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9,511</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9,511</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Investment in associates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20,800</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20,489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Deferred financing costs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17,519</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4,134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1,820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16,012</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31,440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Tangible fixed assets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3,772,566</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4,378,295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Vessels under construction</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166,655</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89,956</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Vessel held under finance lease</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214,329</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210,646</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4,217,820</w:t>
            </w:r>
          </w:p>
        </w:tc>
        <w:tc>
          <w:tcPr>
            <w:tcW w:w="160" w:type="dxa"/>
            <w:vAlign w:val="bottom"/>
            <w:shd w:val="clear" w:color="auto" w:fill="E8FFFA"/>
          </w:tcPr>
          <w:p>
            <w:pPr>
              <w:spacing w:after="0"/>
              <w:rPr>
                <w:sz w:val="12"/>
                <w:szCs w:val="12"/>
                <w:color w:val="auto"/>
              </w:rPr>
            </w:pP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4,746,291</w:t>
            </w:r>
          </w:p>
        </w:tc>
        <w:tc>
          <w:tcPr>
            <w:tcW w:w="40" w:type="dxa"/>
            <w:vAlign w:val="bottom"/>
          </w:tcPr>
          <w:p>
            <w:pPr>
              <w:spacing w:after="0"/>
              <w:rPr>
                <w:sz w:val="12"/>
                <w:szCs w:val="12"/>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Trade and other receivables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10,706</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18,817</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Dividends receivable and other amounts due from related parties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8,666</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8,075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2,199</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6,206</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Inventories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6,839</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9,722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Prepayments and other current assets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4,569</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4,132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Short-term investments</w:t>
            </w: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26,000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Restricted cash</w:t>
            </w:r>
          </w:p>
        </w:tc>
        <w:tc>
          <w:tcPr>
            <w:tcW w:w="1400" w:type="dxa"/>
            <w:vAlign w:val="bottom"/>
            <w:gridSpan w:val="2"/>
            <w:shd w:val="clear" w:color="auto" w:fill="E8FFFA"/>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2,321</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384,092</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314,369</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417,071</w:t>
            </w:r>
          </w:p>
        </w:tc>
        <w:tc>
          <w:tcPr>
            <w:tcW w:w="160" w:type="dxa"/>
            <w:vAlign w:val="bottom"/>
            <w:shd w:val="clear" w:color="auto" w:fill="E8FFFA"/>
          </w:tcPr>
          <w:p>
            <w:pPr>
              <w:spacing w:after="0"/>
              <w:rPr>
                <w:sz w:val="12"/>
                <w:szCs w:val="12"/>
                <w:color w:val="auto"/>
              </w:rPr>
            </w:pP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389,642</w:t>
            </w:r>
          </w:p>
        </w:tc>
        <w:tc>
          <w:tcPr>
            <w:tcW w:w="40" w:type="dxa"/>
            <w:vAlign w:val="bottom"/>
          </w:tcPr>
          <w:p>
            <w:pPr>
              <w:spacing w:after="0"/>
              <w:rPr>
                <w:sz w:val="12"/>
                <w:szCs w:val="12"/>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4,634,891</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5,135,933</w:t>
            </w:r>
          </w:p>
        </w:tc>
        <w:tc>
          <w:tcPr>
            <w:tcW w:w="40" w:type="dxa"/>
            <w:vAlign w:val="bottom"/>
          </w:tcPr>
          <w:p>
            <w:pPr>
              <w:spacing w:after="0"/>
              <w:rPr>
                <w:sz w:val="12"/>
                <w:szCs w:val="12"/>
                <w:color w:val="auto"/>
              </w:rPr>
            </w:pPr>
          </w:p>
        </w:tc>
      </w:tr>
      <w:tr>
        <w:trPr>
          <w:trHeight w:val="20"/>
        </w:trPr>
        <w:tc>
          <w:tcPr>
            <w:tcW w:w="6340" w:type="dxa"/>
            <w:vAlign w:val="bottom"/>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Equity and liabilities</w:t>
            </w:r>
          </w:p>
        </w:tc>
        <w:tc>
          <w:tcPr>
            <w:tcW w:w="124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240" w:type="dxa"/>
            <w:vAlign w:val="bottom"/>
            <w:shd w:val="clear" w:color="auto" w:fill="E8FFFA"/>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Preference shares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46</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Share capital</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Contributed surplus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911,766</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883,314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18,347</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18,890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Treasury shares</w:t>
            </w:r>
          </w:p>
        </w:tc>
        <w:tc>
          <w:tcPr>
            <w:tcW w:w="140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(6,960)</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(4,472)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(Accumulated deficit)/retained earnings</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(5,980)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9,894</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Equity attributable to owners of the Group</w:t>
            </w:r>
          </w:p>
        </w:tc>
        <w:tc>
          <w:tcPr>
            <w:tcW w:w="1240" w:type="dxa"/>
            <w:vAlign w:val="bottom"/>
            <w:tcBorders>
              <w:top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918,029</w:t>
            </w:r>
          </w:p>
        </w:tc>
        <w:tc>
          <w:tcPr>
            <w:tcW w:w="160" w:type="dxa"/>
            <w:vAlign w:val="bottom"/>
            <w:shd w:val="clear" w:color="auto" w:fill="E8FFFA"/>
          </w:tcPr>
          <w:p>
            <w:pPr>
              <w:spacing w:after="0"/>
              <w:rPr>
                <w:sz w:val="12"/>
                <w:szCs w:val="12"/>
                <w:color w:val="auto"/>
              </w:rPr>
            </w:pPr>
          </w:p>
        </w:tc>
        <w:tc>
          <w:tcPr>
            <w:tcW w:w="1240" w:type="dxa"/>
            <w:vAlign w:val="bottom"/>
            <w:tcBorders>
              <w:top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908,482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845,105</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954,587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1,763,134</w:t>
            </w:r>
          </w:p>
        </w:tc>
        <w:tc>
          <w:tcPr>
            <w:tcW w:w="160" w:type="dxa"/>
            <w:vAlign w:val="bottom"/>
            <w:shd w:val="clear" w:color="auto" w:fill="E8FFFA"/>
          </w:tcPr>
          <w:p>
            <w:pPr>
              <w:spacing w:after="0"/>
              <w:rPr>
                <w:sz w:val="12"/>
                <w:szCs w:val="12"/>
                <w:color w:val="auto"/>
              </w:rPr>
            </w:pP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1,863,069</w:t>
            </w:r>
          </w:p>
        </w:tc>
        <w:tc>
          <w:tcPr>
            <w:tcW w:w="40" w:type="dxa"/>
            <w:vAlign w:val="bottom"/>
          </w:tcPr>
          <w:p>
            <w:pPr>
              <w:spacing w:after="0"/>
              <w:rPr>
                <w:sz w:val="12"/>
                <w:szCs w:val="12"/>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Current liabilities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Trade accounts payable</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11,526</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12,098</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Ship management creditors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2,394</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1,847</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Amounts due to related parties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72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1,815</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Other payables and accruals</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93,418</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120,565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Borrowings, current portion</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179,367</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182,556</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Finance lease liability, current portion</w:t>
            </w:r>
          </w:p>
        </w:tc>
        <w:tc>
          <w:tcPr>
            <w:tcW w:w="124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6,302</w:t>
            </w:r>
          </w:p>
        </w:tc>
        <w:tc>
          <w:tcPr>
            <w:tcW w:w="160" w:type="dxa"/>
            <w:vAlign w:val="bottom"/>
            <w:shd w:val="clear" w:color="auto" w:fill="E8FFFA"/>
          </w:tcPr>
          <w:p>
            <w:pPr>
              <w:spacing w:after="0"/>
              <w:rPr>
                <w:sz w:val="12"/>
                <w:szCs w:val="12"/>
                <w:color w:val="auto"/>
              </w:rPr>
            </w:pPr>
          </w:p>
        </w:tc>
        <w:tc>
          <w:tcPr>
            <w:tcW w:w="124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6,485</w:t>
            </w:r>
          </w:p>
        </w:tc>
        <w:tc>
          <w:tcPr>
            <w:tcW w:w="40" w:type="dxa"/>
            <w:vAlign w:val="bottom"/>
          </w:tcPr>
          <w:p>
            <w:pPr>
              <w:spacing w:after="0"/>
              <w:rPr>
                <w:sz w:val="12"/>
                <w:szCs w:val="12"/>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294,857</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324,732</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Non-current liabilities</w:t>
            </w:r>
          </w:p>
        </w:tc>
        <w:tc>
          <w:tcPr>
            <w:tcW w:w="124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1,149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Borrowings, non-current portion</w:t>
            </w: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2,368,189</w:t>
            </w:r>
          </w:p>
        </w:tc>
        <w:tc>
          <w:tcPr>
            <w:tcW w:w="160" w:type="dxa"/>
            <w:vAlign w:val="bottom"/>
            <w:shd w:val="clear" w:color="auto" w:fill="E8FFFA"/>
          </w:tcPr>
          <w:p>
            <w:pPr>
              <w:spacing w:after="0"/>
              <w:rPr>
                <w:sz w:val="12"/>
                <w:szCs w:val="12"/>
                <w:color w:val="auto"/>
              </w:rPr>
            </w:pPr>
          </w:p>
        </w:tc>
        <w:tc>
          <w:tcPr>
            <w:tcW w:w="12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2,742,255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Finance lease liability, non-current portion</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207,126</w:t>
            </w: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203,355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24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1,585</w:t>
            </w:r>
          </w:p>
        </w:tc>
        <w:tc>
          <w:tcPr>
            <w:tcW w:w="160" w:type="dxa"/>
            <w:vAlign w:val="bottom"/>
            <w:shd w:val="clear" w:color="auto" w:fill="E8FFFA"/>
          </w:tcPr>
          <w:p>
            <w:pPr>
              <w:spacing w:after="0"/>
              <w:rPr>
                <w:sz w:val="12"/>
                <w:szCs w:val="12"/>
                <w:color w:val="auto"/>
              </w:rPr>
            </w:pPr>
          </w:p>
        </w:tc>
        <w:tc>
          <w:tcPr>
            <w:tcW w:w="124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1,373</w:t>
            </w:r>
          </w:p>
        </w:tc>
        <w:tc>
          <w:tcPr>
            <w:tcW w:w="40" w:type="dxa"/>
            <w:vAlign w:val="bottom"/>
          </w:tcPr>
          <w:p>
            <w:pPr>
              <w:spacing w:after="0"/>
              <w:rPr>
                <w:sz w:val="12"/>
                <w:szCs w:val="12"/>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2,576,900</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2,948,132</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Total equity and liabilities</w:t>
            </w: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4,634,891</w:t>
            </w:r>
          </w:p>
        </w:tc>
        <w:tc>
          <w:tcPr>
            <w:tcW w:w="160" w:type="dxa"/>
            <w:vAlign w:val="bottom"/>
            <w:shd w:val="clear" w:color="auto" w:fill="E8FFFA"/>
          </w:tcPr>
          <w:p>
            <w:pPr>
              <w:spacing w:after="0"/>
              <w:rPr>
                <w:sz w:val="12"/>
                <w:szCs w:val="12"/>
                <w:color w:val="auto"/>
              </w:rPr>
            </w:pPr>
          </w:p>
        </w:tc>
        <w:tc>
          <w:tcPr>
            <w:tcW w:w="124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5,135,933</w:t>
            </w: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60" w:type="dxa"/>
            <w:vAlign w:val="bottom"/>
          </w:tcPr>
          <w:p>
            <w:pPr>
              <w:spacing w:after="0"/>
              <w:rPr>
                <w:sz w:val="19"/>
                <w:szCs w:val="19"/>
                <w:color w:val="auto"/>
              </w:rPr>
            </w:pPr>
          </w:p>
        </w:tc>
        <w:tc>
          <w:tcPr>
            <w:tcW w:w="376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460"/>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June 30, 2017</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June 30, 2018</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June 30, 2017</w:t>
            </w:r>
          </w:p>
        </w:tc>
        <w:tc>
          <w:tcPr>
            <w:tcW w:w="248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129,930</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132,824</w:t>
            </w:r>
          </w:p>
        </w:tc>
        <w:tc>
          <w:tcPr>
            <w:tcW w:w="12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258,215</w:t>
            </w:r>
          </w:p>
        </w:tc>
        <w:tc>
          <w:tcPr>
            <w:tcW w:w="12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271,302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pool allocation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15,611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4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(3,319)</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(4,634)</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(6,191)</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(9,915)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(29,833)</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(32,703)</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(57,322)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(67,016)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4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(34,451)</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(38,813)</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(68,159)</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(74,342)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(10,246)</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(10,352)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(20,225)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(22,365)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tcBorders>
              <w:bottom w:val="single" w:sz="8" w:color="E8FFFA"/>
            </w:tcBorders>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52,573</w:t>
            </w:r>
          </w:p>
        </w:tc>
        <w:tc>
          <w:tcPr>
            <w:tcW w:w="100" w:type="dxa"/>
            <w:vAlign w:val="bottom"/>
            <w:tcBorders>
              <w:bottom w:val="single" w:sz="8" w:color="E8FFFA"/>
            </w:tcBorders>
            <w:shd w:val="clear" w:color="auto" w:fill="E8FFFA"/>
          </w:tcPr>
          <w:p>
            <w:pPr>
              <w:spacing w:after="0"/>
              <w:rPr>
                <w:sz w:val="18"/>
                <w:szCs w:val="18"/>
                <w:color w:val="auto"/>
              </w:rPr>
            </w:pPr>
          </w:p>
        </w:tc>
        <w:tc>
          <w:tcPr>
            <w:tcW w:w="60" w:type="dxa"/>
            <w:vAlign w:val="bottom"/>
            <w:tcBorders>
              <w:bottom w:val="single" w:sz="8" w:color="E8FFFA"/>
            </w:tcBorders>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53,280</w:t>
            </w:r>
          </w:p>
        </w:tc>
        <w:tc>
          <w:tcPr>
            <w:tcW w:w="120" w:type="dxa"/>
            <w:vAlign w:val="bottom"/>
            <w:tcBorders>
              <w:bottom w:val="single" w:sz="8" w:color="E8FFFA"/>
            </w:tcBorders>
            <w:shd w:val="clear" w:color="auto" w:fill="E8FFFA"/>
          </w:tcPr>
          <w:p>
            <w:pPr>
              <w:spacing w:after="0"/>
              <w:rPr>
                <w:sz w:val="18"/>
                <w:szCs w:val="18"/>
                <w:color w:val="auto"/>
              </w:rPr>
            </w:pPr>
          </w:p>
        </w:tc>
        <w:tc>
          <w:tcPr>
            <w:tcW w:w="60" w:type="dxa"/>
            <w:vAlign w:val="bottom"/>
            <w:tcBorders>
              <w:bottom w:val="single" w:sz="8" w:color="E8FFFA"/>
            </w:tcBorders>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107,638</w:t>
            </w:r>
          </w:p>
        </w:tc>
        <w:tc>
          <w:tcPr>
            <w:tcW w:w="120" w:type="dxa"/>
            <w:vAlign w:val="bottom"/>
            <w:tcBorders>
              <w:bottom w:val="single" w:sz="8" w:color="E8FFFA"/>
            </w:tcBorders>
            <w:shd w:val="clear" w:color="auto" w:fill="E8FFFA"/>
          </w:tcPr>
          <w:p>
            <w:pPr>
              <w:spacing w:after="0"/>
              <w:rPr>
                <w:sz w:val="18"/>
                <w:szCs w:val="18"/>
                <w:color w:val="auto"/>
              </w:rPr>
            </w:pPr>
          </w:p>
        </w:tc>
        <w:tc>
          <w:tcPr>
            <w:tcW w:w="40" w:type="dxa"/>
            <w:vAlign w:val="bottom"/>
            <w:tcBorders>
              <w:bottom w:val="single" w:sz="8" w:color="E8FFFA"/>
            </w:tcBorders>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113,275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Financial costs</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(37,078)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(42,000)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(69,602)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(78,597)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E8FFFA"/>
          </w:tcPr>
          <w:p>
            <w:pPr>
              <w:spacing w:after="0"/>
              <w:rPr>
                <w:sz w:val="18"/>
                <w:szCs w:val="18"/>
                <w:color w:val="auto"/>
              </w:rPr>
            </w:pP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E8FFFA"/>
          </w:tcPr>
          <w:p>
            <w:pPr>
              <w:spacing w:after="0"/>
              <w:rPr>
                <w:sz w:val="18"/>
                <w:szCs w:val="18"/>
                <w:color w:val="auto"/>
              </w:rPr>
            </w:pP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E8FFFA"/>
          </w:tcPr>
          <w:p>
            <w:pPr>
              <w:spacing w:after="0"/>
              <w:rPr>
                <w:sz w:val="18"/>
                <w:szCs w:val="18"/>
                <w:color w:val="auto"/>
              </w:rPr>
            </w:pP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2,310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(9,720)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(9,722)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18,938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color w:val="auto"/>
              </w:rPr>
              <w:t>Share of profit of associates</w:t>
            </w:r>
          </w:p>
        </w:tc>
        <w:tc>
          <w:tcPr>
            <w:tcW w:w="160" w:type="dxa"/>
            <w:vAlign w:val="bottom"/>
            <w:tcBorders>
              <w:bottom w:val="single" w:sz="8" w:color="E8FFFA"/>
            </w:tcBorders>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E8FFFA"/>
            </w:tcBorders>
            <w:shd w:val="clear" w:color="auto" w:fill="E8FFFA"/>
          </w:tcPr>
          <w:p>
            <w:pPr>
              <w:spacing w:after="0"/>
              <w:rPr>
                <w:sz w:val="18"/>
                <w:szCs w:val="18"/>
                <w:color w:val="auto"/>
              </w:rPr>
            </w:pPr>
          </w:p>
        </w:tc>
        <w:tc>
          <w:tcPr>
            <w:tcW w:w="60" w:type="dxa"/>
            <w:vAlign w:val="bottom"/>
            <w:tcBorders>
              <w:bottom w:val="single" w:sz="8" w:color="E8FFFA"/>
            </w:tcBorders>
            <w:shd w:val="clear" w:color="auto" w:fill="E8FFFA"/>
          </w:tcPr>
          <w:p>
            <w:pPr>
              <w:spacing w:after="0"/>
              <w:rPr>
                <w:sz w:val="18"/>
                <w:szCs w:val="18"/>
                <w:color w:val="auto"/>
              </w:rPr>
            </w:pP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E8FFFA"/>
            </w:tcBorders>
            <w:shd w:val="clear" w:color="auto" w:fill="E8FFFA"/>
          </w:tcPr>
          <w:p>
            <w:pPr>
              <w:spacing w:after="0"/>
              <w:rPr>
                <w:sz w:val="18"/>
                <w:szCs w:val="18"/>
                <w:color w:val="auto"/>
              </w:rPr>
            </w:pPr>
          </w:p>
        </w:tc>
        <w:tc>
          <w:tcPr>
            <w:tcW w:w="60" w:type="dxa"/>
            <w:vAlign w:val="bottom"/>
            <w:tcBorders>
              <w:bottom w:val="single" w:sz="8" w:color="E8FFFA"/>
            </w:tcBorders>
            <w:shd w:val="clear" w:color="auto" w:fill="E8FFFA"/>
          </w:tcPr>
          <w:p>
            <w:pPr>
              <w:spacing w:after="0"/>
              <w:rPr>
                <w:sz w:val="18"/>
                <w:szCs w:val="18"/>
                <w:color w:val="auto"/>
              </w:rPr>
            </w:pP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E8FFFA"/>
            </w:tcBorders>
            <w:shd w:val="clear" w:color="auto" w:fill="E8FFFA"/>
          </w:tcPr>
          <w:p>
            <w:pPr>
              <w:spacing w:after="0"/>
              <w:rPr>
                <w:sz w:val="18"/>
                <w:szCs w:val="18"/>
                <w:color w:val="auto"/>
              </w:rPr>
            </w:pPr>
          </w:p>
        </w:tc>
        <w:tc>
          <w:tcPr>
            <w:tcW w:w="40" w:type="dxa"/>
            <w:vAlign w:val="bottom"/>
            <w:tcBorders>
              <w:bottom w:val="single" w:sz="8" w:color="E8FFFA"/>
            </w:tcBorders>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(45,669)</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(39,068)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(77,342)</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(56,522)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6,904</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14,212</w:t>
            </w:r>
          </w:p>
        </w:tc>
        <w:tc>
          <w:tcPr>
            <w:tcW w:w="12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30,296</w:t>
            </w:r>
          </w:p>
        </w:tc>
        <w:tc>
          <w:tcPr>
            <w:tcW w:w="12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56,753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Attributable to:</w:t>
            </w: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color w:val="auto"/>
              </w:rPr>
              <w:t>Owners of the Group</w:t>
            </w:r>
          </w:p>
        </w:tc>
        <w:tc>
          <w:tcPr>
            <w:tcW w:w="14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(7,515)</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color w:val="auto"/>
              </w:rPr>
              <w:t>(3,620)</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E8FFFA"/>
          </w:tcPr>
          <w:p>
            <w:pPr>
              <w:spacing w:after="0"/>
              <w:rPr>
                <w:sz w:val="18"/>
                <w:szCs w:val="18"/>
                <w:color w:val="auto"/>
              </w:rPr>
            </w:pP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15,684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17,832</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29,059</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41,069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6,904</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14,212</w:t>
            </w:r>
          </w:p>
        </w:tc>
        <w:tc>
          <w:tcPr>
            <w:tcW w:w="12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30,296</w:t>
            </w:r>
          </w:p>
        </w:tc>
        <w:tc>
          <w:tcPr>
            <w:tcW w:w="12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56,753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440" w:type="dxa"/>
            <w:vAlign w:val="bottom"/>
            <w:gridSpan w:val="3"/>
          </w:tcPr>
          <w:p>
            <w:pPr>
              <w:spacing w:after="0"/>
              <w:rPr>
                <w:sz w:val="17"/>
                <w:szCs w:val="17"/>
                <w:color w:val="auto"/>
              </w:rPr>
            </w:pPr>
          </w:p>
        </w:tc>
        <w:tc>
          <w:tcPr>
            <w:tcW w:w="1340" w:type="dxa"/>
            <w:vAlign w:val="bottom"/>
            <w:gridSpan w:val="3"/>
          </w:tcPr>
          <w:p>
            <w:pPr>
              <w:spacing w:after="0"/>
              <w:rPr>
                <w:sz w:val="17"/>
                <w:szCs w:val="17"/>
                <w:color w:val="auto"/>
              </w:rPr>
            </w:pPr>
          </w:p>
        </w:tc>
        <w:tc>
          <w:tcPr>
            <w:tcW w:w="1340" w:type="dxa"/>
            <w:vAlign w:val="bottom"/>
            <w:gridSpan w:val="3"/>
          </w:tcPr>
          <w:p>
            <w:pPr>
              <w:spacing w:after="0"/>
              <w:rPr>
                <w:sz w:val="17"/>
                <w:szCs w:val="17"/>
                <w:color w:val="auto"/>
              </w:rPr>
            </w:pPr>
          </w:p>
        </w:tc>
        <w:tc>
          <w:tcPr>
            <w:tcW w:w="122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w w:val="94"/>
              </w:rPr>
              <w:t>(Loss)/earnings per share – basic and diluted</w:t>
            </w:r>
          </w:p>
        </w:tc>
        <w:tc>
          <w:tcPr>
            <w:tcW w:w="14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b w:val="1"/>
                <w:bCs w:val="1"/>
                <w:color w:val="auto"/>
              </w:rPr>
              <w:t>(0.12)</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b w:val="1"/>
                <w:bCs w:val="1"/>
                <w:color w:val="auto"/>
              </w:rPr>
              <w:t>(0.08)</w:t>
            </w:r>
          </w:p>
        </w:tc>
        <w:tc>
          <w:tcPr>
            <w:tcW w:w="1340" w:type="dxa"/>
            <w:vAlign w:val="bottom"/>
            <w:gridSpan w:val="3"/>
            <w:shd w:val="clear" w:color="auto" w:fill="E8FFFA"/>
          </w:tcPr>
          <w:p>
            <w:pPr>
              <w:jc w:val="right"/>
              <w:ind w:right="60"/>
              <w:spacing w:after="0"/>
              <w:rPr>
                <w:sz w:val="20"/>
                <w:szCs w:val="20"/>
                <w:color w:val="auto"/>
              </w:rPr>
            </w:pPr>
            <w:r>
              <w:rPr>
                <w:rFonts w:ascii="Arial" w:cs="Arial" w:eastAsia="Arial" w:hAnsi="Arial"/>
                <w:sz w:val="18"/>
                <w:szCs w:val="18"/>
                <w:b w:val="1"/>
                <w:bCs w:val="1"/>
                <w:color w:val="auto"/>
              </w:rPr>
              <w:t>(0.05)</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0.13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40" w:type="dxa"/>
            <w:vAlign w:val="bottom"/>
            <w:gridSpan w:val="2"/>
          </w:tcPr>
          <w:p>
            <w:pPr>
              <w:jc w:val="right"/>
              <w:ind w:right="27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3800" w:type="dxa"/>
            <w:vAlign w:val="bottom"/>
            <w:gridSpan w:val="4"/>
          </w:tcPr>
          <w:p>
            <w:pPr>
              <w:jc w:val="right"/>
              <w:ind w:right="162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June 30, 2017</w:t>
            </w:r>
          </w:p>
        </w:tc>
        <w:tc>
          <w:tcPr>
            <w:tcW w:w="2480" w:type="dxa"/>
            <w:vAlign w:val="bottom"/>
            <w:gridSpan w:val="2"/>
          </w:tcPr>
          <w:p>
            <w:pPr>
              <w:jc w:val="right"/>
              <w:ind w:right="1380"/>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Profit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30,296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56,753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Adjustments for:</w:t>
            </w: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Depreciation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68,159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74,342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Share of profit of associates</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(847)</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(827)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Financial income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1180" w:type="dxa"/>
            <w:vAlign w:val="bottom"/>
          </w:tcPr>
          <w:p>
            <w:pPr>
              <w:jc w:val="right"/>
              <w:spacing w:after="0"/>
              <w:rPr>
                <w:sz w:val="20"/>
                <w:szCs w:val="20"/>
                <w:color w:val="auto"/>
              </w:rPr>
            </w:pPr>
            <w:r>
              <w:rPr>
                <w:rFonts w:ascii="Arial" w:cs="Arial" w:eastAsia="Arial" w:hAnsi="Arial"/>
                <w:sz w:val="18"/>
                <w:szCs w:val="18"/>
                <w:color w:val="auto"/>
              </w:rPr>
              <w:t>(2,310)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69,602</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78,597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Unrealized foreign exchange (gain)/loss on cash and cash equivalents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w w:val="98"/>
              </w:rPr>
              <w:t>Unrealized loss/(gain) on derivative financial instruments held for trading, including</w:t>
            </w: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460" w:type="dxa"/>
            <w:vAlign w:val="bottom"/>
            <w:shd w:val="clear" w:color="auto" w:fill="E8FFFA"/>
          </w:tcPr>
          <w:p>
            <w:pPr>
              <w:ind w:left="160"/>
              <w:spacing w:after="0"/>
              <w:rPr>
                <w:sz w:val="20"/>
                <w:szCs w:val="20"/>
                <w:color w:val="auto"/>
              </w:rPr>
            </w:pPr>
            <w:r>
              <w:rPr>
                <w:rFonts w:ascii="Arial" w:cs="Arial" w:eastAsia="Arial" w:hAnsi="Arial"/>
                <w:sz w:val="18"/>
                <w:szCs w:val="18"/>
                <w:color w:val="auto"/>
              </w:rPr>
              <w:t>ineffective portion of cash flow hedges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E8FFFA"/>
          </w:tcPr>
          <w:p>
            <w:pPr>
              <w:spacing w:after="0"/>
              <w:rPr>
                <w:sz w:val="19"/>
                <w:szCs w:val="19"/>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(16,705)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160" w:type="dxa"/>
            <w:vAlign w:val="bottom"/>
          </w:tcPr>
          <w:p>
            <w:pPr>
              <w:jc w:val="right"/>
              <w:spacing w:after="0"/>
              <w:rPr>
                <w:sz w:val="20"/>
                <w:szCs w:val="20"/>
                <w:color w:val="auto"/>
              </w:rPr>
            </w:pPr>
            <w:r>
              <w:rPr>
                <w:rFonts w:ascii="Arial" w:cs="Arial" w:eastAsia="Arial" w:hAnsi="Arial"/>
                <w:sz w:val="18"/>
                <w:szCs w:val="18"/>
                <w:color w:val="auto"/>
              </w:rPr>
              <w:t>4,368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2,235</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2,515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173,312</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192,428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Movements in working capital</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(5,344)</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(1,712)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provided by operations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167,968</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Interest paid</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(63,853)</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(63,914)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104,115</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126,802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4"/>
              </w:rPr>
              <w:t>Payments for tangible fixed assets, vessels under construction and vessel held under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finance lease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(63,010)</w:t>
            </w:r>
          </w:p>
        </w:tc>
        <w:tc>
          <w:tcPr>
            <w:tcW w:w="2480" w:type="dxa"/>
            <w:vAlign w:val="bottom"/>
            <w:gridSpan w:val="2"/>
          </w:tcPr>
          <w:p>
            <w:pPr>
              <w:jc w:val="right"/>
              <w:ind w:right="1240"/>
              <w:spacing w:after="0"/>
              <w:rPr>
                <w:sz w:val="20"/>
                <w:szCs w:val="20"/>
                <w:color w:val="auto"/>
              </w:rPr>
            </w:pPr>
            <w:r>
              <w:rPr>
                <w:rFonts w:ascii="Arial" w:cs="Arial" w:eastAsia="Arial" w:hAnsi="Arial"/>
                <w:sz w:val="18"/>
                <w:szCs w:val="18"/>
                <w:color w:val="auto"/>
              </w:rPr>
              <w:t>(588,929)</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Dividends received from associate</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Other investments</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(13,944)</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180" w:type="dxa"/>
            <w:vAlign w:val="bottom"/>
          </w:tcPr>
          <w:p>
            <w:pPr>
              <w:jc w:val="right"/>
              <w:spacing w:after="0"/>
              <w:rPr>
                <w:sz w:val="20"/>
                <w:szCs w:val="20"/>
                <w:color w:val="auto"/>
              </w:rPr>
            </w:pPr>
            <w:r>
              <w:rPr>
                <w:rFonts w:ascii="Arial" w:cs="Arial" w:eastAsia="Arial" w:hAnsi="Arial"/>
                <w:sz w:val="18"/>
                <w:szCs w:val="18"/>
                <w:color w:val="auto"/>
              </w:rPr>
              <w:t>(36,000)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Maturity of short-term investments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Restricted cash</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 received</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2,124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(66,726)</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(614,626)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160" w:type="dxa"/>
            <w:vAlign w:val="bottom"/>
          </w:tcPr>
          <w:p>
            <w:pPr>
              <w:jc w:val="right"/>
              <w:spacing w:after="0"/>
              <w:rPr>
                <w:sz w:val="20"/>
                <w:szCs w:val="20"/>
                <w:color w:val="auto"/>
              </w:rPr>
            </w:pPr>
            <w:r>
              <w:rPr>
                <w:rFonts w:ascii="Arial" w:cs="Arial" w:eastAsia="Arial" w:hAnsi="Arial"/>
                <w:sz w:val="18"/>
                <w:szCs w:val="18"/>
                <w:color w:val="auto"/>
              </w:rPr>
              <w:t>280,000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498,225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Bank loans and bonds repayments</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(276,158)</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(108,958)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(6,234)</w:t>
            </w:r>
          </w:p>
        </w:tc>
        <w:tc>
          <w:tcPr>
            <w:tcW w:w="1180" w:type="dxa"/>
            <w:vAlign w:val="bottom"/>
          </w:tcPr>
          <w:p>
            <w:pPr>
              <w:jc w:val="right"/>
              <w:spacing w:after="0"/>
              <w:rPr>
                <w:sz w:val="20"/>
                <w:szCs w:val="20"/>
                <w:color w:val="auto"/>
              </w:rPr>
            </w:pPr>
            <w:r>
              <w:rPr>
                <w:rFonts w:ascii="Arial" w:cs="Arial" w:eastAsia="Arial" w:hAnsi="Arial"/>
                <w:sz w:val="18"/>
                <w:szCs w:val="18"/>
                <w:color w:val="auto"/>
              </w:rPr>
              <w:t>(7,295)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w w:val="98"/>
              </w:rPr>
              <w:t>Proceeds from GasLog Partners' public common unit offerings (net of underwriting</w:t>
            </w: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460" w:type="dxa"/>
            <w:vAlign w:val="bottom"/>
            <w:shd w:val="clear" w:color="auto" w:fill="E8FFFA"/>
          </w:tcPr>
          <w:p>
            <w:pPr>
              <w:ind w:left="160"/>
              <w:spacing w:after="0"/>
              <w:rPr>
                <w:sz w:val="20"/>
                <w:szCs w:val="20"/>
                <w:color w:val="auto"/>
              </w:rPr>
            </w:pPr>
            <w:r>
              <w:rPr>
                <w:rFonts w:ascii="Arial" w:cs="Arial" w:eastAsia="Arial" w:hAnsi="Arial"/>
                <w:sz w:val="18"/>
                <w:szCs w:val="18"/>
                <w:color w:val="auto"/>
              </w:rPr>
              <w:t>discounts and commissions)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87,840</w:t>
            </w:r>
          </w:p>
        </w:tc>
        <w:tc>
          <w:tcPr>
            <w:tcW w:w="160" w:type="dxa"/>
            <w:vAlign w:val="bottom"/>
            <w:shd w:val="clear" w:color="auto" w:fill="E8FFFA"/>
          </w:tcPr>
          <w:p>
            <w:pPr>
              <w:spacing w:after="0"/>
              <w:rPr>
                <w:sz w:val="19"/>
                <w:szCs w:val="19"/>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3"/>
              </w:rPr>
              <w:t>Proceeds from GasLog Partners' preference unit offering (net of underwriting discounts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and commissions)</w:t>
            </w:r>
          </w:p>
        </w:tc>
        <w:tc>
          <w:tcPr>
            <w:tcW w:w="1160" w:type="dxa"/>
            <w:vAlign w:val="bottom"/>
          </w:tcPr>
          <w:p>
            <w:pPr>
              <w:jc w:val="right"/>
              <w:spacing w:after="0"/>
              <w:rPr>
                <w:sz w:val="20"/>
                <w:szCs w:val="20"/>
                <w:color w:val="auto"/>
              </w:rPr>
            </w:pPr>
            <w:r>
              <w:rPr>
                <w:rFonts w:ascii="Arial" w:cs="Arial" w:eastAsia="Arial" w:hAnsi="Arial"/>
                <w:sz w:val="18"/>
                <w:szCs w:val="18"/>
                <w:color w:val="auto"/>
              </w:rPr>
              <w:t>139,222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111,544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Payment of equity raising costs</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(336)</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(660)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Payment for NOK bond repurchase at a premium</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Payment for cross currency swaps' termination</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(20,603)</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Proceeds from stock options' exercise</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Dividends paid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(53,019)</w:t>
            </w:r>
          </w:p>
        </w:tc>
        <w:tc>
          <w:tcPr>
            <w:tcW w:w="1180" w:type="dxa"/>
            <w:vAlign w:val="bottom"/>
          </w:tcPr>
          <w:p>
            <w:pPr>
              <w:jc w:val="right"/>
              <w:spacing w:after="0"/>
              <w:rPr>
                <w:sz w:val="20"/>
                <w:szCs w:val="20"/>
                <w:color w:val="auto"/>
              </w:rPr>
            </w:pPr>
            <w:r>
              <w:rPr>
                <w:rFonts w:ascii="Arial" w:cs="Arial" w:eastAsia="Arial" w:hAnsi="Arial"/>
                <w:sz w:val="18"/>
                <w:szCs w:val="18"/>
                <w:color w:val="auto"/>
              </w:rPr>
              <w:t>(71,223)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Payments for finance lease liability</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(3,588)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149,377</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418,164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187,304</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(69,723)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Cash and cash equivalents, beginning of the period</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227,024</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384,092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414,328</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314,369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16</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3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EBITDA is defined as earnings before depreciation, amortization, financial income and costs, gain/loss on derivatives and taxes. Adjusted EBITDA is defined as EBITDA before foreign exchange gains/losses. Adjusted Profit represents earnings before write-off and accelerated amortization of unamortized loan fees/bond fees and premium, foreign exchange gains/losses and non-cash gain/loss on derivatives that includes (if any) (a) unrealized gain/loss on derivative financial instruments held for trading, (b) recycled loss of cash flow hedges reclassified to profit or loss and (c) ineffective portion of cash flow hedges. Adjusted EPS represents earnings attributable to owners of the Group before non-cash gain/loss on derivatives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w:t>
      </w:r>
    </w:p>
    <w:p>
      <w:pPr>
        <w:spacing w:after="0" w:line="4" w:lineRule="exact"/>
        <w:rPr>
          <w:sz w:val="20"/>
          <w:szCs w:val="20"/>
          <w:color w:val="auto"/>
        </w:rPr>
      </w:pPr>
    </w:p>
    <w:p>
      <w:pPr>
        <w:ind w:firstLine="8"/>
        <w:spacing w:after="0" w:line="290"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and in the case of Adjusted Profit and Adjusted EPS, non-cash gain/loss on derivatives,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Reconciliation of Profit to EBITDA and Adjusted EBITDA: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For the three months ended</w:t>
            </w:r>
          </w:p>
        </w:tc>
        <w:tc>
          <w:tcPr>
            <w:tcW w:w="234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For the six months ended</w:t>
            </w:r>
          </w:p>
        </w:tc>
        <w:tc>
          <w:tcPr>
            <w:tcW w:w="0" w:type="dxa"/>
            <w:vAlign w:val="bottom"/>
          </w:tcPr>
          <w:p>
            <w:pPr>
              <w:spacing w:after="0"/>
              <w:rPr>
                <w:sz w:val="1"/>
                <w:szCs w:val="1"/>
                <w:color w:val="auto"/>
              </w:rPr>
            </w:pPr>
          </w:p>
        </w:tc>
      </w:tr>
      <w:tr>
        <w:trPr>
          <w:trHeight w:val="460"/>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June 30, 2017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June 30, 2018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June 30, 2017</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0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6,904</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14,212</w:t>
            </w:r>
          </w:p>
        </w:tc>
        <w:tc>
          <w:tcPr>
            <w:tcW w:w="160" w:type="dxa"/>
            <w:vAlign w:val="bottom"/>
            <w:shd w:val="clear" w:color="auto" w:fill="E8FFFA"/>
          </w:tcPr>
          <w:p>
            <w:pPr>
              <w:spacing w:after="0"/>
              <w:rPr>
                <w:sz w:val="18"/>
                <w:szCs w:val="18"/>
                <w:color w:val="auto"/>
              </w:rPr>
            </w:pPr>
          </w:p>
        </w:tc>
        <w:tc>
          <w:tcPr>
            <w:tcW w:w="10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30,296</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56,753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Depreciation</w:t>
            </w:r>
          </w:p>
        </w:tc>
        <w:tc>
          <w:tcPr>
            <w:tcW w:w="1060" w:type="dxa"/>
            <w:vAlign w:val="bottom"/>
          </w:tcPr>
          <w:p>
            <w:pPr>
              <w:jc w:val="right"/>
              <w:spacing w:after="0"/>
              <w:rPr>
                <w:sz w:val="20"/>
                <w:szCs w:val="20"/>
                <w:color w:val="auto"/>
              </w:rPr>
            </w:pPr>
            <w:r>
              <w:rPr>
                <w:rFonts w:ascii="Arial" w:cs="Arial" w:eastAsia="Arial" w:hAnsi="Arial"/>
                <w:sz w:val="18"/>
                <w:szCs w:val="18"/>
                <w:color w:val="auto"/>
              </w:rPr>
              <w:t>34,451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38,813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68,159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37,078</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42,000</w:t>
            </w:r>
          </w:p>
        </w:tc>
        <w:tc>
          <w:tcPr>
            <w:tcW w:w="160" w:type="dxa"/>
            <w:vAlign w:val="bottom"/>
            <w:shd w:val="clear" w:color="auto" w:fill="E8FFFA"/>
          </w:tcPr>
          <w:p>
            <w:pPr>
              <w:spacing w:after="0"/>
              <w:rPr>
                <w:sz w:val="18"/>
                <w:szCs w:val="18"/>
                <w:color w:val="auto"/>
              </w:rPr>
            </w:pP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69,602</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78,597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Financial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1080" w:type="dxa"/>
            <w:vAlign w:val="bottom"/>
          </w:tcPr>
          <w:p>
            <w:pPr>
              <w:jc w:val="right"/>
              <w:spacing w:after="0"/>
              <w:rPr>
                <w:sz w:val="20"/>
                <w:szCs w:val="20"/>
                <w:color w:val="auto"/>
              </w:rPr>
            </w:pPr>
            <w:r>
              <w:rPr>
                <w:rFonts w:ascii="Arial" w:cs="Arial" w:eastAsia="Arial" w:hAnsi="Arial"/>
                <w:sz w:val="18"/>
                <w:szCs w:val="18"/>
                <w:color w:val="auto"/>
              </w:rPr>
              <w:t>(2,310)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color w:val="auto"/>
              </w:rPr>
              <w:t>Loss/(gain) on derivatives</w:t>
            </w: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9,720</w:t>
            </w:r>
          </w:p>
        </w:tc>
        <w:tc>
          <w:tcPr>
            <w:tcW w:w="16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(1,167)</w:t>
            </w: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9,722</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87,409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92,564</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color w:val="auto"/>
              </w:rPr>
              <w:t>Foreign exchange (gains)/losses, net</w:t>
            </w:r>
          </w:p>
        </w:tc>
        <w:tc>
          <w:tcPr>
            <w:tcW w:w="10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E8FFFA"/>
          </w:tcPr>
          <w:p>
            <w:pPr>
              <w:spacing w:after="0"/>
              <w:rPr>
                <w:sz w:val="18"/>
                <w:szCs w:val="18"/>
                <w:color w:val="auto"/>
              </w:rPr>
            </w:pPr>
          </w:p>
        </w:tc>
        <w:tc>
          <w:tcPr>
            <w:tcW w:w="10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E8FFFA"/>
          </w:tcPr>
          <w:p>
            <w:pPr>
              <w:spacing w:after="0"/>
              <w:rPr>
                <w:sz w:val="18"/>
                <w:szCs w:val="18"/>
                <w:color w:val="auto"/>
              </w:rPr>
            </w:pPr>
          </w:p>
        </w:tc>
        <w:tc>
          <w:tcPr>
            <w:tcW w:w="10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E8FFFA"/>
          </w:tcPr>
          <w:p>
            <w:pPr>
              <w:spacing w:after="0"/>
              <w:rPr>
                <w:sz w:val="18"/>
                <w:szCs w:val="18"/>
                <w:color w:val="auto"/>
              </w:rPr>
            </w:pPr>
          </w:p>
        </w:tc>
        <w:tc>
          <w:tcPr>
            <w:tcW w:w="10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87,352</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92,947</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176,690</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Profit to Adjusted Profit:</w:t>
            </w: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54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For the three months ended</w:t>
            </w:r>
          </w:p>
        </w:tc>
        <w:tc>
          <w:tcPr>
            <w:tcW w:w="234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For the six months ended</w:t>
            </w:r>
          </w:p>
        </w:tc>
        <w:tc>
          <w:tcPr>
            <w:tcW w:w="0" w:type="dxa"/>
            <w:vAlign w:val="bottom"/>
          </w:tcPr>
          <w:p>
            <w:pPr>
              <w:spacing w:after="0"/>
              <w:rPr>
                <w:sz w:val="1"/>
                <w:szCs w:val="1"/>
                <w:color w:val="auto"/>
              </w:rPr>
            </w:pPr>
          </w:p>
        </w:tc>
      </w:tr>
      <w:tr>
        <w:trPr>
          <w:trHeight w:val="460"/>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June 30, 2017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June 30, 2018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June 30, 2017</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0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6,904</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14,212</w:t>
            </w:r>
          </w:p>
        </w:tc>
        <w:tc>
          <w:tcPr>
            <w:tcW w:w="160" w:type="dxa"/>
            <w:vAlign w:val="bottom"/>
            <w:shd w:val="clear" w:color="auto" w:fill="E8FFFA"/>
          </w:tcPr>
          <w:p>
            <w:pPr>
              <w:spacing w:after="0"/>
              <w:rPr>
                <w:sz w:val="18"/>
                <w:szCs w:val="18"/>
                <w:color w:val="auto"/>
              </w:rPr>
            </w:pPr>
          </w:p>
        </w:tc>
        <w:tc>
          <w:tcPr>
            <w:tcW w:w="10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30,296</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56,753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Non-cash loss/(gain) on derivatives</w:t>
            </w:r>
          </w:p>
        </w:tc>
        <w:tc>
          <w:tcPr>
            <w:tcW w:w="1060" w:type="dxa"/>
            <w:vAlign w:val="bottom"/>
          </w:tcPr>
          <w:p>
            <w:pPr>
              <w:jc w:val="right"/>
              <w:spacing w:after="0"/>
              <w:rPr>
                <w:sz w:val="20"/>
                <w:szCs w:val="20"/>
                <w:color w:val="auto"/>
              </w:rPr>
            </w:pPr>
            <w:r>
              <w:rPr>
                <w:rFonts w:ascii="Arial" w:cs="Arial" w:eastAsia="Arial" w:hAnsi="Arial"/>
                <w:sz w:val="18"/>
                <w:szCs w:val="18"/>
                <w:color w:val="auto"/>
              </w:rPr>
              <w:t>7,855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color w:val="auto"/>
                <w:w w:val="99"/>
              </w:rPr>
              <w:t>Write-off of unamortized loan/bond fees and premium</w:t>
            </w:r>
          </w:p>
        </w:tc>
        <w:tc>
          <w:tcPr>
            <w:tcW w:w="12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(283)</w:t>
            </w:r>
          </w:p>
        </w:tc>
        <w:tc>
          <w:tcPr>
            <w:tcW w:w="12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Foreign exchange (gains)/losses, net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Adjusted Profit</w:t>
            </w:r>
          </w:p>
        </w:tc>
        <w:tc>
          <w:tcPr>
            <w:tcW w:w="10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14,419</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14,788</w:t>
            </w:r>
          </w:p>
        </w:tc>
        <w:tc>
          <w:tcPr>
            <w:tcW w:w="160" w:type="dxa"/>
            <w:vAlign w:val="bottom"/>
            <w:shd w:val="clear" w:color="auto" w:fill="E8FFFA"/>
          </w:tcPr>
          <w:p>
            <w:pPr>
              <w:spacing w:after="0"/>
              <w:rPr>
                <w:sz w:val="18"/>
                <w:szCs w:val="18"/>
                <w:color w:val="auto"/>
              </w:rPr>
            </w:pPr>
          </w:p>
        </w:tc>
        <w:tc>
          <w:tcPr>
            <w:tcW w:w="10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36,175</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40,077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(Loss)/Earnings Per Share to Adjusted (Loss)/Earnings Per Share: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shares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3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88"/>
              </w:rPr>
              <w:t>For the three months ended</w:t>
            </w:r>
          </w:p>
        </w:tc>
        <w:tc>
          <w:tcPr>
            <w:tcW w:w="3480" w:type="dxa"/>
            <w:vAlign w:val="bottom"/>
            <w:gridSpan w:val="4"/>
          </w:tcPr>
          <w:p>
            <w:pPr>
              <w:ind w:left="140"/>
              <w:spacing w:after="0"/>
              <w:rPr>
                <w:sz w:val="20"/>
                <w:szCs w:val="20"/>
                <w:color w:val="auto"/>
              </w:rPr>
            </w:pPr>
            <w:r>
              <w:rPr>
                <w:rFonts w:ascii="Arial" w:cs="Arial" w:eastAsia="Arial" w:hAnsi="Arial"/>
                <w:sz w:val="18"/>
                <w:szCs w:val="18"/>
                <w:b w:val="1"/>
                <w:bCs w:val="1"/>
                <w:color w:val="auto"/>
              </w:rPr>
              <w:t>For the six months ended</w:t>
            </w:r>
          </w:p>
        </w:tc>
      </w:tr>
      <w:tr>
        <w:trPr>
          <w:trHeight w:val="447"/>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29"/>
        </w:trPr>
        <w:tc>
          <w:tcPr>
            <w:tcW w:w="1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442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rPr>
              <w:t>(Loss)/profit for the period attributable to owners of the</w:t>
            </w:r>
          </w:p>
        </w:tc>
        <w:tc>
          <w:tcPr>
            <w:tcW w:w="102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02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000" w:type="dxa"/>
            <w:vAlign w:val="bottom"/>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000" w:type="dxa"/>
            <w:vAlign w:val="bottom"/>
            <w:shd w:val="clear" w:color="auto" w:fill="E8FFFA"/>
          </w:tcPr>
          <w:p>
            <w:pPr>
              <w:spacing w:after="0"/>
              <w:rPr>
                <w:sz w:val="17"/>
                <w:szCs w:val="17"/>
                <w:color w:val="auto"/>
              </w:rPr>
            </w:pPr>
          </w:p>
        </w:tc>
        <w:tc>
          <w:tcPr>
            <w:tcW w:w="130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4420" w:type="dxa"/>
            <w:vAlign w:val="bottom"/>
            <w:shd w:val="clear" w:color="auto" w:fill="E8FFFA"/>
          </w:tcPr>
          <w:p>
            <w:pPr>
              <w:ind w:left="140"/>
              <w:spacing w:after="0"/>
              <w:rPr>
                <w:sz w:val="20"/>
                <w:szCs w:val="20"/>
                <w:color w:val="auto"/>
              </w:rPr>
            </w:pPr>
            <w:r>
              <w:rPr>
                <w:rFonts w:ascii="Arial" w:cs="Arial" w:eastAsia="Arial" w:hAnsi="Arial"/>
                <w:sz w:val="18"/>
                <w:szCs w:val="18"/>
                <w:color w:val="auto"/>
              </w:rPr>
              <w:t>Group</w:t>
            </w:r>
          </w:p>
        </w:tc>
        <w:tc>
          <w:tcPr>
            <w:tcW w:w="11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(7,515)</w:t>
            </w:r>
          </w:p>
        </w:tc>
        <w:tc>
          <w:tcPr>
            <w:tcW w:w="11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(3,620)</w:t>
            </w: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1,237</w:t>
            </w:r>
          </w:p>
        </w:tc>
        <w:tc>
          <w:tcPr>
            <w:tcW w:w="180" w:type="dxa"/>
            <w:vAlign w:val="bottom"/>
            <w:shd w:val="clear" w:color="auto" w:fill="E8FFFA"/>
          </w:tcPr>
          <w:p>
            <w:pPr>
              <w:spacing w:after="0"/>
              <w:rPr>
                <w:sz w:val="19"/>
                <w:szCs w:val="19"/>
                <w:color w:val="auto"/>
              </w:rPr>
            </w:pP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15,684</w:t>
            </w:r>
          </w:p>
        </w:tc>
        <w:tc>
          <w:tcPr>
            <w:tcW w:w="13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Plus: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Dividend on preference shares</w:t>
            </w:r>
          </w:p>
        </w:tc>
        <w:tc>
          <w:tcPr>
            <w:tcW w:w="11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(2,516)</w:t>
            </w:r>
          </w:p>
        </w:tc>
        <w:tc>
          <w:tcPr>
            <w:tcW w:w="11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(2,516)</w:t>
            </w:r>
          </w:p>
        </w:tc>
        <w:tc>
          <w:tcPr>
            <w:tcW w:w="11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(5,031)</w:t>
            </w: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(5,032)</w:t>
            </w:r>
          </w:p>
        </w:tc>
        <w:tc>
          <w:tcPr>
            <w:tcW w:w="1300" w:type="dxa"/>
            <w:vAlign w:val="bottom"/>
          </w:tcPr>
          <w:p>
            <w:pPr>
              <w:spacing w:after="0"/>
              <w:rPr>
                <w:sz w:val="18"/>
                <w:szCs w:val="18"/>
                <w:color w:val="auto"/>
              </w:rPr>
            </w:pPr>
          </w:p>
        </w:tc>
      </w:tr>
      <w:tr>
        <w:trPr>
          <w:trHeight w:val="201"/>
        </w:trPr>
        <w:tc>
          <w:tcPr>
            <w:tcW w:w="5580" w:type="dxa"/>
            <w:vAlign w:val="bottom"/>
            <w:gridSpan w:val="2"/>
          </w:tcPr>
          <w:p>
            <w:pPr>
              <w:ind w:left="1140"/>
              <w:spacing w:after="0" w:line="201" w:lineRule="exact"/>
              <w:rPr>
                <w:sz w:val="20"/>
                <w:szCs w:val="20"/>
                <w:color w:val="auto"/>
              </w:rPr>
            </w:pPr>
            <w:r>
              <w:rPr>
                <w:rFonts w:ascii="Arial" w:cs="Arial" w:eastAsia="Arial" w:hAnsi="Arial"/>
                <w:sz w:val="18"/>
                <w:szCs w:val="18"/>
                <w:color w:val="auto"/>
                <w:w w:val="93"/>
              </w:rPr>
              <w:t>(Loss)/profit for the period available to owners of the Group</w:t>
            </w: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used in EPS calculation</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(10,031)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(6,136)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(3,794)</w:t>
            </w:r>
          </w:p>
        </w:tc>
        <w:tc>
          <w:tcPr>
            <w:tcW w:w="1000" w:type="dxa"/>
            <w:vAlign w:val="bottom"/>
          </w:tcPr>
          <w:p>
            <w:pPr>
              <w:jc w:val="right"/>
              <w:spacing w:after="0"/>
              <w:rPr>
                <w:sz w:val="20"/>
                <w:szCs w:val="20"/>
                <w:color w:val="auto"/>
              </w:rPr>
            </w:pPr>
            <w:r>
              <w:rPr>
                <w:rFonts w:ascii="Arial" w:cs="Arial" w:eastAsia="Arial" w:hAnsi="Arial"/>
                <w:sz w:val="18"/>
                <w:szCs w:val="18"/>
                <w:color w:val="auto"/>
              </w:rPr>
              <w:t>10,652</w:t>
            </w:r>
          </w:p>
        </w:tc>
        <w:tc>
          <w:tcPr>
            <w:tcW w:w="130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w w:val="99"/>
              </w:rPr>
              <w:t>Weighted average number of shares outstanding, basic</w:t>
            </w:r>
          </w:p>
        </w:tc>
        <w:tc>
          <w:tcPr>
            <w:tcW w:w="10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80,624,124</w:t>
            </w:r>
          </w:p>
        </w:tc>
        <w:tc>
          <w:tcPr>
            <w:tcW w:w="160" w:type="dxa"/>
            <w:vAlign w:val="bottom"/>
            <w:shd w:val="clear" w:color="auto" w:fill="E8FFFA"/>
          </w:tcPr>
          <w:p>
            <w:pPr>
              <w:spacing w:after="0"/>
              <w:rPr>
                <w:sz w:val="18"/>
                <w:szCs w:val="18"/>
                <w:color w:val="auto"/>
              </w:rPr>
            </w:pPr>
          </w:p>
        </w:tc>
        <w:tc>
          <w:tcPr>
            <w:tcW w:w="10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80,801,654</w:t>
            </w:r>
          </w:p>
        </w:tc>
        <w:tc>
          <w:tcPr>
            <w:tcW w:w="160" w:type="dxa"/>
            <w:vAlign w:val="bottom"/>
            <w:shd w:val="clear" w:color="auto" w:fill="E8FFFA"/>
          </w:tcPr>
          <w:p>
            <w:pPr>
              <w:spacing w:after="0"/>
              <w:rPr>
                <w:sz w:val="18"/>
                <w:szCs w:val="18"/>
                <w:color w:val="auto"/>
              </w:rPr>
            </w:pPr>
          </w:p>
        </w:tc>
        <w:tc>
          <w:tcPr>
            <w:tcW w:w="10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80,592,912</w:t>
            </w:r>
          </w:p>
        </w:tc>
        <w:tc>
          <w:tcPr>
            <w:tcW w:w="180" w:type="dxa"/>
            <w:vAlign w:val="bottom"/>
            <w:shd w:val="clear" w:color="auto" w:fill="E8FFFA"/>
          </w:tcPr>
          <w:p>
            <w:pPr>
              <w:spacing w:after="0"/>
              <w:rPr>
                <w:sz w:val="18"/>
                <w:szCs w:val="18"/>
                <w:color w:val="auto"/>
              </w:rPr>
            </w:pPr>
          </w:p>
        </w:tc>
        <w:tc>
          <w:tcPr>
            <w:tcW w:w="10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80,758,631</w:t>
            </w:r>
          </w:p>
        </w:tc>
        <w:tc>
          <w:tcPr>
            <w:tcW w:w="13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(Loss)/earnings per share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1300" w:type="dxa"/>
            <w:vAlign w:val="bottom"/>
          </w:tcPr>
          <w:p>
            <w:pPr>
              <w:spacing w:after="0"/>
              <w:rPr>
                <w:sz w:val="18"/>
                <w:szCs w:val="18"/>
                <w:color w:val="auto"/>
              </w:rPr>
            </w:pPr>
          </w:p>
        </w:tc>
      </w:tr>
      <w:tr>
        <w:trPr>
          <w:trHeight w:val="20"/>
        </w:trPr>
        <w:tc>
          <w:tcPr>
            <w:tcW w:w="55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4420" w:type="dxa"/>
            <w:vAlign w:val="bottom"/>
            <w:shd w:val="clear" w:color="auto" w:fill="E8FFFA"/>
          </w:tcPr>
          <w:p>
            <w:pPr>
              <w:spacing w:after="0" w:line="189" w:lineRule="exact"/>
              <w:rPr>
                <w:sz w:val="20"/>
                <w:szCs w:val="20"/>
                <w:color w:val="auto"/>
              </w:rPr>
            </w:pPr>
            <w:r>
              <w:rPr>
                <w:rFonts w:ascii="Arial" w:cs="Arial" w:eastAsia="Arial" w:hAnsi="Arial"/>
                <w:sz w:val="18"/>
                <w:szCs w:val="18"/>
                <w:color w:val="auto"/>
                <w:w w:val="93"/>
              </w:rPr>
              <w:t>(Loss)/profit for the period available to owners of the Group</w:t>
            </w:r>
          </w:p>
        </w:tc>
        <w:tc>
          <w:tcPr>
            <w:tcW w:w="1020" w:type="dxa"/>
            <w:vAlign w:val="bottom"/>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1020" w:type="dxa"/>
            <w:vAlign w:val="bottom"/>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1000" w:type="dxa"/>
            <w:vAlign w:val="bottom"/>
            <w:shd w:val="clear" w:color="auto" w:fill="E8FFFA"/>
          </w:tcPr>
          <w:p>
            <w:pPr>
              <w:spacing w:after="0"/>
              <w:rPr>
                <w:sz w:val="16"/>
                <w:szCs w:val="16"/>
                <w:color w:val="auto"/>
              </w:rPr>
            </w:pPr>
          </w:p>
        </w:tc>
        <w:tc>
          <w:tcPr>
            <w:tcW w:w="180" w:type="dxa"/>
            <w:vAlign w:val="bottom"/>
            <w:shd w:val="clear" w:color="auto" w:fill="E8FFFA"/>
          </w:tcPr>
          <w:p>
            <w:pPr>
              <w:spacing w:after="0"/>
              <w:rPr>
                <w:sz w:val="16"/>
                <w:szCs w:val="16"/>
                <w:color w:val="auto"/>
              </w:rPr>
            </w:pPr>
          </w:p>
        </w:tc>
        <w:tc>
          <w:tcPr>
            <w:tcW w:w="1000" w:type="dxa"/>
            <w:vAlign w:val="bottom"/>
            <w:shd w:val="clear" w:color="auto" w:fill="E8FFFA"/>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1160" w:type="dxa"/>
            <w:vAlign w:val="bottom"/>
          </w:tcPr>
          <w:p>
            <w:pPr>
              <w:spacing w:after="0"/>
              <w:rPr>
                <w:sz w:val="19"/>
                <w:szCs w:val="19"/>
                <w:color w:val="auto"/>
              </w:rPr>
            </w:pPr>
          </w:p>
        </w:tc>
        <w:tc>
          <w:tcPr>
            <w:tcW w:w="4420" w:type="dxa"/>
            <w:vAlign w:val="bottom"/>
            <w:shd w:val="clear" w:color="auto" w:fill="E8FFFA"/>
          </w:tcPr>
          <w:p>
            <w:pPr>
              <w:ind w:left="140"/>
              <w:spacing w:after="0"/>
              <w:rPr>
                <w:sz w:val="20"/>
                <w:szCs w:val="20"/>
                <w:color w:val="auto"/>
              </w:rPr>
            </w:pPr>
            <w:r>
              <w:rPr>
                <w:rFonts w:ascii="Arial" w:cs="Arial" w:eastAsia="Arial" w:hAnsi="Arial"/>
                <w:sz w:val="18"/>
                <w:szCs w:val="18"/>
                <w:color w:val="auto"/>
              </w:rPr>
              <w:t>used in EPS calculation</w:t>
            </w:r>
          </w:p>
        </w:tc>
        <w:tc>
          <w:tcPr>
            <w:tcW w:w="11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(10,031)</w:t>
            </w:r>
          </w:p>
        </w:tc>
        <w:tc>
          <w:tcPr>
            <w:tcW w:w="11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(6,136)</w:t>
            </w:r>
          </w:p>
        </w:tc>
        <w:tc>
          <w:tcPr>
            <w:tcW w:w="11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(3,794)</w:t>
            </w: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10,652</w:t>
            </w:r>
          </w:p>
        </w:tc>
        <w:tc>
          <w:tcPr>
            <w:tcW w:w="13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Plus: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Non-cash loss/(gain) on derivatives</w:t>
            </w:r>
          </w:p>
        </w:tc>
        <w:tc>
          <w:tcPr>
            <w:tcW w:w="10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7,855</w:t>
            </w:r>
          </w:p>
        </w:tc>
        <w:tc>
          <w:tcPr>
            <w:tcW w:w="160" w:type="dxa"/>
            <w:vAlign w:val="bottom"/>
            <w:shd w:val="clear" w:color="auto" w:fill="E8FFFA"/>
          </w:tcPr>
          <w:p>
            <w:pPr>
              <w:spacing w:after="0"/>
              <w:rPr>
                <w:sz w:val="18"/>
                <w:szCs w:val="18"/>
                <w:color w:val="auto"/>
              </w:rPr>
            </w:pPr>
          </w:p>
        </w:tc>
        <w:tc>
          <w:tcPr>
            <w:tcW w:w="10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E8FFFA"/>
          </w:tcPr>
          <w:p>
            <w:pPr>
              <w:spacing w:after="0"/>
              <w:rPr>
                <w:sz w:val="18"/>
                <w:szCs w:val="18"/>
                <w:color w:val="auto"/>
              </w:rPr>
            </w:pP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5,540</w:t>
            </w:r>
          </w:p>
        </w:tc>
        <w:tc>
          <w:tcPr>
            <w:tcW w:w="180" w:type="dxa"/>
            <w:vAlign w:val="bottom"/>
            <w:shd w:val="clear" w:color="auto" w:fill="E8FFFA"/>
          </w:tcPr>
          <w:p>
            <w:pPr>
              <w:spacing w:after="0"/>
              <w:rPr>
                <w:sz w:val="18"/>
                <w:szCs w:val="18"/>
                <w:color w:val="auto"/>
              </w:rPr>
            </w:pP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(16,705)</w:t>
            </w:r>
          </w:p>
        </w:tc>
        <w:tc>
          <w:tcPr>
            <w:tcW w:w="13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Write-off of unamortized loan/bond fees and premium</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Foreign exchange (gains)/losses, net</w:t>
            </w:r>
          </w:p>
        </w:tc>
        <w:tc>
          <w:tcPr>
            <w:tcW w:w="11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(57)</w:t>
            </w:r>
          </w:p>
        </w:tc>
        <w:tc>
          <w:tcPr>
            <w:tcW w:w="10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E8FFFA"/>
          </w:tcPr>
          <w:p>
            <w:pPr>
              <w:spacing w:after="0"/>
              <w:rPr>
                <w:sz w:val="18"/>
                <w:szCs w:val="18"/>
                <w:color w:val="auto"/>
              </w:rPr>
            </w:pP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E8FFFA"/>
          </w:tcPr>
          <w:p>
            <w:pPr>
              <w:spacing w:after="0"/>
              <w:rPr>
                <w:sz w:val="18"/>
                <w:szCs w:val="18"/>
                <w:color w:val="auto"/>
              </w:rPr>
            </w:pPr>
          </w:p>
        </w:tc>
        <w:tc>
          <w:tcPr>
            <w:tcW w:w="10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spacing w:after="0"/>
              <w:rPr>
                <w:sz w:val="18"/>
                <w:szCs w:val="18"/>
                <w:color w:val="auto"/>
              </w:rPr>
            </w:pPr>
          </w:p>
        </w:tc>
      </w:tr>
      <w:tr>
        <w:trPr>
          <w:trHeight w:val="210"/>
        </w:trPr>
        <w:tc>
          <w:tcPr>
            <w:tcW w:w="5580" w:type="dxa"/>
            <w:vAlign w:val="bottom"/>
            <w:gridSpan w:val="2"/>
          </w:tcPr>
          <w:p>
            <w:pPr>
              <w:ind w:left="1140"/>
              <w:spacing w:after="0"/>
              <w:rPr>
                <w:sz w:val="20"/>
                <w:szCs w:val="20"/>
                <w:color w:val="auto"/>
              </w:rPr>
            </w:pPr>
            <w:r>
              <w:rPr>
                <w:rFonts w:ascii="Arial" w:cs="Arial" w:eastAsia="Arial" w:hAnsi="Arial"/>
                <w:sz w:val="18"/>
                <w:szCs w:val="18"/>
                <w:color w:val="auto"/>
                <w:w w:val="99"/>
              </w:rPr>
              <w:t>Adjusted (loss)/profit attributable to owners of the Group</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3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w w:val="99"/>
              </w:rPr>
              <w:t>Weighted average number of shares outstanding, basic</w:t>
            </w:r>
          </w:p>
        </w:tc>
        <w:tc>
          <w:tcPr>
            <w:tcW w:w="10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80,624,124</w:t>
            </w:r>
          </w:p>
        </w:tc>
        <w:tc>
          <w:tcPr>
            <w:tcW w:w="160" w:type="dxa"/>
            <w:vAlign w:val="bottom"/>
            <w:shd w:val="clear" w:color="auto" w:fill="E8FFFA"/>
          </w:tcPr>
          <w:p>
            <w:pPr>
              <w:spacing w:after="0"/>
              <w:rPr>
                <w:sz w:val="18"/>
                <w:szCs w:val="18"/>
                <w:color w:val="auto"/>
              </w:rPr>
            </w:pPr>
          </w:p>
        </w:tc>
        <w:tc>
          <w:tcPr>
            <w:tcW w:w="10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80,801,654</w:t>
            </w:r>
          </w:p>
        </w:tc>
        <w:tc>
          <w:tcPr>
            <w:tcW w:w="160" w:type="dxa"/>
            <w:vAlign w:val="bottom"/>
            <w:shd w:val="clear" w:color="auto" w:fill="E8FFFA"/>
          </w:tcPr>
          <w:p>
            <w:pPr>
              <w:spacing w:after="0"/>
              <w:rPr>
                <w:sz w:val="18"/>
                <w:szCs w:val="18"/>
                <w:color w:val="auto"/>
              </w:rPr>
            </w:pPr>
          </w:p>
        </w:tc>
        <w:tc>
          <w:tcPr>
            <w:tcW w:w="10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80,592,912</w:t>
            </w:r>
          </w:p>
        </w:tc>
        <w:tc>
          <w:tcPr>
            <w:tcW w:w="180" w:type="dxa"/>
            <w:vAlign w:val="bottom"/>
            <w:shd w:val="clear" w:color="auto" w:fill="E8FFFA"/>
          </w:tcPr>
          <w:p>
            <w:pPr>
              <w:spacing w:after="0"/>
              <w:rPr>
                <w:sz w:val="18"/>
                <w:szCs w:val="18"/>
                <w:color w:val="auto"/>
              </w:rPr>
            </w:pPr>
          </w:p>
        </w:tc>
        <w:tc>
          <w:tcPr>
            <w:tcW w:w="10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80,758,631</w:t>
            </w:r>
          </w:p>
        </w:tc>
        <w:tc>
          <w:tcPr>
            <w:tcW w:w="13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Adjusted (loss)/earnings per share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3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20" w:type="dxa"/>
            <w:vAlign w:val="bottom"/>
          </w:tcPr>
          <w:p>
            <w:pPr>
              <w:jc w:val="right"/>
              <w:ind w:right="712"/>
              <w:spacing w:after="0"/>
              <w:rPr>
                <w:sz w:val="20"/>
                <w:szCs w:val="20"/>
                <w:color w:val="auto"/>
              </w:rPr>
            </w:pPr>
            <w:r>
              <w:rPr>
                <w:rFonts w:ascii="Arial" w:cs="Arial" w:eastAsia="Arial" w:hAnsi="Arial"/>
                <w:sz w:val="18"/>
                <w:szCs w:val="18"/>
                <w:color w:val="auto"/>
                <w:w w:val="99"/>
              </w:rPr>
              <w:t>18</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99.1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Press Release GasLog Ltd. Reports Financial Results for the Quarter Ended June 30, 2018</w:t>
        </w:r>
      </w:hyperlink>
    </w:p>
    <w:p>
      <w:pPr>
        <w:sectPr>
          <w:pgSz w:w="11900" w:h="16838" w:orient="portrait"/>
          <w:cols w:equalWidth="0" w:num="1">
            <w:col w:w="10219"/>
          </w:cols>
          <w:pgMar w:left="240" w:top="820" w:right="1440" w:bottom="1440" w:gutter="0" w:footer="0" w:header="0"/>
        </w:sectPr>
      </w:pPr>
    </w:p>
    <w:bookmarkStart w:id="20" w:name="page21"/>
    <w:bookmarkEnd w:id="20"/>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99.2</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Financial Report for the Three and Six Months Ended June 30,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is a discussion of our financial condition and results of operations for the three and six-month periods ended June 30, 2017 and June 30, 2018.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February 28, 2018.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00" w:hanging="532"/>
        <w:spacing w:after="0" w:line="28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59"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 w:lineRule="exact"/>
        <w:rPr>
          <w:rFonts w:ascii="Arial" w:cs="Arial" w:eastAsia="Arial" w:hAnsi="Arial"/>
          <w:sz w:val="18"/>
          <w:szCs w:val="18"/>
          <w:color w:val="auto"/>
        </w:rPr>
      </w:pPr>
    </w:p>
    <w:p>
      <w:pPr>
        <w:ind w:left="1080" w:right="240" w:hanging="532"/>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1" w:name="page22"/>
    <w:bookmarkEnd w:id="21"/>
    <w:p>
      <w:pPr>
        <w:ind w:left="1080" w:right="680" w:hanging="532"/>
        <w:spacing w:after="0" w:line="28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20" w:lineRule="exact"/>
        <w:rPr>
          <w:rFonts w:ascii="Arial" w:cs="Arial" w:eastAsia="Arial" w:hAnsi="Arial"/>
          <w:sz w:val="16"/>
          <w:szCs w:val="16"/>
          <w:color w:val="auto"/>
        </w:rPr>
      </w:pPr>
    </w:p>
    <w:p>
      <w:pPr>
        <w:ind w:left="1080" w:right="36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36" w:lineRule="exact"/>
        <w:rPr>
          <w:rFonts w:ascii="Arial" w:cs="Arial" w:eastAsia="Arial" w:hAnsi="Arial"/>
          <w:sz w:val="18"/>
          <w:szCs w:val="18"/>
          <w:color w:val="auto"/>
        </w:rPr>
      </w:pPr>
    </w:p>
    <w:p>
      <w:pPr>
        <w:ind w:left="1080" w:right="80" w:hanging="532"/>
        <w:spacing w:after="0" w:line="25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inherent in ship operation, including the risk of accidents, collisions and the discharge of pollutants;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 w:lineRule="exact"/>
        <w:rPr>
          <w:rFonts w:ascii="Arial" w:cs="Arial" w:eastAsia="Arial" w:hAnsi="Arial"/>
          <w:sz w:val="18"/>
          <w:szCs w:val="18"/>
          <w:color w:val="auto"/>
        </w:rPr>
      </w:pPr>
    </w:p>
    <w:p>
      <w:pPr>
        <w:ind w:left="1080" w:right="90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February 28, 2018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an international owner, operator and manager of LNG carriers. Our wholly owned fleet as of August 2, 2018 consists of 17 LNG carriers, including 12 ships in operation and five LNG carriers on order at Samsung Heavy Industries Co., Ltd. ("Samsung"). GasLog is also the general and controlling partner in GasLog Partners LP ("GasLog Partners" or the "Partnership"), a publicly traded master limited partnership, which owns 13 LNG carriers. In addition, GasLog has leased back under a bareboat charter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26 LNG carriers including 12 of our wholly owned ships in operation, 12 of the 13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GasLog has entered into a pool agreement (the "Pool Agreement") with Dynagas Ltd. ("Dynagas") and Golar LNG Ltd. ("Golar") establishing an LNG carrier pooling arrangement (the "Cool Pool") to market our and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 For the operation of the Cool Pool, a Marshall Islands service company named "The Cool Pool Limited" was incorporated in September 2015 acting as an agent. As of June 30, 2018, the Cool Pool consisted of 17 modern efficient tri-fuel diesel electric ("TFDE") LNG carriers in the 155-177,000 cbm range. The Cool Pool charters the vessels for periods up to one year in duration as agents for the owners, who each remain responsible for the technical and commercial operation of their vessels and performance of the contracts. In June and July 2018, Dynagas Ltd. removed its three vessels from the Cool Pool.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2" w:name="page23"/>
    <w:bookmarkEnd w:id="22"/>
    <w:p>
      <w:pPr>
        <w:ind w:right="500" w:firstLine="348"/>
        <w:spacing w:after="0" w:line="268" w:lineRule="auto"/>
        <w:rPr>
          <w:sz w:val="20"/>
          <w:szCs w:val="20"/>
          <w:color w:val="auto"/>
        </w:rPr>
      </w:pPr>
      <w:r>
        <w:rPr>
          <w:rFonts w:ascii="Arial" w:cs="Arial" w:eastAsia="Arial" w:hAnsi="Arial"/>
          <w:sz w:val="18"/>
          <w:szCs w:val="18"/>
          <w:color w:val="auto"/>
        </w:rPr>
        <w:t xml:space="preserve">We also have a 25% interest in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owned by Egypt LNG Shipping Ltd. ("Egypt LNG") and technically managed by us. It is currently operating under a 20-year time charter to a subsidiary of Shell.</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generate revenues by chartering our ships to customers on multi-year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Vessel</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May 30, 2018, GasLog confirmed the order of a 180,000 cbm GTT Mark III Flex LNG Carrier with LP-2S propulsion (Hull No. 2262) from Samsung that is scheduled to be delivered in the third quarter of 2020. The vessel will be chartered to Pioneer Shipping Limited, a wholly owned subsidiary of Centrica, for an initial period of seven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Dropdown of the </w:t>
      </w:r>
      <w:r>
        <w:rPr>
          <w:rFonts w:ascii="Arial" w:cs="Arial" w:eastAsia="Arial" w:hAnsi="Arial"/>
          <w:sz w:val="18"/>
          <w:szCs w:val="18"/>
          <w:b w:val="1"/>
          <w:bCs w:val="1"/>
          <w:i w:val="1"/>
          <w:iCs w:val="1"/>
          <w:u w:val="single" w:color="auto"/>
          <w:color w:val="auto"/>
        </w:rPr>
        <w:t>GasLog Gibraltar</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On April 26, 2018, GasLog completed the sale of 100% of the ownership interest in GAS-fourteen Ltd., the entity which owns the </w:t>
      </w:r>
      <w:r>
        <w:rPr>
          <w:rFonts w:ascii="Arial" w:cs="Arial" w:eastAsia="Arial" w:hAnsi="Arial"/>
          <w:sz w:val="18"/>
          <w:szCs w:val="18"/>
          <w:i w:val="1"/>
          <w:iCs w:val="1"/>
          <w:color w:val="auto"/>
        </w:rPr>
        <w:t>GasLog Gibraltar</w:t>
      </w:r>
      <w:r>
        <w:rPr>
          <w:rFonts w:ascii="Arial" w:cs="Arial" w:eastAsia="Arial" w:hAnsi="Arial"/>
          <w:sz w:val="18"/>
          <w:szCs w:val="18"/>
          <w:color w:val="auto"/>
        </w:rPr>
        <w:t>, to GasLog Partners, for an aggregate purchase price of $207.0 million, which includes $1.0 million of positive net working capital. In connection with the sale, GasLog was issued $45.0 million of newly issued, privately placed common units (1,858,975 common units at a price of $24.21 per unit) of GasLog Partners as partial consideration.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Alexandroupolis Project Update</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During the quarter, Gastrade S.A ("Gastrade") and the stakeholders in the Alexandroupolis project continued their efforts to move the project towards Final Investment Decision ("FID"). The parties have finalized the majority of the terms under which both the Greek national gas utility DEPA and Bulgarian Energy Holding ("BEH") would take a shareholding in the project. Preparations have been ongoing during the quarter for the launch of a market test for potential users and the invitation to tender for various elements of the project, with both expected to commence in the near-term. Gastrade and its partners continue to target an end-2018 FID.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Charter Agreements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On June 18, 2018, GasLog Partners entered into a new time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for 18 months with Cheniere Marketing International LLP, a wholly owned subsidiary of Cheniere Energy Inc. ("Cheniere") scheduled to commence between September and December 2018. The charterer has options to extend the charter for up to two consecutive periods of six months at escalating rates.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is a 155,000 cbm TFDE LNG carrier built in 2013 and currently on a multi-year time charter with a wholly owned subsidiary of Shell through September 2018. The vessel recently completed a scheduled dry-docking during which its future marketability was enhanced through the installation of a reliquefaction module.</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In addition, GasLog entered into an agreement with a major LNG producer for an approximately seven-month charter for the </w:t>
      </w:r>
      <w:r>
        <w:rPr>
          <w:rFonts w:ascii="Arial" w:cs="Arial" w:eastAsia="Arial" w:hAnsi="Arial"/>
          <w:sz w:val="18"/>
          <w:szCs w:val="18"/>
          <w:i w:val="1"/>
          <w:iCs w:val="1"/>
          <w:color w:val="auto"/>
        </w:rPr>
        <w:t>GasLog Houston</w:t>
      </w:r>
      <w:r>
        <w:rPr>
          <w:rFonts w:ascii="Arial" w:cs="Arial" w:eastAsia="Arial" w:hAnsi="Arial"/>
          <w:sz w:val="18"/>
          <w:szCs w:val="18"/>
          <w:color w:val="auto"/>
        </w:rPr>
        <w:t>, a 174,000 cbm low pressure, LP-2S propulsion, which commenced in June 2018 and ends on delivery of the vessel into her long-term charter with Shell in the beginning of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At-the-Market Common Units Equity Offering Programme (the "ATM Programme")</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60" w:firstLine="351"/>
        <w:spacing w:after="0" w:line="256" w:lineRule="auto"/>
        <w:rPr>
          <w:sz w:val="20"/>
          <w:szCs w:val="20"/>
          <w:color w:val="auto"/>
        </w:rPr>
      </w:pPr>
      <w:r>
        <w:rPr>
          <w:rFonts w:ascii="Arial" w:cs="Arial" w:eastAsia="Arial" w:hAnsi="Arial"/>
          <w:sz w:val="18"/>
          <w:szCs w:val="18"/>
          <w:color w:val="auto"/>
        </w:rPr>
        <w:t>Since the commencement of the ATM Programme through June 30, 2018, GasLog Partners has issued and received payment for a total of 2,738,425 common units, with cumulative gross proceeds of $62.9 million at a weighted average price of $22.97 per unit, representing a discount of 0.5% to the volume weighted average trading price of GasLog Partners' common units on the days on which new common units were issued. As of June 30, 2018, the cumulative net proceeds were $61.2 million.</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second quarter of 2018, GasLog Partners issued and received payment for an additional 1,020 common units at a weighted average price of $24.25 per common unit for total gross and net proceeds of $0.02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On May 11, 2018, the board of directors declared a dividend on the Series A Preference Shares of $0.546875 per share, or $2.5 million in aggregate, payable on July 2, 2018 to holders of record as of June 29, 2018. GasLog paid the declared dividend to the transfer agent on June 28, 2018.</w:t>
      </w:r>
    </w:p>
    <w:p>
      <w:pPr>
        <w:spacing w:after="0" w:line="13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August 1, 2018, the board of directors declared a quarterly cash dividend of $0.15 per common share, or $12.1 million in the aggregate, payable on August 23, 2018 to shareholders of record as of August 13,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our wholly owned fleet consisted of the following vessels: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Cargo</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Optional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Vessel Name</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Built</w:t>
            </w: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(cbm)</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Period</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shd w:val="clear" w:color="auto" w:fill="E8FFFA"/>
          </w:tcPr>
          <w:p>
            <w:pPr>
              <w:jc w:val="right"/>
              <w:ind w:right="86"/>
              <w:spacing w:after="0"/>
              <w:rPr>
                <w:sz w:val="20"/>
                <w:szCs w:val="20"/>
                <w:color w:val="auto"/>
              </w:rPr>
            </w:pPr>
            <w:r>
              <w:rPr>
                <w:rFonts w:ascii="Arial" w:cs="Arial" w:eastAsia="Arial" w:hAnsi="Arial"/>
                <w:sz w:val="10"/>
                <w:szCs w:val="10"/>
                <w:b w:val="1"/>
                <w:bCs w:val="1"/>
                <w:color w:val="auto"/>
                <w:w w:val="71"/>
              </w:rPr>
              <w:t>1</w:t>
            </w:r>
          </w:p>
        </w:tc>
        <w:tc>
          <w:tcPr>
            <w:tcW w:w="2720" w:type="dxa"/>
            <w:vAlign w:val="bottom"/>
            <w:shd w:val="clear" w:color="auto" w:fill="E8FFFA"/>
          </w:tcPr>
          <w:p>
            <w:pPr>
              <w:ind w:left="80"/>
              <w:spacing w:after="0" w:line="142" w:lineRule="exact"/>
              <w:rPr>
                <w:sz w:val="20"/>
                <w:szCs w:val="20"/>
                <w:color w:val="auto"/>
              </w:rPr>
            </w:pPr>
            <w:r>
              <w:rPr>
                <w:rFonts w:ascii="Arial" w:cs="Arial" w:eastAsia="Arial" w:hAnsi="Arial"/>
                <w:sz w:val="14"/>
                <w:szCs w:val="14"/>
                <w:i w:val="1"/>
                <w:iCs w:val="1"/>
                <w:color w:val="auto"/>
              </w:rPr>
              <w:t>Methane Lydon Volney</w:t>
            </w:r>
          </w:p>
        </w:tc>
        <w:tc>
          <w:tcPr>
            <w:tcW w:w="80" w:type="dxa"/>
            <w:vAlign w:val="bottom"/>
            <w:shd w:val="clear" w:color="auto" w:fill="E8FFFA"/>
          </w:tcPr>
          <w:p>
            <w:pPr>
              <w:spacing w:after="0"/>
              <w:rPr>
                <w:sz w:val="12"/>
                <w:szCs w:val="12"/>
                <w:color w:val="auto"/>
              </w:rPr>
            </w:pPr>
          </w:p>
        </w:tc>
        <w:tc>
          <w:tcPr>
            <w:tcW w:w="480" w:type="dxa"/>
            <w:vAlign w:val="bottom"/>
            <w:shd w:val="clear" w:color="auto" w:fill="E8FFFA"/>
          </w:tcPr>
          <w:p>
            <w:pPr>
              <w:jc w:val="right"/>
              <w:ind w:right="12"/>
              <w:spacing w:after="0" w:line="142" w:lineRule="exact"/>
              <w:rPr>
                <w:sz w:val="20"/>
                <w:szCs w:val="20"/>
                <w:color w:val="auto"/>
              </w:rPr>
            </w:pPr>
            <w:r>
              <w:rPr>
                <w:rFonts w:ascii="Arial" w:cs="Arial" w:eastAsia="Arial" w:hAnsi="Arial"/>
                <w:sz w:val="14"/>
                <w:szCs w:val="14"/>
                <w:color w:val="auto"/>
              </w:rPr>
              <w:t>2006</w:t>
            </w:r>
          </w:p>
        </w:tc>
        <w:tc>
          <w:tcPr>
            <w:tcW w:w="100" w:type="dxa"/>
            <w:vAlign w:val="bottom"/>
            <w:shd w:val="clear" w:color="auto" w:fill="E8FFFA"/>
          </w:tcPr>
          <w:p>
            <w:pPr>
              <w:spacing w:after="0"/>
              <w:rPr>
                <w:sz w:val="12"/>
                <w:szCs w:val="12"/>
                <w:color w:val="auto"/>
              </w:rPr>
            </w:pPr>
          </w:p>
        </w:tc>
        <w:tc>
          <w:tcPr>
            <w:tcW w:w="700" w:type="dxa"/>
            <w:vAlign w:val="bottom"/>
            <w:shd w:val="clear" w:color="auto" w:fill="E8FFFA"/>
          </w:tcPr>
          <w:p>
            <w:pPr>
              <w:ind w:left="140"/>
              <w:spacing w:after="0" w:line="142" w:lineRule="exact"/>
              <w:rPr>
                <w:sz w:val="20"/>
                <w:szCs w:val="20"/>
                <w:color w:val="auto"/>
              </w:rPr>
            </w:pPr>
            <w:r>
              <w:rPr>
                <w:rFonts w:ascii="Arial" w:cs="Arial" w:eastAsia="Arial" w:hAnsi="Arial"/>
                <w:sz w:val="14"/>
                <w:szCs w:val="14"/>
                <w:color w:val="auto"/>
              </w:rPr>
              <w:t>145,000</w:t>
            </w:r>
          </w:p>
        </w:tc>
        <w:tc>
          <w:tcPr>
            <w:tcW w:w="100" w:type="dxa"/>
            <w:vAlign w:val="bottom"/>
            <w:shd w:val="clear" w:color="auto" w:fill="E8FFFA"/>
          </w:tcPr>
          <w:p>
            <w:pPr>
              <w:spacing w:after="0"/>
              <w:rPr>
                <w:sz w:val="12"/>
                <w:szCs w:val="12"/>
                <w:color w:val="auto"/>
              </w:rPr>
            </w:pPr>
          </w:p>
        </w:tc>
        <w:tc>
          <w:tcPr>
            <w:tcW w:w="10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82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3"/>
              </w:rPr>
              <w:t>Steam</w:t>
            </w:r>
          </w:p>
        </w:tc>
        <w:tc>
          <w:tcPr>
            <w:tcW w:w="100" w:type="dxa"/>
            <w:vAlign w:val="bottom"/>
            <w:shd w:val="clear" w:color="auto" w:fill="E8FFFA"/>
          </w:tcPr>
          <w:p>
            <w:pPr>
              <w:spacing w:after="0"/>
              <w:rPr>
                <w:sz w:val="12"/>
                <w:szCs w:val="12"/>
                <w:color w:val="auto"/>
              </w:rPr>
            </w:pPr>
          </w:p>
        </w:tc>
        <w:tc>
          <w:tcPr>
            <w:tcW w:w="184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7"/>
              </w:rPr>
              <w:t>October 2020</w:t>
            </w: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2023-2025</w:t>
            </w:r>
          </w:p>
        </w:tc>
        <w:tc>
          <w:tcPr>
            <w:tcW w:w="0" w:type="dxa"/>
            <w:vAlign w:val="bottom"/>
          </w:tcPr>
          <w:p>
            <w:pPr>
              <w:spacing w:after="0"/>
              <w:rPr>
                <w:sz w:val="1"/>
                <w:szCs w:val="1"/>
                <w:color w:val="auto"/>
              </w:rPr>
            </w:pPr>
          </w:p>
        </w:tc>
      </w:tr>
      <w:tr>
        <w:trPr>
          <w:trHeight w:val="176"/>
        </w:trPr>
        <w:tc>
          <w:tcPr>
            <w:tcW w:w="2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w w:val="76"/>
              </w:rPr>
              <w:t>2</w:t>
            </w:r>
          </w:p>
        </w:tc>
        <w:tc>
          <w:tcPr>
            <w:tcW w:w="2720" w:type="dxa"/>
            <w:vAlign w:val="bottom"/>
          </w:tcPr>
          <w:p>
            <w:pPr>
              <w:ind w:left="80"/>
              <w:spacing w:after="0"/>
              <w:rPr>
                <w:sz w:val="20"/>
                <w:szCs w:val="20"/>
                <w:color w:val="auto"/>
              </w:rPr>
            </w:pPr>
            <w:r>
              <w:rPr>
                <w:rFonts w:ascii="Arial" w:cs="Arial" w:eastAsia="Arial" w:hAnsi="Arial"/>
                <w:sz w:val="14"/>
                <w:szCs w:val="14"/>
                <w:i w:val="1"/>
                <w:iCs w:val="1"/>
                <w:color w:val="auto"/>
              </w:rPr>
              <w:t>GasLog Savannah</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155,000</w:t>
            </w:r>
          </w:p>
        </w:tc>
        <w:tc>
          <w:tcPr>
            <w:tcW w:w="10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(3)</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E8FFFA"/>
          </w:tcPr>
          <w:p>
            <w:pPr>
              <w:jc w:val="right"/>
              <w:ind w:right="86"/>
              <w:spacing w:after="0"/>
              <w:rPr>
                <w:sz w:val="20"/>
                <w:szCs w:val="20"/>
                <w:color w:val="auto"/>
              </w:rPr>
            </w:pPr>
            <w:r>
              <w:rPr>
                <w:rFonts w:ascii="Arial" w:cs="Arial" w:eastAsia="Arial" w:hAnsi="Arial"/>
                <w:sz w:val="10"/>
                <w:szCs w:val="10"/>
                <w:b w:val="1"/>
                <w:bCs w:val="1"/>
                <w:color w:val="auto"/>
                <w:w w:val="71"/>
              </w:rPr>
              <w:t>3</w:t>
            </w:r>
          </w:p>
        </w:tc>
        <w:tc>
          <w:tcPr>
            <w:tcW w:w="2720" w:type="dxa"/>
            <w:vAlign w:val="bottom"/>
            <w:shd w:val="clear" w:color="auto" w:fill="E8FFFA"/>
          </w:tcPr>
          <w:p>
            <w:pPr>
              <w:ind w:left="80"/>
              <w:spacing w:after="0"/>
              <w:rPr>
                <w:sz w:val="20"/>
                <w:szCs w:val="20"/>
                <w:color w:val="auto"/>
              </w:rPr>
            </w:pPr>
            <w:r>
              <w:rPr>
                <w:rFonts w:ascii="Arial" w:cs="Arial" w:eastAsia="Arial" w:hAnsi="Arial"/>
                <w:sz w:val="14"/>
                <w:szCs w:val="14"/>
                <w:i w:val="1"/>
                <w:iCs w:val="1"/>
                <w:color w:val="auto"/>
              </w:rPr>
              <w:t>GasLog Singapore</w:t>
            </w:r>
          </w:p>
        </w:tc>
        <w:tc>
          <w:tcPr>
            <w:tcW w:w="560" w:type="dxa"/>
            <w:vAlign w:val="bottom"/>
            <w:gridSpan w:val="2"/>
            <w:shd w:val="clear" w:color="auto" w:fill="E8FFFA"/>
          </w:tcPr>
          <w:p>
            <w:pPr>
              <w:jc w:val="right"/>
              <w:ind w:right="12"/>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E8FFFA"/>
          </w:tcPr>
          <w:p>
            <w:pPr>
              <w:ind w:left="240"/>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E8FFFA"/>
          </w:tcPr>
          <w:p>
            <w:pPr>
              <w:spacing w:after="0"/>
              <w:rPr>
                <w:sz w:val="15"/>
                <w:szCs w:val="15"/>
                <w:color w:val="auto"/>
              </w:rPr>
            </w:pPr>
          </w:p>
        </w:tc>
        <w:tc>
          <w:tcPr>
            <w:tcW w:w="106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(3)</w:t>
            </w:r>
          </w:p>
        </w:tc>
        <w:tc>
          <w:tcPr>
            <w:tcW w:w="100" w:type="dxa"/>
            <w:vAlign w:val="bottom"/>
            <w:shd w:val="clear" w:color="auto" w:fill="E8FFFA"/>
          </w:tcPr>
          <w:p>
            <w:pPr>
              <w:spacing w:after="0"/>
              <w:rPr>
                <w:sz w:val="15"/>
                <w:szCs w:val="15"/>
                <w:color w:val="auto"/>
              </w:rPr>
            </w:pPr>
          </w:p>
        </w:tc>
        <w:tc>
          <w:tcPr>
            <w:tcW w:w="82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2"/>
              </w:rPr>
              <w:t>TFDE</w:t>
            </w:r>
          </w:p>
        </w:tc>
        <w:tc>
          <w:tcPr>
            <w:tcW w:w="100" w:type="dxa"/>
            <w:vAlign w:val="bottom"/>
            <w:shd w:val="clear" w:color="auto" w:fill="E8FFFA"/>
          </w:tcPr>
          <w:p>
            <w:pPr>
              <w:spacing w:after="0"/>
              <w:rPr>
                <w:sz w:val="15"/>
                <w:szCs w:val="15"/>
                <w:color w:val="auto"/>
              </w:rPr>
            </w:pPr>
          </w:p>
        </w:tc>
        <w:tc>
          <w:tcPr>
            <w:tcW w:w="184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8FFFA"/>
          </w:tcPr>
          <w:p>
            <w:pPr>
              <w:spacing w:after="0"/>
              <w:rPr>
                <w:sz w:val="15"/>
                <w:szCs w:val="15"/>
                <w:color w:val="auto"/>
              </w:rPr>
            </w:pPr>
          </w:p>
        </w:tc>
        <w:tc>
          <w:tcPr>
            <w:tcW w:w="84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2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w w:val="76"/>
              </w:rPr>
              <w:t>4</w:t>
            </w:r>
          </w:p>
        </w:tc>
        <w:tc>
          <w:tcPr>
            <w:tcW w:w="2720" w:type="dxa"/>
            <w:vAlign w:val="bottom"/>
          </w:tcPr>
          <w:p>
            <w:pPr>
              <w:ind w:left="80"/>
              <w:spacing w:after="0"/>
              <w:rPr>
                <w:sz w:val="20"/>
                <w:szCs w:val="20"/>
                <w:color w:val="auto"/>
              </w:rPr>
            </w:pPr>
            <w:r>
              <w:rPr>
                <w:rFonts w:ascii="Arial" w:cs="Arial" w:eastAsia="Arial" w:hAnsi="Arial"/>
                <w:sz w:val="14"/>
                <w:szCs w:val="14"/>
                <w:i w:val="1"/>
                <w:iCs w:val="1"/>
                <w:color w:val="auto"/>
              </w:rPr>
              <w:t>GasLog Chelsea</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153,600</w:t>
            </w:r>
          </w:p>
        </w:tc>
        <w:tc>
          <w:tcPr>
            <w:tcW w:w="10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(3)</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E8FFFA"/>
          </w:tcPr>
          <w:p>
            <w:pPr>
              <w:jc w:val="right"/>
              <w:ind w:right="86"/>
              <w:spacing w:after="0"/>
              <w:rPr>
                <w:sz w:val="20"/>
                <w:szCs w:val="20"/>
                <w:color w:val="auto"/>
              </w:rPr>
            </w:pPr>
            <w:r>
              <w:rPr>
                <w:rFonts w:ascii="Arial" w:cs="Arial" w:eastAsia="Arial" w:hAnsi="Arial"/>
                <w:sz w:val="10"/>
                <w:szCs w:val="10"/>
                <w:b w:val="1"/>
                <w:bCs w:val="1"/>
                <w:color w:val="auto"/>
                <w:w w:val="71"/>
              </w:rPr>
              <w:t>5</w:t>
            </w:r>
          </w:p>
        </w:tc>
        <w:tc>
          <w:tcPr>
            <w:tcW w:w="2720" w:type="dxa"/>
            <w:vAlign w:val="bottom"/>
            <w:shd w:val="clear" w:color="auto" w:fill="E8FFFA"/>
          </w:tcPr>
          <w:p>
            <w:pPr>
              <w:ind w:left="80"/>
              <w:spacing w:after="0" w:line="149" w:lineRule="exact"/>
              <w:rPr>
                <w:sz w:val="20"/>
                <w:szCs w:val="20"/>
                <w:color w:val="auto"/>
              </w:rPr>
            </w:pPr>
            <w:r>
              <w:rPr>
                <w:rFonts w:ascii="Arial" w:cs="Arial" w:eastAsia="Arial" w:hAnsi="Arial"/>
                <w:sz w:val="14"/>
                <w:szCs w:val="14"/>
                <w:i w:val="1"/>
                <w:iCs w:val="1"/>
                <w:color w:val="auto"/>
              </w:rPr>
              <w:t>Methane Becki Anne</w:t>
            </w:r>
          </w:p>
        </w:tc>
        <w:tc>
          <w:tcPr>
            <w:tcW w:w="560" w:type="dxa"/>
            <w:vAlign w:val="bottom"/>
            <w:gridSpan w:val="2"/>
            <w:shd w:val="clear" w:color="auto" w:fill="E8FFFA"/>
          </w:tcPr>
          <w:p>
            <w:pPr>
              <w:jc w:val="right"/>
              <w:ind w:right="12"/>
              <w:spacing w:after="0" w:line="149" w:lineRule="exact"/>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E8FFFA"/>
          </w:tcPr>
          <w:p>
            <w:pPr>
              <w:ind w:left="240"/>
              <w:spacing w:after="0" w:line="149" w:lineRule="exact"/>
              <w:rPr>
                <w:sz w:val="20"/>
                <w:szCs w:val="20"/>
                <w:color w:val="auto"/>
              </w:rPr>
            </w:pPr>
            <w:r>
              <w:rPr>
                <w:rFonts w:ascii="Arial" w:cs="Arial" w:eastAsia="Arial" w:hAnsi="Arial"/>
                <w:sz w:val="14"/>
                <w:szCs w:val="14"/>
                <w:color w:val="auto"/>
              </w:rPr>
              <w:t>170,000</w:t>
            </w:r>
          </w:p>
        </w:tc>
        <w:tc>
          <w:tcPr>
            <w:tcW w:w="100" w:type="dxa"/>
            <w:vAlign w:val="bottom"/>
            <w:shd w:val="clear" w:color="auto" w:fill="E8FFFA"/>
          </w:tcPr>
          <w:p>
            <w:pPr>
              <w:spacing w:after="0"/>
              <w:rPr>
                <w:sz w:val="12"/>
                <w:szCs w:val="12"/>
                <w:color w:val="auto"/>
              </w:rPr>
            </w:pPr>
          </w:p>
        </w:tc>
        <w:tc>
          <w:tcPr>
            <w:tcW w:w="10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8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2"/>
              </w:rPr>
              <w:t>TFDE</w:t>
            </w:r>
          </w:p>
        </w:tc>
        <w:tc>
          <w:tcPr>
            <w:tcW w:w="100" w:type="dxa"/>
            <w:vAlign w:val="bottom"/>
            <w:shd w:val="clear" w:color="auto" w:fill="E8FFFA"/>
          </w:tcPr>
          <w:p>
            <w:pPr>
              <w:spacing w:after="0"/>
              <w:rPr>
                <w:sz w:val="12"/>
                <w:szCs w:val="12"/>
                <w:color w:val="auto"/>
              </w:rPr>
            </w:pPr>
          </w:p>
        </w:tc>
        <w:tc>
          <w:tcPr>
            <w:tcW w:w="18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9"/>
              </w:rPr>
              <w:t>March 2024</w:t>
            </w:r>
          </w:p>
        </w:tc>
        <w:tc>
          <w:tcPr>
            <w:tcW w:w="940" w:type="dxa"/>
            <w:vAlign w:val="bottom"/>
            <w:gridSpan w:val="2"/>
            <w:shd w:val="clear" w:color="auto" w:fill="E8FFFA"/>
          </w:tcPr>
          <w:p>
            <w:pPr>
              <w:jc w:val="center"/>
              <w:ind w:left="16"/>
              <w:spacing w:after="0" w:line="149" w:lineRule="exact"/>
              <w:rPr>
                <w:sz w:val="20"/>
                <w:szCs w:val="20"/>
                <w:color w:val="auto"/>
              </w:rPr>
            </w:pPr>
            <w:r>
              <w:rPr>
                <w:rFonts w:ascii="Arial" w:cs="Arial" w:eastAsia="Arial" w:hAnsi="Arial"/>
                <w:sz w:val="14"/>
                <w:szCs w:val="14"/>
                <w:color w:val="auto"/>
                <w:w w:val="86"/>
              </w:rPr>
              <w:t>2027-2029</w:t>
            </w:r>
          </w:p>
        </w:tc>
        <w:tc>
          <w:tcPr>
            <w:tcW w:w="0" w:type="dxa"/>
            <w:vAlign w:val="bottom"/>
          </w:tcPr>
          <w:p>
            <w:pPr>
              <w:spacing w:after="0"/>
              <w:rPr>
                <w:sz w:val="1"/>
                <w:szCs w:val="1"/>
                <w:color w:val="auto"/>
              </w:rPr>
            </w:pPr>
          </w:p>
        </w:tc>
      </w:tr>
      <w:tr>
        <w:trPr>
          <w:trHeight w:val="176"/>
        </w:trPr>
        <w:tc>
          <w:tcPr>
            <w:tcW w:w="2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w w:val="76"/>
              </w:rPr>
              <w:t>6</w:t>
            </w:r>
          </w:p>
        </w:tc>
        <w:tc>
          <w:tcPr>
            <w:tcW w:w="2720" w:type="dxa"/>
            <w:vAlign w:val="bottom"/>
          </w:tcPr>
          <w:p>
            <w:pPr>
              <w:ind w:left="80"/>
              <w:spacing w:after="0" w:line="176" w:lineRule="exact"/>
              <w:rPr>
                <w:sz w:val="20"/>
                <w:szCs w:val="20"/>
                <w:color w:val="auto"/>
              </w:rPr>
            </w:pPr>
            <w:r>
              <w:rPr>
                <w:rFonts w:ascii="Arial" w:cs="Arial" w:eastAsia="Arial" w:hAnsi="Arial"/>
                <w:sz w:val="13"/>
                <w:szCs w:val="13"/>
                <w:i w:val="1"/>
                <w:iCs w:val="1"/>
                <w:color w:val="auto"/>
              </w:rPr>
              <w:t>GasLog Skagen</w:t>
            </w:r>
            <w:r>
              <w:rPr>
                <w:rFonts w:ascii="Arial" w:cs="Arial" w:eastAsia="Arial" w:hAnsi="Arial"/>
                <w:sz w:val="20"/>
                <w:szCs w:val="20"/>
                <w:color w:val="auto"/>
                <w:vertAlign w:val="superscript"/>
              </w:rPr>
              <w:t>(4)</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color w:val="auto"/>
              </w:rPr>
              <w:t>2013</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155,000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8"/>
              </w:rPr>
              <w:t>August 2019</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E8FFFA"/>
          </w:tcPr>
          <w:p>
            <w:pPr>
              <w:jc w:val="right"/>
              <w:ind w:right="86"/>
              <w:spacing w:after="0"/>
              <w:rPr>
                <w:sz w:val="20"/>
                <w:szCs w:val="20"/>
                <w:color w:val="auto"/>
              </w:rPr>
            </w:pPr>
            <w:r>
              <w:rPr>
                <w:rFonts w:ascii="Arial" w:cs="Arial" w:eastAsia="Arial" w:hAnsi="Arial"/>
                <w:sz w:val="10"/>
                <w:szCs w:val="10"/>
                <w:b w:val="1"/>
                <w:bCs w:val="1"/>
                <w:color w:val="auto"/>
                <w:w w:val="71"/>
              </w:rPr>
              <w:t>7</w:t>
            </w:r>
          </w:p>
        </w:tc>
        <w:tc>
          <w:tcPr>
            <w:tcW w:w="2720" w:type="dxa"/>
            <w:vAlign w:val="bottom"/>
            <w:shd w:val="clear" w:color="auto" w:fill="E8FFFA"/>
          </w:tcPr>
          <w:p>
            <w:pPr>
              <w:ind w:left="80"/>
              <w:spacing w:after="0" w:line="176" w:lineRule="exact"/>
              <w:rPr>
                <w:sz w:val="20"/>
                <w:szCs w:val="20"/>
                <w:color w:val="auto"/>
              </w:rPr>
            </w:pPr>
            <w:r>
              <w:rPr>
                <w:rFonts w:ascii="Arial" w:cs="Arial" w:eastAsia="Arial" w:hAnsi="Arial"/>
                <w:sz w:val="13"/>
                <w:szCs w:val="13"/>
                <w:i w:val="1"/>
                <w:iCs w:val="1"/>
                <w:color w:val="auto"/>
              </w:rPr>
              <w:t>GasLog Saratoga</w:t>
            </w:r>
            <w:r>
              <w:rPr>
                <w:rFonts w:ascii="Arial" w:cs="Arial" w:eastAsia="Arial" w:hAnsi="Arial"/>
                <w:sz w:val="20"/>
                <w:szCs w:val="20"/>
                <w:color w:val="auto"/>
                <w:vertAlign w:val="superscript"/>
              </w:rPr>
              <w:t>(4)</w:t>
            </w:r>
          </w:p>
        </w:tc>
        <w:tc>
          <w:tcPr>
            <w:tcW w:w="560" w:type="dxa"/>
            <w:vAlign w:val="bottom"/>
            <w:gridSpan w:val="2"/>
            <w:shd w:val="clear" w:color="auto" w:fill="E8FFFA"/>
          </w:tcPr>
          <w:p>
            <w:pPr>
              <w:jc w:val="right"/>
              <w:ind w:right="12"/>
              <w:spacing w:after="0"/>
              <w:rPr>
                <w:sz w:val="20"/>
                <w:szCs w:val="20"/>
                <w:color w:val="auto"/>
              </w:rPr>
            </w:pPr>
            <w:r>
              <w:rPr>
                <w:rFonts w:ascii="Arial" w:cs="Arial" w:eastAsia="Arial" w:hAnsi="Arial"/>
                <w:sz w:val="14"/>
                <w:szCs w:val="14"/>
                <w:color w:val="auto"/>
              </w:rPr>
              <w:t>2014</w:t>
            </w:r>
          </w:p>
        </w:tc>
        <w:tc>
          <w:tcPr>
            <w:tcW w:w="800" w:type="dxa"/>
            <w:vAlign w:val="bottom"/>
            <w:gridSpan w:val="2"/>
            <w:shd w:val="clear" w:color="auto" w:fill="E8FFFA"/>
          </w:tcPr>
          <w:p>
            <w:pPr>
              <w:ind w:left="240"/>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E8FFFA"/>
          </w:tcPr>
          <w:p>
            <w:pPr>
              <w:spacing w:after="0"/>
              <w:rPr>
                <w:sz w:val="15"/>
                <w:szCs w:val="15"/>
                <w:color w:val="auto"/>
              </w:rPr>
            </w:pPr>
          </w:p>
        </w:tc>
        <w:tc>
          <w:tcPr>
            <w:tcW w:w="106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(3)</w:t>
            </w:r>
          </w:p>
        </w:tc>
        <w:tc>
          <w:tcPr>
            <w:tcW w:w="100" w:type="dxa"/>
            <w:vAlign w:val="bottom"/>
            <w:shd w:val="clear" w:color="auto" w:fill="E8FFFA"/>
          </w:tcPr>
          <w:p>
            <w:pPr>
              <w:spacing w:after="0"/>
              <w:rPr>
                <w:sz w:val="15"/>
                <w:szCs w:val="15"/>
                <w:color w:val="auto"/>
              </w:rPr>
            </w:pPr>
          </w:p>
        </w:tc>
        <w:tc>
          <w:tcPr>
            <w:tcW w:w="82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2"/>
              </w:rPr>
              <w:t>TFDE</w:t>
            </w:r>
          </w:p>
        </w:tc>
        <w:tc>
          <w:tcPr>
            <w:tcW w:w="100" w:type="dxa"/>
            <w:vAlign w:val="bottom"/>
            <w:shd w:val="clear" w:color="auto" w:fill="E8FFFA"/>
          </w:tcPr>
          <w:p>
            <w:pPr>
              <w:spacing w:after="0"/>
              <w:rPr>
                <w:sz w:val="15"/>
                <w:szCs w:val="15"/>
                <w:color w:val="auto"/>
              </w:rPr>
            </w:pPr>
          </w:p>
        </w:tc>
        <w:tc>
          <w:tcPr>
            <w:tcW w:w="184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8FFFA"/>
          </w:tcPr>
          <w:p>
            <w:pPr>
              <w:spacing w:after="0"/>
              <w:rPr>
                <w:sz w:val="15"/>
                <w:szCs w:val="15"/>
                <w:color w:val="auto"/>
              </w:rPr>
            </w:pPr>
          </w:p>
        </w:tc>
        <w:tc>
          <w:tcPr>
            <w:tcW w:w="84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2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w w:val="76"/>
              </w:rPr>
              <w:t>8</w:t>
            </w:r>
          </w:p>
        </w:tc>
        <w:tc>
          <w:tcPr>
            <w:tcW w:w="2720" w:type="dxa"/>
            <w:vAlign w:val="bottom"/>
          </w:tcPr>
          <w:p>
            <w:pPr>
              <w:ind w:left="80"/>
              <w:spacing w:after="0"/>
              <w:rPr>
                <w:sz w:val="20"/>
                <w:szCs w:val="20"/>
                <w:color w:val="auto"/>
              </w:rPr>
            </w:pPr>
            <w:r>
              <w:rPr>
                <w:rFonts w:ascii="Arial" w:cs="Arial" w:eastAsia="Arial" w:hAnsi="Arial"/>
                <w:sz w:val="14"/>
                <w:szCs w:val="14"/>
                <w:i w:val="1"/>
                <w:iCs w:val="1"/>
                <w:color w:val="auto"/>
              </w:rPr>
              <w:t>GasLog Salem</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color w:val="auto"/>
              </w:rPr>
              <w:t>2015</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155,000</w:t>
            </w:r>
          </w:p>
        </w:tc>
        <w:tc>
          <w:tcPr>
            <w:tcW w:w="10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(3)</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E8FFFA"/>
          </w:tcPr>
          <w:p>
            <w:pPr>
              <w:jc w:val="right"/>
              <w:ind w:right="86"/>
              <w:spacing w:after="0"/>
              <w:rPr>
                <w:sz w:val="20"/>
                <w:szCs w:val="20"/>
                <w:color w:val="auto"/>
              </w:rPr>
            </w:pPr>
            <w:r>
              <w:rPr>
                <w:rFonts w:ascii="Arial" w:cs="Arial" w:eastAsia="Arial" w:hAnsi="Arial"/>
                <w:sz w:val="10"/>
                <w:szCs w:val="10"/>
                <w:b w:val="1"/>
                <w:bCs w:val="1"/>
                <w:color w:val="auto"/>
                <w:w w:val="71"/>
              </w:rPr>
              <w:t>9</w:t>
            </w:r>
          </w:p>
        </w:tc>
        <w:tc>
          <w:tcPr>
            <w:tcW w:w="2720" w:type="dxa"/>
            <w:vAlign w:val="bottom"/>
            <w:shd w:val="clear" w:color="auto" w:fill="E8FFFA"/>
          </w:tcPr>
          <w:p>
            <w:pPr>
              <w:ind w:left="80"/>
              <w:spacing w:after="0" w:line="149" w:lineRule="exact"/>
              <w:rPr>
                <w:sz w:val="20"/>
                <w:szCs w:val="20"/>
                <w:color w:val="auto"/>
              </w:rPr>
            </w:pPr>
            <w:r>
              <w:rPr>
                <w:rFonts w:ascii="Arial" w:cs="Arial" w:eastAsia="Arial" w:hAnsi="Arial"/>
                <w:sz w:val="14"/>
                <w:szCs w:val="14"/>
                <w:i w:val="1"/>
                <w:iCs w:val="1"/>
                <w:color w:val="auto"/>
              </w:rPr>
              <w:t>GasLog Glasgow</w:t>
            </w:r>
          </w:p>
        </w:tc>
        <w:tc>
          <w:tcPr>
            <w:tcW w:w="560" w:type="dxa"/>
            <w:vAlign w:val="bottom"/>
            <w:gridSpan w:val="2"/>
            <w:shd w:val="clear" w:color="auto" w:fill="E8FFFA"/>
          </w:tcPr>
          <w:p>
            <w:pPr>
              <w:jc w:val="right"/>
              <w:ind w:right="12"/>
              <w:spacing w:after="0" w:line="149" w:lineRule="exact"/>
              <w:rPr>
                <w:sz w:val="20"/>
                <w:szCs w:val="20"/>
                <w:color w:val="auto"/>
              </w:rPr>
            </w:pPr>
            <w:r>
              <w:rPr>
                <w:rFonts w:ascii="Arial" w:cs="Arial" w:eastAsia="Arial" w:hAnsi="Arial"/>
                <w:sz w:val="14"/>
                <w:szCs w:val="14"/>
                <w:color w:val="auto"/>
              </w:rPr>
              <w:t>2016</w:t>
            </w:r>
          </w:p>
        </w:tc>
        <w:tc>
          <w:tcPr>
            <w:tcW w:w="800" w:type="dxa"/>
            <w:vAlign w:val="bottom"/>
            <w:gridSpan w:val="2"/>
            <w:shd w:val="clear" w:color="auto" w:fill="E8FFFA"/>
          </w:tcPr>
          <w:p>
            <w:pPr>
              <w:ind w:left="240"/>
              <w:spacing w:after="0" w:line="149" w:lineRule="exact"/>
              <w:rPr>
                <w:sz w:val="20"/>
                <w:szCs w:val="20"/>
                <w:color w:val="auto"/>
              </w:rPr>
            </w:pPr>
            <w:r>
              <w:rPr>
                <w:rFonts w:ascii="Arial" w:cs="Arial" w:eastAsia="Arial" w:hAnsi="Arial"/>
                <w:sz w:val="14"/>
                <w:szCs w:val="14"/>
                <w:color w:val="auto"/>
              </w:rPr>
              <w:t>174,000</w:t>
            </w:r>
          </w:p>
        </w:tc>
        <w:tc>
          <w:tcPr>
            <w:tcW w:w="100" w:type="dxa"/>
            <w:vAlign w:val="bottom"/>
            <w:shd w:val="clear" w:color="auto" w:fill="E8FFFA"/>
          </w:tcPr>
          <w:p>
            <w:pPr>
              <w:spacing w:after="0"/>
              <w:rPr>
                <w:sz w:val="12"/>
                <w:szCs w:val="12"/>
                <w:color w:val="auto"/>
              </w:rPr>
            </w:pPr>
          </w:p>
        </w:tc>
        <w:tc>
          <w:tcPr>
            <w:tcW w:w="10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8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2"/>
              </w:rPr>
              <w:t>TFDE</w:t>
            </w:r>
          </w:p>
        </w:tc>
        <w:tc>
          <w:tcPr>
            <w:tcW w:w="100" w:type="dxa"/>
            <w:vAlign w:val="bottom"/>
            <w:shd w:val="clear" w:color="auto" w:fill="E8FFFA"/>
          </w:tcPr>
          <w:p>
            <w:pPr>
              <w:spacing w:after="0"/>
              <w:rPr>
                <w:sz w:val="12"/>
                <w:szCs w:val="12"/>
                <w:color w:val="auto"/>
              </w:rPr>
            </w:pPr>
          </w:p>
        </w:tc>
        <w:tc>
          <w:tcPr>
            <w:tcW w:w="18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2"/>
              </w:rPr>
              <w:t>June 2026</w:t>
            </w:r>
          </w:p>
        </w:tc>
        <w:tc>
          <w:tcPr>
            <w:tcW w:w="940" w:type="dxa"/>
            <w:vAlign w:val="bottom"/>
            <w:gridSpan w:val="2"/>
            <w:shd w:val="clear" w:color="auto" w:fill="E8FFFA"/>
          </w:tcPr>
          <w:p>
            <w:pPr>
              <w:jc w:val="center"/>
              <w:ind w:left="16"/>
              <w:spacing w:after="0" w:line="149" w:lineRule="exact"/>
              <w:rPr>
                <w:sz w:val="20"/>
                <w:szCs w:val="20"/>
                <w:color w:val="auto"/>
              </w:rPr>
            </w:pPr>
            <w:r>
              <w:rPr>
                <w:rFonts w:ascii="Arial" w:cs="Arial" w:eastAsia="Arial" w:hAnsi="Arial"/>
                <w:sz w:val="14"/>
                <w:szCs w:val="14"/>
                <w:color w:val="auto"/>
                <w:w w:val="83"/>
              </w:rPr>
              <w:t>2031</w:t>
            </w:r>
          </w:p>
        </w:tc>
        <w:tc>
          <w:tcPr>
            <w:tcW w:w="0" w:type="dxa"/>
            <w:vAlign w:val="bottom"/>
          </w:tcPr>
          <w:p>
            <w:pPr>
              <w:spacing w:after="0"/>
              <w:rPr>
                <w:sz w:val="1"/>
                <w:szCs w:val="1"/>
                <w:color w:val="auto"/>
              </w:rPr>
            </w:pPr>
          </w:p>
        </w:tc>
      </w:tr>
      <w:tr>
        <w:trPr>
          <w:trHeight w:val="203"/>
        </w:trPr>
        <w:tc>
          <w:tcPr>
            <w:tcW w:w="22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w w:val="76"/>
              </w:rPr>
              <w:t>10</w:t>
            </w:r>
          </w:p>
        </w:tc>
        <w:tc>
          <w:tcPr>
            <w:tcW w:w="2720" w:type="dxa"/>
            <w:vAlign w:val="bottom"/>
          </w:tcPr>
          <w:p>
            <w:pPr>
              <w:ind w:left="80"/>
              <w:spacing w:after="0" w:line="203" w:lineRule="exact"/>
              <w:rPr>
                <w:sz w:val="20"/>
                <w:szCs w:val="20"/>
                <w:color w:val="auto"/>
              </w:rPr>
            </w:pPr>
            <w:r>
              <w:rPr>
                <w:rFonts w:ascii="Arial" w:cs="Arial" w:eastAsia="Arial" w:hAnsi="Arial"/>
                <w:sz w:val="14"/>
                <w:szCs w:val="14"/>
                <w:i w:val="1"/>
                <w:iCs w:val="1"/>
                <w:color w:val="auto"/>
              </w:rPr>
              <w:t>GasLog Houston</w:t>
            </w:r>
            <w:r>
              <w:rPr>
                <w:rFonts w:ascii="Arial" w:cs="Arial" w:eastAsia="Arial" w:hAnsi="Arial"/>
                <w:sz w:val="22"/>
                <w:szCs w:val="22"/>
                <w:color w:val="auto"/>
                <w:vertAlign w:val="superscript"/>
              </w:rPr>
              <w:t>(5)</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color w:val="auto"/>
              </w:rPr>
              <w:t>2018</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174,000</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6"/>
              </w:rPr>
              <w:t>New Customer</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LP-2S</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7"/>
              </w:rPr>
              <w:t>January 2019</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spacing w:after="0" w:line="95" w:lineRule="exact"/>
              <w:rPr>
                <w:sz w:val="20"/>
                <w:szCs w:val="20"/>
                <w:color w:val="auto"/>
              </w:rPr>
            </w:pPr>
            <w:r>
              <w:rPr>
                <w:rFonts w:ascii="Arial" w:cs="Arial" w:eastAsia="Arial" w:hAnsi="Arial"/>
                <w:sz w:val="10"/>
                <w:szCs w:val="10"/>
                <w:color w:val="auto"/>
              </w:rPr>
              <w:t>Shell</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jc w:val="center"/>
              <w:spacing w:after="0" w:line="95" w:lineRule="exact"/>
              <w:rPr>
                <w:sz w:val="20"/>
                <w:szCs w:val="20"/>
                <w:color w:val="auto"/>
              </w:rPr>
            </w:pPr>
            <w:r>
              <w:rPr>
                <w:rFonts w:ascii="Arial" w:cs="Arial" w:eastAsia="Arial" w:hAnsi="Arial"/>
                <w:sz w:val="10"/>
                <w:szCs w:val="10"/>
                <w:color w:val="auto"/>
              </w:rPr>
              <w:t>May 2028</w:t>
            </w:r>
          </w:p>
        </w:tc>
        <w:tc>
          <w:tcPr>
            <w:tcW w:w="940" w:type="dxa"/>
            <w:vAlign w:val="bottom"/>
            <w:gridSpan w:val="2"/>
          </w:tcPr>
          <w:p>
            <w:pPr>
              <w:jc w:val="center"/>
              <w:ind w:left="16"/>
              <w:spacing w:after="0" w:line="95" w:lineRule="exact"/>
              <w:rPr>
                <w:sz w:val="20"/>
                <w:szCs w:val="20"/>
                <w:color w:val="auto"/>
              </w:rPr>
            </w:pPr>
            <w:r>
              <w:rPr>
                <w:rFonts w:ascii="Arial" w:cs="Arial" w:eastAsia="Arial" w:hAnsi="Arial"/>
                <w:sz w:val="10"/>
                <w:szCs w:val="10"/>
                <w:color w:val="auto"/>
              </w:rPr>
              <w:t>2031-2034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E8FFFA"/>
          </w:tcPr>
          <w:p>
            <w:pPr>
              <w:jc w:val="right"/>
              <w:ind w:right="26"/>
              <w:spacing w:after="0"/>
              <w:rPr>
                <w:sz w:val="20"/>
                <w:szCs w:val="20"/>
                <w:color w:val="auto"/>
              </w:rPr>
            </w:pPr>
            <w:r>
              <w:rPr>
                <w:rFonts w:ascii="Arial" w:cs="Arial" w:eastAsia="Arial" w:hAnsi="Arial"/>
                <w:sz w:val="12"/>
                <w:szCs w:val="12"/>
                <w:b w:val="1"/>
                <w:bCs w:val="1"/>
                <w:color w:val="auto"/>
                <w:w w:val="74"/>
              </w:rPr>
              <w:t>11</w:t>
            </w:r>
          </w:p>
        </w:tc>
        <w:tc>
          <w:tcPr>
            <w:tcW w:w="2720" w:type="dxa"/>
            <w:vAlign w:val="bottom"/>
            <w:shd w:val="clear" w:color="auto" w:fill="E8FFFA"/>
          </w:tcPr>
          <w:p>
            <w:pPr>
              <w:ind w:left="80"/>
              <w:spacing w:after="0"/>
              <w:rPr>
                <w:sz w:val="20"/>
                <w:szCs w:val="20"/>
                <w:color w:val="auto"/>
              </w:rPr>
            </w:pPr>
            <w:r>
              <w:rPr>
                <w:rFonts w:ascii="Arial" w:cs="Arial" w:eastAsia="Arial" w:hAnsi="Arial"/>
                <w:sz w:val="14"/>
                <w:szCs w:val="14"/>
                <w:color w:val="auto"/>
              </w:rPr>
              <w:t>GasLog Hong Kong</w:t>
            </w:r>
          </w:p>
        </w:tc>
        <w:tc>
          <w:tcPr>
            <w:tcW w:w="560" w:type="dxa"/>
            <w:vAlign w:val="bottom"/>
            <w:gridSpan w:val="2"/>
            <w:shd w:val="clear" w:color="auto" w:fill="E8FFFA"/>
          </w:tcPr>
          <w:p>
            <w:pPr>
              <w:jc w:val="right"/>
              <w:ind w:right="12"/>
              <w:spacing w:after="0"/>
              <w:rPr>
                <w:sz w:val="20"/>
                <w:szCs w:val="20"/>
                <w:color w:val="auto"/>
              </w:rPr>
            </w:pPr>
            <w:r>
              <w:rPr>
                <w:rFonts w:ascii="Arial" w:cs="Arial" w:eastAsia="Arial" w:hAnsi="Arial"/>
                <w:sz w:val="14"/>
                <w:szCs w:val="14"/>
                <w:color w:val="auto"/>
              </w:rPr>
              <w:t>2018</w:t>
            </w:r>
          </w:p>
        </w:tc>
        <w:tc>
          <w:tcPr>
            <w:tcW w:w="800" w:type="dxa"/>
            <w:vAlign w:val="bottom"/>
            <w:gridSpan w:val="2"/>
            <w:shd w:val="clear" w:color="auto" w:fill="E8FFFA"/>
          </w:tcPr>
          <w:p>
            <w:pPr>
              <w:ind w:left="240"/>
              <w:spacing w:after="0"/>
              <w:rPr>
                <w:sz w:val="20"/>
                <w:szCs w:val="20"/>
                <w:color w:val="auto"/>
              </w:rPr>
            </w:pPr>
            <w:r>
              <w:rPr>
                <w:rFonts w:ascii="Arial" w:cs="Arial" w:eastAsia="Arial" w:hAnsi="Arial"/>
                <w:sz w:val="14"/>
                <w:szCs w:val="14"/>
                <w:color w:val="auto"/>
              </w:rPr>
              <w:t>174,000</w:t>
            </w:r>
          </w:p>
        </w:tc>
        <w:tc>
          <w:tcPr>
            <w:tcW w:w="100" w:type="dxa"/>
            <w:vAlign w:val="bottom"/>
            <w:shd w:val="clear" w:color="auto" w:fill="E8FFFA"/>
          </w:tcPr>
          <w:p>
            <w:pPr>
              <w:spacing w:after="0"/>
              <w:rPr>
                <w:sz w:val="15"/>
                <w:szCs w:val="15"/>
                <w:color w:val="auto"/>
              </w:rPr>
            </w:pPr>
          </w:p>
        </w:tc>
        <w:tc>
          <w:tcPr>
            <w:tcW w:w="106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88"/>
              </w:rPr>
              <w:t>Total</w:t>
            </w:r>
            <w:r>
              <w:rPr>
                <w:rFonts w:ascii="Arial" w:cs="Arial" w:eastAsia="Arial" w:hAnsi="Arial"/>
                <w:sz w:val="20"/>
                <w:szCs w:val="20"/>
                <w:color w:val="auto"/>
                <w:w w:val="88"/>
                <w:vertAlign w:val="superscript"/>
              </w:rPr>
              <w:t>(6)</w:t>
            </w:r>
          </w:p>
        </w:tc>
        <w:tc>
          <w:tcPr>
            <w:tcW w:w="100" w:type="dxa"/>
            <w:vAlign w:val="bottom"/>
            <w:shd w:val="clear" w:color="auto" w:fill="E8FFFA"/>
          </w:tcPr>
          <w:p>
            <w:pPr>
              <w:spacing w:after="0"/>
              <w:rPr>
                <w:sz w:val="15"/>
                <w:szCs w:val="15"/>
                <w:color w:val="auto"/>
              </w:rPr>
            </w:pPr>
          </w:p>
        </w:tc>
        <w:tc>
          <w:tcPr>
            <w:tcW w:w="82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2"/>
              </w:rPr>
              <w:t>LP-2S</w:t>
            </w:r>
          </w:p>
        </w:tc>
        <w:tc>
          <w:tcPr>
            <w:tcW w:w="100" w:type="dxa"/>
            <w:vAlign w:val="bottom"/>
            <w:shd w:val="clear" w:color="auto" w:fill="E8FFFA"/>
          </w:tcPr>
          <w:p>
            <w:pPr>
              <w:spacing w:after="0"/>
              <w:rPr>
                <w:sz w:val="15"/>
                <w:szCs w:val="15"/>
                <w:color w:val="auto"/>
              </w:rPr>
            </w:pPr>
          </w:p>
        </w:tc>
        <w:tc>
          <w:tcPr>
            <w:tcW w:w="184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6"/>
              </w:rPr>
              <w:t>December 2025</w:t>
            </w:r>
          </w:p>
        </w:tc>
        <w:tc>
          <w:tcPr>
            <w:tcW w:w="940" w:type="dxa"/>
            <w:vAlign w:val="bottom"/>
            <w:gridSpan w:val="2"/>
            <w:shd w:val="clear" w:color="auto" w:fill="E8FFFA"/>
          </w:tcPr>
          <w:p>
            <w:pPr>
              <w:jc w:val="center"/>
              <w:ind w:left="16"/>
              <w:spacing w:after="0"/>
              <w:rPr>
                <w:sz w:val="20"/>
                <w:szCs w:val="20"/>
                <w:color w:val="auto"/>
              </w:rPr>
            </w:pPr>
            <w:r>
              <w:rPr>
                <w:rFonts w:ascii="Arial" w:cs="Arial" w:eastAsia="Arial" w:hAnsi="Arial"/>
                <w:sz w:val="14"/>
                <w:szCs w:val="14"/>
                <w:color w:val="auto"/>
                <w:w w:val="83"/>
              </w:rPr>
              <w:t>2028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jc w:val="right"/>
              <w:ind w:right="26"/>
              <w:spacing w:after="0"/>
              <w:rPr>
                <w:sz w:val="20"/>
                <w:szCs w:val="20"/>
                <w:color w:val="auto"/>
              </w:rPr>
            </w:pPr>
            <w:r>
              <w:rPr>
                <w:rFonts w:ascii="Arial" w:cs="Arial" w:eastAsia="Arial" w:hAnsi="Arial"/>
                <w:sz w:val="12"/>
                <w:szCs w:val="12"/>
                <w:b w:val="1"/>
                <w:bCs w:val="1"/>
                <w:color w:val="auto"/>
                <w:w w:val="74"/>
              </w:rPr>
              <w:t>12</w:t>
            </w:r>
          </w:p>
        </w:tc>
        <w:tc>
          <w:tcPr>
            <w:tcW w:w="2720" w:type="dxa"/>
            <w:vAlign w:val="bottom"/>
          </w:tcPr>
          <w:p>
            <w:pPr>
              <w:ind w:left="80"/>
              <w:spacing w:after="0"/>
              <w:rPr>
                <w:sz w:val="20"/>
                <w:szCs w:val="20"/>
                <w:color w:val="auto"/>
              </w:rPr>
            </w:pPr>
            <w:r>
              <w:rPr>
                <w:rFonts w:ascii="Arial" w:cs="Arial" w:eastAsia="Arial" w:hAnsi="Arial"/>
                <w:sz w:val="14"/>
                <w:szCs w:val="14"/>
                <w:color w:val="auto"/>
              </w:rPr>
              <w:t>GasLog Genoa</w:t>
            </w:r>
          </w:p>
        </w:tc>
        <w:tc>
          <w:tcPr>
            <w:tcW w:w="560" w:type="dxa"/>
            <w:vAlign w:val="bottom"/>
            <w:gridSpan w:val="2"/>
          </w:tcPr>
          <w:p>
            <w:pPr>
              <w:jc w:val="right"/>
              <w:ind w:right="12"/>
              <w:spacing w:after="0"/>
              <w:rPr>
                <w:sz w:val="20"/>
                <w:szCs w:val="20"/>
                <w:color w:val="auto"/>
              </w:rPr>
            </w:pPr>
            <w:r>
              <w:rPr>
                <w:rFonts w:ascii="Arial" w:cs="Arial" w:eastAsia="Arial" w:hAnsi="Arial"/>
                <w:sz w:val="14"/>
                <w:szCs w:val="14"/>
                <w:color w:val="auto"/>
              </w:rPr>
              <w:t>2018</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174,000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LP-2S</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April 2027</w:t>
            </w:r>
          </w:p>
        </w:tc>
        <w:tc>
          <w:tcPr>
            <w:tcW w:w="940" w:type="dxa"/>
            <w:vAlign w:val="bottom"/>
            <w:gridSpan w:val="2"/>
          </w:tcPr>
          <w:p>
            <w:pPr>
              <w:jc w:val="center"/>
              <w:ind w:left="16"/>
              <w:spacing w:after="0"/>
              <w:rPr>
                <w:sz w:val="20"/>
                <w:szCs w:val="20"/>
                <w:color w:val="auto"/>
              </w:rPr>
            </w:pPr>
            <w:r>
              <w:rPr>
                <w:rFonts w:ascii="Arial" w:cs="Arial" w:eastAsia="Arial" w:hAnsi="Arial"/>
                <w:sz w:val="14"/>
                <w:szCs w:val="14"/>
                <w:color w:val="auto"/>
                <w:w w:val="86"/>
              </w:rPr>
              <w:t>2030-2033</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As of June 30, 2018, the Partnership's fleet consisted of the following vessels: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Cargo</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2"/>
              </w:rPr>
              <w:t>Charter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Capacity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Pr>
          <w:p>
            <w:pPr>
              <w:ind w:left="1040"/>
              <w:spacing w:after="0"/>
              <w:rPr>
                <w:sz w:val="20"/>
                <w:szCs w:val="20"/>
                <w:color w:val="auto"/>
              </w:rPr>
            </w:pPr>
            <w:r>
              <w:rPr>
                <w:rFonts w:ascii="Arial" w:cs="Arial" w:eastAsia="Arial" w:hAnsi="Arial"/>
                <w:sz w:val="14"/>
                <w:szCs w:val="14"/>
                <w:b w:val="1"/>
                <w:bCs w:val="1"/>
                <w:color w:val="auto"/>
              </w:rPr>
              <w:t>Vessel Name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ind w:left="60"/>
              <w:spacing w:after="0"/>
              <w:rPr>
                <w:sz w:val="20"/>
                <w:szCs w:val="20"/>
                <w:color w:val="auto"/>
              </w:rPr>
            </w:pPr>
            <w:r>
              <w:rPr>
                <w:rFonts w:ascii="Arial" w:cs="Arial" w:eastAsia="Arial" w:hAnsi="Arial"/>
                <w:sz w:val="14"/>
                <w:szCs w:val="14"/>
                <w:b w:val="1"/>
                <w:bCs w:val="1"/>
                <w:color w:val="auto"/>
              </w:rPr>
              <w:t>Built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(cbm)</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Charterer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Propulsion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jc w:val="center"/>
              <w:ind w:right="74"/>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1</w:t>
            </w:r>
          </w:p>
        </w:tc>
        <w:tc>
          <w:tcPr>
            <w:tcW w:w="27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i w:val="1"/>
                <w:iCs w:val="1"/>
                <w:color w:val="auto"/>
              </w:rPr>
              <w:t>Methane Rita Andrea</w:t>
            </w:r>
          </w:p>
        </w:tc>
        <w:tc>
          <w:tcPr>
            <w:tcW w:w="80" w:type="dxa"/>
            <w:vAlign w:val="bottom"/>
          </w:tcPr>
          <w:p>
            <w:pPr>
              <w:spacing w:after="0"/>
              <w:rPr>
                <w:sz w:val="12"/>
                <w:szCs w:val="12"/>
                <w:color w:val="auto"/>
              </w:rPr>
            </w:pPr>
          </w:p>
        </w:tc>
        <w:tc>
          <w:tcPr>
            <w:tcW w:w="48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7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72"/>
              <w:spacing w:after="0" w:line="142" w:lineRule="exact"/>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rPr>
              <w:t>Steam</w:t>
            </w: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color w:val="auto"/>
                <w:w w:val="91"/>
              </w:rPr>
              <w:t>April 2020</w:t>
            </w: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93"/>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2</w:t>
            </w:r>
          </w:p>
        </w:tc>
        <w:tc>
          <w:tcPr>
            <w:tcW w:w="2720" w:type="dxa"/>
            <w:vAlign w:val="bottom"/>
            <w:shd w:val="clear" w:color="auto" w:fill="E8FFFA"/>
          </w:tcPr>
          <w:p>
            <w:pPr>
              <w:ind w:left="80"/>
              <w:spacing w:after="0" w:line="149" w:lineRule="exact"/>
              <w:rPr>
                <w:sz w:val="20"/>
                <w:szCs w:val="20"/>
                <w:color w:val="auto"/>
              </w:rPr>
            </w:pPr>
            <w:r>
              <w:rPr>
                <w:rFonts w:ascii="Arial" w:cs="Arial" w:eastAsia="Arial" w:hAnsi="Arial"/>
                <w:sz w:val="14"/>
                <w:szCs w:val="14"/>
                <w:i w:val="1"/>
                <w:iCs w:val="1"/>
                <w:color w:val="auto"/>
              </w:rPr>
              <w:t>Methane Jane Elizabeth</w:t>
            </w:r>
          </w:p>
        </w:tc>
        <w:tc>
          <w:tcPr>
            <w:tcW w:w="560" w:type="dxa"/>
            <w:vAlign w:val="bottom"/>
            <w:gridSpan w:val="4"/>
            <w:shd w:val="clear" w:color="auto" w:fill="E8FFFA"/>
          </w:tcPr>
          <w:p>
            <w:pPr>
              <w:jc w:val="right"/>
              <w:ind w:right="12"/>
              <w:spacing w:after="0" w:line="149" w:lineRule="exact"/>
              <w:rPr>
                <w:sz w:val="20"/>
                <w:szCs w:val="20"/>
                <w:color w:val="auto"/>
              </w:rPr>
            </w:pPr>
            <w:r>
              <w:rPr>
                <w:rFonts w:ascii="Arial" w:cs="Arial" w:eastAsia="Arial" w:hAnsi="Arial"/>
                <w:sz w:val="14"/>
                <w:szCs w:val="14"/>
                <w:color w:val="auto"/>
              </w:rPr>
              <w:t>2006</w:t>
            </w:r>
          </w:p>
        </w:tc>
        <w:tc>
          <w:tcPr>
            <w:tcW w:w="100" w:type="dxa"/>
            <w:vAlign w:val="bottom"/>
            <w:shd w:val="clear" w:color="auto" w:fill="E8FFFA"/>
          </w:tcPr>
          <w:p>
            <w:pPr>
              <w:spacing w:after="0"/>
              <w:rPr>
                <w:sz w:val="12"/>
                <w:szCs w:val="12"/>
                <w:color w:val="auto"/>
              </w:rPr>
            </w:pPr>
          </w:p>
        </w:tc>
        <w:tc>
          <w:tcPr>
            <w:tcW w:w="700" w:type="dxa"/>
            <w:vAlign w:val="bottom"/>
            <w:gridSpan w:val="3"/>
            <w:shd w:val="clear" w:color="auto" w:fill="E8FFFA"/>
          </w:tcPr>
          <w:p>
            <w:pPr>
              <w:ind w:left="140"/>
              <w:spacing w:after="0" w:line="149" w:lineRule="exact"/>
              <w:rPr>
                <w:sz w:val="20"/>
                <w:szCs w:val="20"/>
                <w:color w:val="auto"/>
              </w:rPr>
            </w:pPr>
            <w:r>
              <w:rPr>
                <w:rFonts w:ascii="Arial" w:cs="Arial" w:eastAsia="Arial" w:hAnsi="Arial"/>
                <w:sz w:val="14"/>
                <w:szCs w:val="14"/>
                <w:color w:val="auto"/>
              </w:rPr>
              <w:t>145,000</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940" w:type="dxa"/>
            <w:vAlign w:val="bottom"/>
            <w:shd w:val="clear" w:color="auto" w:fill="E8FFFA"/>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80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Steam</w:t>
            </w: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1720" w:type="dxa"/>
            <w:vAlign w:val="bottom"/>
            <w:shd w:val="clear" w:color="auto" w:fill="E8FFFA"/>
          </w:tcPr>
          <w:p>
            <w:pPr>
              <w:jc w:val="center"/>
              <w:ind w:right="74"/>
              <w:spacing w:after="0" w:line="149" w:lineRule="exact"/>
              <w:rPr>
                <w:sz w:val="20"/>
                <w:szCs w:val="20"/>
                <w:color w:val="auto"/>
              </w:rPr>
            </w:pPr>
            <w:r>
              <w:rPr>
                <w:rFonts w:ascii="Arial" w:cs="Arial" w:eastAsia="Arial" w:hAnsi="Arial"/>
                <w:sz w:val="14"/>
                <w:szCs w:val="14"/>
                <w:color w:val="auto"/>
                <w:w w:val="87"/>
              </w:rPr>
              <w:t>October 2019</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700" w:type="dxa"/>
            <w:vAlign w:val="bottom"/>
            <w:shd w:val="clear" w:color="auto" w:fill="E8FFFA"/>
          </w:tcPr>
          <w:p>
            <w:pPr>
              <w:jc w:val="center"/>
              <w:ind w:right="93"/>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3</w:t>
            </w:r>
          </w:p>
        </w:tc>
        <w:tc>
          <w:tcPr>
            <w:tcW w:w="272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Methane Jane Elizabeth/</w:t>
            </w:r>
          </w:p>
        </w:tc>
        <w:tc>
          <w:tcPr>
            <w:tcW w:w="5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auto"/>
                <w:w w:val="86"/>
              </w:rPr>
              <w:t>New Customer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color w:val="auto"/>
              </w:rPr>
              <w:t>Steam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0"/>
              </w:rPr>
              <w:t>November/</w:t>
            </w:r>
          </w:p>
        </w:tc>
        <w:tc>
          <w:tcPr>
            <w:tcW w:w="940" w:type="dxa"/>
            <w:vAlign w:val="bottom"/>
            <w:gridSpan w:val="4"/>
            <w:vMerge w:val="restart"/>
          </w:tcPr>
          <w:p>
            <w:pPr>
              <w:jc w:val="center"/>
              <w:ind w:left="12"/>
              <w:spacing w:after="0"/>
              <w:rPr>
                <w:sz w:val="20"/>
                <w:szCs w:val="20"/>
                <w:color w:val="auto"/>
              </w:rPr>
            </w:pPr>
            <w:r>
              <w:rPr>
                <w:rFonts w:ascii="Arial" w:cs="Arial" w:eastAsia="Arial" w:hAnsi="Arial"/>
                <w:sz w:val="14"/>
                <w:szCs w:val="14"/>
                <w:color w:val="auto"/>
                <w:w w:val="86"/>
              </w:rPr>
              <w:t>2021-2024</w:t>
            </w:r>
          </w:p>
        </w:tc>
        <w:tc>
          <w:tcPr>
            <w:tcW w:w="0" w:type="dxa"/>
            <w:vAlign w:val="bottom"/>
          </w:tcPr>
          <w:p>
            <w:pPr>
              <w:spacing w:after="0"/>
              <w:rPr>
                <w:sz w:val="1"/>
                <w:szCs w:val="1"/>
                <w:color w:val="auto"/>
              </w:rPr>
            </w:pPr>
          </w:p>
        </w:tc>
      </w:tr>
      <w:tr>
        <w:trPr>
          <w:trHeight w:val="94"/>
        </w:trPr>
        <w:tc>
          <w:tcPr>
            <w:tcW w:w="1360" w:type="dxa"/>
            <w:vAlign w:val="bottom"/>
            <w:gridSpan w:val="2"/>
            <w:vMerge w:val="continue"/>
          </w:tcPr>
          <w:p>
            <w:pPr>
              <w:spacing w:after="0"/>
              <w:rPr>
                <w:sz w:val="8"/>
                <w:szCs w:val="8"/>
                <w:color w:val="auto"/>
              </w:rPr>
            </w:pPr>
          </w:p>
        </w:tc>
        <w:tc>
          <w:tcPr>
            <w:tcW w:w="272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Methane Alison Victoria</w:t>
            </w:r>
          </w:p>
        </w:tc>
        <w:tc>
          <w:tcPr>
            <w:tcW w:w="560" w:type="dxa"/>
            <w:vAlign w:val="bottom"/>
            <w:gridSpan w:val="4"/>
            <w:vMerge w:val="restart"/>
          </w:tcPr>
          <w:p>
            <w:pPr>
              <w:jc w:val="right"/>
              <w:ind w:right="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vMerge w:val="restart"/>
          </w:tcPr>
          <w:p>
            <w:pPr>
              <w:jc w:val="center"/>
              <w:ind w:right="74"/>
              <w:spacing w:after="0" w:line="165" w:lineRule="exact"/>
              <w:rPr>
                <w:sz w:val="20"/>
                <w:szCs w:val="20"/>
                <w:color w:val="auto"/>
              </w:rPr>
            </w:pPr>
            <w:r>
              <w:rPr>
                <w:rFonts w:ascii="Arial" w:cs="Arial" w:eastAsia="Arial" w:hAnsi="Arial"/>
                <w:sz w:val="12"/>
                <w:szCs w:val="12"/>
                <w:color w:val="auto"/>
                <w:w w:val="97"/>
              </w:rPr>
              <w:t>December 2020</w:t>
            </w:r>
            <w:r>
              <w:rPr>
                <w:rFonts w:ascii="Arial" w:cs="Arial" w:eastAsia="Arial" w:hAnsi="Arial"/>
                <w:sz w:val="19"/>
                <w:szCs w:val="19"/>
                <w:color w:val="auto"/>
                <w:w w:val="97"/>
                <w:vertAlign w:val="superscript"/>
              </w:rPr>
              <w:t>(7)</w:t>
            </w:r>
          </w:p>
        </w:tc>
        <w:tc>
          <w:tcPr>
            <w:tcW w:w="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5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Pr>
          <w:p>
            <w:pPr>
              <w:ind w:left="80"/>
              <w:spacing w:after="0" w:line="159" w:lineRule="exact"/>
              <w:rPr>
                <w:sz w:val="20"/>
                <w:szCs w:val="20"/>
                <w:color w:val="auto"/>
              </w:rPr>
            </w:pPr>
            <w:r>
              <w:rPr>
                <w:rFonts w:ascii="Arial" w:cs="Arial" w:eastAsia="Arial" w:hAnsi="Arial"/>
                <w:sz w:val="14"/>
                <w:szCs w:val="14"/>
                <w:i w:val="1"/>
                <w:iCs w:val="1"/>
                <w:color w:val="auto"/>
              </w:rPr>
              <w:t>Methane Alison Victoria</w:t>
            </w:r>
          </w:p>
        </w:tc>
        <w:tc>
          <w:tcPr>
            <w:tcW w:w="560" w:type="dxa"/>
            <w:vAlign w:val="bottom"/>
            <w:gridSpan w:val="4"/>
          </w:tcPr>
          <w:p>
            <w:pPr>
              <w:jc w:val="right"/>
              <w:ind w:right="12"/>
              <w:spacing w:after="0" w:line="15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3"/>
                <w:szCs w:val="13"/>
                <w:color w:val="auto"/>
              </w:rPr>
            </w:pPr>
          </w:p>
        </w:tc>
        <w:tc>
          <w:tcPr>
            <w:tcW w:w="70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72"/>
              <w:spacing w:after="0" w:line="159" w:lineRule="exact"/>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Steam</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center"/>
              <w:ind w:right="74"/>
              <w:spacing w:after="0" w:line="159" w:lineRule="exact"/>
              <w:rPr>
                <w:sz w:val="20"/>
                <w:szCs w:val="20"/>
                <w:color w:val="auto"/>
              </w:rPr>
            </w:pPr>
            <w:r>
              <w:rPr>
                <w:rFonts w:ascii="Arial" w:cs="Arial" w:eastAsia="Arial" w:hAnsi="Arial"/>
                <w:sz w:val="14"/>
                <w:szCs w:val="14"/>
                <w:color w:val="auto"/>
                <w:w w:val="86"/>
              </w:rPr>
              <w:t>December 2019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93"/>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4</w:t>
            </w:r>
          </w:p>
        </w:tc>
        <w:tc>
          <w:tcPr>
            <w:tcW w:w="2720" w:type="dxa"/>
            <w:vAlign w:val="bottom"/>
            <w:shd w:val="clear" w:color="auto" w:fill="E8FFFA"/>
          </w:tcPr>
          <w:p>
            <w:pPr>
              <w:ind w:left="80"/>
              <w:spacing w:after="0" w:line="149" w:lineRule="exact"/>
              <w:rPr>
                <w:sz w:val="20"/>
                <w:szCs w:val="20"/>
                <w:color w:val="auto"/>
              </w:rPr>
            </w:pPr>
            <w:r>
              <w:rPr>
                <w:rFonts w:ascii="Arial" w:cs="Arial" w:eastAsia="Arial" w:hAnsi="Arial"/>
                <w:sz w:val="14"/>
                <w:szCs w:val="14"/>
                <w:i w:val="1"/>
                <w:iCs w:val="1"/>
                <w:color w:val="auto"/>
              </w:rPr>
              <w:t>Methane Shirley Elisabeth</w:t>
            </w:r>
          </w:p>
        </w:tc>
        <w:tc>
          <w:tcPr>
            <w:tcW w:w="560" w:type="dxa"/>
            <w:vAlign w:val="bottom"/>
            <w:gridSpan w:val="4"/>
            <w:shd w:val="clear" w:color="auto" w:fill="E8FFFA"/>
          </w:tcPr>
          <w:p>
            <w:pPr>
              <w:jc w:val="right"/>
              <w:ind w:right="12"/>
              <w:spacing w:after="0" w:line="149" w:lineRule="exact"/>
              <w:rPr>
                <w:sz w:val="20"/>
                <w:szCs w:val="20"/>
                <w:color w:val="auto"/>
              </w:rPr>
            </w:pPr>
            <w:r>
              <w:rPr>
                <w:rFonts w:ascii="Arial" w:cs="Arial" w:eastAsia="Arial" w:hAnsi="Arial"/>
                <w:sz w:val="14"/>
                <w:szCs w:val="14"/>
                <w:color w:val="auto"/>
              </w:rPr>
              <w:t>2007</w:t>
            </w:r>
          </w:p>
        </w:tc>
        <w:tc>
          <w:tcPr>
            <w:tcW w:w="100" w:type="dxa"/>
            <w:vAlign w:val="bottom"/>
            <w:shd w:val="clear" w:color="auto" w:fill="E8FFFA"/>
          </w:tcPr>
          <w:p>
            <w:pPr>
              <w:spacing w:after="0"/>
              <w:rPr>
                <w:sz w:val="12"/>
                <w:szCs w:val="12"/>
                <w:color w:val="auto"/>
              </w:rPr>
            </w:pPr>
          </w:p>
        </w:tc>
        <w:tc>
          <w:tcPr>
            <w:tcW w:w="700" w:type="dxa"/>
            <w:vAlign w:val="bottom"/>
            <w:gridSpan w:val="3"/>
            <w:shd w:val="clear" w:color="auto" w:fill="E8FFFA"/>
          </w:tcPr>
          <w:p>
            <w:pPr>
              <w:ind w:left="140"/>
              <w:spacing w:after="0" w:line="149" w:lineRule="exact"/>
              <w:rPr>
                <w:sz w:val="20"/>
                <w:szCs w:val="20"/>
                <w:color w:val="auto"/>
              </w:rPr>
            </w:pPr>
            <w:r>
              <w:rPr>
                <w:rFonts w:ascii="Arial" w:cs="Arial" w:eastAsia="Arial" w:hAnsi="Arial"/>
                <w:sz w:val="14"/>
                <w:szCs w:val="14"/>
                <w:color w:val="auto"/>
              </w:rPr>
              <w:t>145,000</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940" w:type="dxa"/>
            <w:vAlign w:val="bottom"/>
            <w:shd w:val="clear" w:color="auto" w:fill="E8FFFA"/>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80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Steam</w:t>
            </w: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1720" w:type="dxa"/>
            <w:vAlign w:val="bottom"/>
            <w:shd w:val="clear" w:color="auto" w:fill="E8FFFA"/>
          </w:tcPr>
          <w:p>
            <w:pPr>
              <w:jc w:val="center"/>
              <w:ind w:right="74"/>
              <w:spacing w:after="0" w:line="149" w:lineRule="exact"/>
              <w:rPr>
                <w:sz w:val="20"/>
                <w:szCs w:val="20"/>
                <w:color w:val="auto"/>
              </w:rPr>
            </w:pPr>
            <w:r>
              <w:rPr>
                <w:rFonts w:ascii="Arial" w:cs="Arial" w:eastAsia="Arial" w:hAnsi="Arial"/>
                <w:sz w:val="14"/>
                <w:szCs w:val="14"/>
                <w:color w:val="auto"/>
                <w:w w:val="82"/>
              </w:rPr>
              <w:t>June 2020</w:t>
            </w:r>
          </w:p>
        </w:tc>
        <w:tc>
          <w:tcPr>
            <w:tcW w:w="940" w:type="dxa"/>
            <w:vAlign w:val="bottom"/>
            <w:gridSpan w:val="4"/>
            <w:shd w:val="clear" w:color="auto" w:fill="E8FFFA"/>
          </w:tcPr>
          <w:p>
            <w:pPr>
              <w:jc w:val="center"/>
              <w:ind w:left="12"/>
              <w:spacing w:after="0" w:line="149" w:lineRule="exact"/>
              <w:rPr>
                <w:sz w:val="20"/>
                <w:szCs w:val="20"/>
                <w:color w:val="auto"/>
              </w:rPr>
            </w:pPr>
            <w:r>
              <w:rPr>
                <w:rFonts w:ascii="Arial" w:cs="Arial" w:eastAsia="Arial" w:hAnsi="Arial"/>
                <w:sz w:val="14"/>
                <w:szCs w:val="14"/>
                <w:color w:val="auto"/>
                <w:w w:val="86"/>
              </w:rPr>
              <w:t>2023-2025</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b w:val="1"/>
                <w:bCs w:val="1"/>
                <w:color w:val="auto"/>
              </w:rPr>
              <w:t>5</w:t>
            </w:r>
          </w:p>
        </w:tc>
        <w:tc>
          <w:tcPr>
            <w:tcW w:w="272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Methane Heather Sally</w:t>
            </w:r>
          </w:p>
        </w:tc>
        <w:tc>
          <w:tcPr>
            <w:tcW w:w="5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7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Steam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86"/>
              </w:rPr>
              <w:t>December 2020</w:t>
            </w:r>
          </w:p>
        </w:tc>
        <w:tc>
          <w:tcPr>
            <w:tcW w:w="940" w:type="dxa"/>
            <w:vAlign w:val="bottom"/>
            <w:gridSpan w:val="4"/>
          </w:tcPr>
          <w:p>
            <w:pPr>
              <w:jc w:val="center"/>
              <w:ind w:left="12"/>
              <w:spacing w:after="0" w:line="149" w:lineRule="exact"/>
              <w:rPr>
                <w:sz w:val="20"/>
                <w:szCs w:val="20"/>
                <w:color w:val="auto"/>
              </w:rPr>
            </w:pPr>
            <w:r>
              <w:rPr>
                <w:rFonts w:ascii="Arial" w:cs="Arial" w:eastAsia="Arial" w:hAnsi="Arial"/>
                <w:sz w:val="14"/>
                <w:szCs w:val="14"/>
                <w:color w:val="auto"/>
                <w:w w:val="86"/>
              </w:rPr>
              <w:t>2023-2025</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6</w:t>
            </w:r>
          </w:p>
        </w:tc>
        <w:tc>
          <w:tcPr>
            <w:tcW w:w="2720" w:type="dxa"/>
            <w:vAlign w:val="bottom"/>
            <w:shd w:val="clear" w:color="auto" w:fill="E8FFFA"/>
          </w:tcPr>
          <w:p>
            <w:pPr>
              <w:ind w:left="80"/>
              <w:spacing w:after="0"/>
              <w:rPr>
                <w:sz w:val="20"/>
                <w:szCs w:val="20"/>
                <w:color w:val="auto"/>
              </w:rPr>
            </w:pPr>
            <w:r>
              <w:rPr>
                <w:rFonts w:ascii="Arial" w:cs="Arial" w:eastAsia="Arial" w:hAnsi="Arial"/>
                <w:sz w:val="14"/>
                <w:szCs w:val="14"/>
                <w:i w:val="1"/>
                <w:iCs w:val="1"/>
                <w:color w:val="auto"/>
              </w:rPr>
              <w:t>GasLog Shanghai</w:t>
            </w:r>
          </w:p>
        </w:tc>
        <w:tc>
          <w:tcPr>
            <w:tcW w:w="560" w:type="dxa"/>
            <w:vAlign w:val="bottom"/>
            <w:gridSpan w:val="4"/>
            <w:shd w:val="clear" w:color="auto" w:fill="E8FFFA"/>
          </w:tcPr>
          <w:p>
            <w:pPr>
              <w:jc w:val="right"/>
              <w:ind w:right="12"/>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E8FFFA"/>
          </w:tcPr>
          <w:p>
            <w:pPr>
              <w:spacing w:after="0"/>
              <w:rPr>
                <w:sz w:val="15"/>
                <w:szCs w:val="15"/>
                <w:color w:val="auto"/>
              </w:rPr>
            </w:pPr>
          </w:p>
        </w:tc>
        <w:tc>
          <w:tcPr>
            <w:tcW w:w="700" w:type="dxa"/>
            <w:vAlign w:val="bottom"/>
            <w:gridSpan w:val="3"/>
            <w:shd w:val="clear" w:color="auto" w:fill="E8FFFA"/>
          </w:tcPr>
          <w:p>
            <w:pPr>
              <w:ind w:left="140"/>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E8FFFA"/>
          </w:tcPr>
          <w:p>
            <w:pPr>
              <w:spacing w:after="0"/>
              <w:rPr>
                <w:sz w:val="15"/>
                <w:szCs w:val="15"/>
                <w:color w:val="auto"/>
              </w:rPr>
            </w:pPr>
          </w:p>
        </w:tc>
        <w:tc>
          <w:tcPr>
            <w:tcW w:w="40" w:type="dxa"/>
            <w:vAlign w:val="bottom"/>
            <w:shd w:val="clear" w:color="auto" w:fill="E8FFFA"/>
          </w:tcPr>
          <w:p>
            <w:pPr>
              <w:spacing w:after="0"/>
              <w:rPr>
                <w:sz w:val="15"/>
                <w:szCs w:val="15"/>
                <w:color w:val="auto"/>
              </w:rPr>
            </w:pPr>
          </w:p>
        </w:tc>
        <w:tc>
          <w:tcPr>
            <w:tcW w:w="1020" w:type="dxa"/>
            <w:vAlign w:val="bottom"/>
            <w:gridSpan w:val="2"/>
            <w:shd w:val="clear" w:color="auto" w:fill="E8FFFA"/>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(3)</w:t>
            </w:r>
          </w:p>
        </w:tc>
        <w:tc>
          <w:tcPr>
            <w:tcW w:w="100" w:type="dxa"/>
            <w:vAlign w:val="bottom"/>
            <w:shd w:val="clear" w:color="auto" w:fill="E8FFFA"/>
          </w:tcPr>
          <w:p>
            <w:pPr>
              <w:spacing w:after="0"/>
              <w:rPr>
                <w:sz w:val="15"/>
                <w:szCs w:val="15"/>
                <w:color w:val="auto"/>
              </w:rPr>
            </w:pPr>
          </w:p>
        </w:tc>
        <w:tc>
          <w:tcPr>
            <w:tcW w:w="40" w:type="dxa"/>
            <w:vAlign w:val="bottom"/>
            <w:shd w:val="clear" w:color="auto" w:fill="E8FFFA"/>
          </w:tcPr>
          <w:p>
            <w:pPr>
              <w:spacing w:after="0"/>
              <w:rPr>
                <w:sz w:val="15"/>
                <w:szCs w:val="15"/>
                <w:color w:val="auto"/>
              </w:rPr>
            </w:pPr>
          </w:p>
        </w:tc>
        <w:tc>
          <w:tcPr>
            <w:tcW w:w="80" w:type="dxa"/>
            <w:vAlign w:val="bottom"/>
            <w:shd w:val="clear" w:color="auto" w:fill="E8FFFA"/>
          </w:tcPr>
          <w:p>
            <w:pPr>
              <w:spacing w:after="0"/>
              <w:rPr>
                <w:sz w:val="15"/>
                <w:szCs w:val="15"/>
                <w:color w:val="auto"/>
              </w:rPr>
            </w:pPr>
          </w:p>
        </w:tc>
        <w:tc>
          <w:tcPr>
            <w:tcW w:w="800" w:type="dxa"/>
            <w:vAlign w:val="bottom"/>
            <w:gridSpan w:val="2"/>
            <w:shd w:val="clear" w:color="auto" w:fill="E8FFFA"/>
          </w:tcPr>
          <w:p>
            <w:pPr>
              <w:ind w:left="100"/>
              <w:spacing w:after="0"/>
              <w:rPr>
                <w:sz w:val="20"/>
                <w:szCs w:val="20"/>
                <w:color w:val="auto"/>
              </w:rPr>
            </w:pPr>
            <w:r>
              <w:rPr>
                <w:rFonts w:ascii="Arial" w:cs="Arial" w:eastAsia="Arial" w:hAnsi="Arial"/>
                <w:sz w:val="14"/>
                <w:szCs w:val="14"/>
                <w:color w:val="auto"/>
              </w:rPr>
              <w:t>TFDE</w:t>
            </w:r>
          </w:p>
        </w:tc>
        <w:tc>
          <w:tcPr>
            <w:tcW w:w="40" w:type="dxa"/>
            <w:vAlign w:val="bottom"/>
            <w:shd w:val="clear" w:color="auto" w:fill="E8FFFA"/>
          </w:tcPr>
          <w:p>
            <w:pPr>
              <w:spacing w:after="0"/>
              <w:rPr>
                <w:sz w:val="15"/>
                <w:szCs w:val="15"/>
                <w:color w:val="auto"/>
              </w:rPr>
            </w:pPr>
          </w:p>
        </w:tc>
        <w:tc>
          <w:tcPr>
            <w:tcW w:w="80" w:type="dxa"/>
            <w:vAlign w:val="bottom"/>
            <w:shd w:val="clear" w:color="auto" w:fill="E8FFFA"/>
          </w:tcPr>
          <w:p>
            <w:pPr>
              <w:spacing w:after="0"/>
              <w:rPr>
                <w:sz w:val="15"/>
                <w:szCs w:val="15"/>
                <w:color w:val="auto"/>
              </w:rPr>
            </w:pPr>
          </w:p>
        </w:tc>
        <w:tc>
          <w:tcPr>
            <w:tcW w:w="1720" w:type="dxa"/>
            <w:vAlign w:val="bottom"/>
            <w:shd w:val="clear" w:color="auto" w:fill="E8FFFA"/>
          </w:tcPr>
          <w:p>
            <w:pPr>
              <w:jc w:val="center"/>
              <w:ind w:right="74"/>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8FFFA"/>
          </w:tcPr>
          <w:p>
            <w:pPr>
              <w:spacing w:after="0"/>
              <w:rPr>
                <w:sz w:val="15"/>
                <w:szCs w:val="15"/>
                <w:color w:val="auto"/>
              </w:rPr>
            </w:pPr>
          </w:p>
        </w:tc>
        <w:tc>
          <w:tcPr>
            <w:tcW w:w="40" w:type="dxa"/>
            <w:vAlign w:val="bottom"/>
            <w:shd w:val="clear" w:color="auto" w:fill="E8FFFA"/>
          </w:tcPr>
          <w:p>
            <w:pPr>
              <w:spacing w:after="0"/>
              <w:rPr>
                <w:sz w:val="15"/>
                <w:szCs w:val="15"/>
                <w:color w:val="auto"/>
              </w:rPr>
            </w:pPr>
          </w:p>
        </w:tc>
        <w:tc>
          <w:tcPr>
            <w:tcW w:w="100" w:type="dxa"/>
            <w:vAlign w:val="bottom"/>
            <w:shd w:val="clear" w:color="auto" w:fill="E8FFFA"/>
          </w:tcPr>
          <w:p>
            <w:pPr>
              <w:spacing w:after="0"/>
              <w:rPr>
                <w:sz w:val="15"/>
                <w:szCs w:val="15"/>
                <w:color w:val="auto"/>
              </w:rPr>
            </w:pPr>
          </w:p>
        </w:tc>
        <w:tc>
          <w:tcPr>
            <w:tcW w:w="700" w:type="dxa"/>
            <w:vAlign w:val="bottom"/>
            <w:shd w:val="clear" w:color="auto" w:fill="E8FFFA"/>
          </w:tcPr>
          <w:p>
            <w:pPr>
              <w:jc w:val="center"/>
              <w:ind w:right="93"/>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13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7</w:t>
            </w:r>
          </w:p>
        </w:tc>
        <w:tc>
          <w:tcPr>
            <w:tcW w:w="272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GasLog Santiago</w:t>
            </w:r>
          </w:p>
        </w:tc>
        <w:tc>
          <w:tcPr>
            <w:tcW w:w="560" w:type="dxa"/>
            <w:vAlign w:val="bottom"/>
            <w:gridSpan w:val="4"/>
            <w:vMerge w:val="restart"/>
          </w:tcPr>
          <w:p>
            <w:pPr>
              <w:jc w:val="right"/>
              <w:ind w:right="1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4"/>
                <w:szCs w:val="14"/>
                <w:color w:val="auto"/>
              </w:rPr>
              <w:t>155,000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center"/>
              <w:spacing w:after="0" w:line="189" w:lineRule="exact"/>
              <w:rPr>
                <w:sz w:val="20"/>
                <w:szCs w:val="20"/>
                <w:color w:val="auto"/>
              </w:rPr>
            </w:pPr>
            <w:r>
              <w:rPr>
                <w:rFonts w:ascii="Arial" w:cs="Arial" w:eastAsia="Arial" w:hAnsi="Arial"/>
                <w:sz w:val="13"/>
                <w:szCs w:val="13"/>
                <w:color w:val="auto"/>
                <w:w w:val="93"/>
              </w:rPr>
              <w:t>New Customer</w:t>
            </w:r>
            <w:r>
              <w:rPr>
                <w:rFonts w:ascii="Arial" w:cs="Arial" w:eastAsia="Arial" w:hAnsi="Arial"/>
                <w:sz w:val="21"/>
                <w:szCs w:val="21"/>
                <w:color w:val="auto"/>
                <w:w w:val="93"/>
                <w:vertAlign w:val="superscript"/>
              </w:rPr>
              <w:t>(8)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color w:val="auto"/>
              </w:rPr>
              <w:t>TFDE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jc w:val="center"/>
              <w:ind w:right="74"/>
              <w:spacing w:after="0"/>
              <w:rPr>
                <w:sz w:val="20"/>
                <w:szCs w:val="20"/>
                <w:color w:val="auto"/>
              </w:rPr>
            </w:pPr>
            <w:r>
              <w:rPr>
                <w:rFonts w:ascii="Arial" w:cs="Arial" w:eastAsia="Arial" w:hAnsi="Arial"/>
                <w:sz w:val="14"/>
                <w:szCs w:val="14"/>
                <w:color w:val="auto"/>
                <w:w w:val="88"/>
              </w:rPr>
              <w:t>August 2018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center"/>
              <w:ind w:right="93"/>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7"/>
        </w:trPr>
        <w:tc>
          <w:tcPr>
            <w:tcW w:w="1360" w:type="dxa"/>
            <w:vAlign w:val="bottom"/>
            <w:gridSpan w:val="2"/>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2"/>
            <w:vMerge w:val="restart"/>
          </w:tcPr>
          <w:p>
            <w:pPr>
              <w:jc w:val="center"/>
              <w:spacing w:after="0" w:line="229" w:lineRule="exact"/>
              <w:rPr>
                <w:sz w:val="20"/>
                <w:szCs w:val="20"/>
                <w:color w:val="auto"/>
              </w:rPr>
            </w:pPr>
            <w:r>
              <w:rPr>
                <w:rFonts w:ascii="Arial" w:cs="Arial" w:eastAsia="Arial" w:hAnsi="Arial"/>
                <w:sz w:val="14"/>
                <w:szCs w:val="14"/>
                <w:color w:val="auto"/>
                <w:w w:val="86"/>
              </w:rPr>
              <w:t>New Customer</w:t>
            </w:r>
            <w:r>
              <w:rPr>
                <w:rFonts w:ascii="Arial" w:cs="Arial" w:eastAsia="Arial" w:hAnsi="Arial"/>
                <w:sz w:val="22"/>
                <w:szCs w:val="22"/>
                <w:color w:val="auto"/>
                <w:w w:val="86"/>
                <w:vertAlign w:val="superscript"/>
              </w:rPr>
              <w:t>(8)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jc w:val="center"/>
              <w:ind w:right="74"/>
              <w:spacing w:after="0" w:line="97" w:lineRule="exact"/>
              <w:rPr>
                <w:sz w:val="20"/>
                <w:szCs w:val="20"/>
                <w:color w:val="auto"/>
              </w:rPr>
            </w:pPr>
            <w:r>
              <w:rPr>
                <w:rFonts w:ascii="Arial" w:cs="Arial" w:eastAsia="Arial" w:hAnsi="Arial"/>
                <w:sz w:val="11"/>
                <w:szCs w:val="11"/>
                <w:color w:val="auto"/>
              </w:rPr>
              <w:t>December 2021/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vMerge w:val="restart"/>
          </w:tcPr>
          <w:p>
            <w:pPr>
              <w:jc w:val="center"/>
              <w:ind w:right="74"/>
              <w:spacing w:after="0" w:line="159" w:lineRule="exact"/>
              <w:rPr>
                <w:sz w:val="20"/>
                <w:szCs w:val="20"/>
                <w:color w:val="auto"/>
              </w:rPr>
            </w:pPr>
            <w:r>
              <w:rPr>
                <w:rFonts w:ascii="Arial" w:cs="Arial" w:eastAsia="Arial" w:hAnsi="Arial"/>
                <w:sz w:val="14"/>
                <w:szCs w:val="14"/>
                <w:color w:val="auto"/>
                <w:w w:val="87"/>
              </w:rPr>
              <w:t>January 2022</w:t>
            </w:r>
          </w:p>
        </w:tc>
        <w:tc>
          <w:tcPr>
            <w:tcW w:w="940" w:type="dxa"/>
            <w:vAlign w:val="bottom"/>
            <w:gridSpan w:val="4"/>
            <w:vMerge w:val="restart"/>
          </w:tcPr>
          <w:p>
            <w:pPr>
              <w:jc w:val="center"/>
              <w:ind w:left="12"/>
              <w:spacing w:after="0" w:line="159" w:lineRule="exact"/>
              <w:rPr>
                <w:sz w:val="20"/>
                <w:szCs w:val="20"/>
                <w:color w:val="auto"/>
              </w:rPr>
            </w:pPr>
            <w:r>
              <w:rPr>
                <w:rFonts w:ascii="Arial" w:cs="Arial" w:eastAsia="Arial" w:hAnsi="Arial"/>
                <w:sz w:val="14"/>
                <w:szCs w:val="14"/>
                <w:color w:val="auto"/>
                <w:w w:val="86"/>
              </w:rPr>
              <w:t>2022-2028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160" w:type="dxa"/>
            <w:vAlign w:val="bottom"/>
          </w:tcPr>
          <w:p>
            <w:pPr>
              <w:spacing w:after="0"/>
              <w:rPr>
                <w:sz w:val="11"/>
                <w:szCs w:val="11"/>
                <w:color w:val="auto"/>
              </w:rPr>
            </w:pPr>
          </w:p>
        </w:tc>
        <w:tc>
          <w:tcPr>
            <w:tcW w:w="200" w:type="dxa"/>
            <w:vAlign w:val="bottom"/>
            <w:vMerge w:val="restart"/>
            <w:shd w:val="clear" w:color="auto" w:fill="E8FFFA"/>
          </w:tcPr>
          <w:p>
            <w:pPr>
              <w:spacing w:after="0"/>
              <w:rPr>
                <w:sz w:val="20"/>
                <w:szCs w:val="20"/>
                <w:color w:val="auto"/>
              </w:rPr>
            </w:pPr>
            <w:r>
              <w:rPr>
                <w:rFonts w:ascii="Arial" w:cs="Arial" w:eastAsia="Arial" w:hAnsi="Arial"/>
                <w:sz w:val="14"/>
                <w:szCs w:val="14"/>
                <w:b w:val="1"/>
                <w:bCs w:val="1"/>
                <w:color w:val="auto"/>
              </w:rPr>
              <w:t>8</w:t>
            </w:r>
          </w:p>
        </w:tc>
        <w:tc>
          <w:tcPr>
            <w:tcW w:w="2720" w:type="dxa"/>
            <w:vAlign w:val="bottom"/>
            <w:vMerge w:val="restart"/>
            <w:shd w:val="clear" w:color="auto" w:fill="E8FFFA"/>
          </w:tcPr>
          <w:p>
            <w:pPr>
              <w:ind w:left="80"/>
              <w:spacing w:after="0"/>
              <w:rPr>
                <w:sz w:val="20"/>
                <w:szCs w:val="20"/>
                <w:color w:val="auto"/>
              </w:rPr>
            </w:pPr>
            <w:r>
              <w:rPr>
                <w:rFonts w:ascii="Arial" w:cs="Arial" w:eastAsia="Arial" w:hAnsi="Arial"/>
                <w:sz w:val="14"/>
                <w:szCs w:val="14"/>
                <w:i w:val="1"/>
                <w:iCs w:val="1"/>
                <w:color w:val="auto"/>
              </w:rPr>
              <w:t>GasLog Sydney</w:t>
            </w:r>
          </w:p>
        </w:tc>
        <w:tc>
          <w:tcPr>
            <w:tcW w:w="560" w:type="dxa"/>
            <w:vAlign w:val="bottom"/>
            <w:gridSpan w:val="4"/>
            <w:vMerge w:val="restart"/>
            <w:shd w:val="clear" w:color="auto" w:fill="E8FFFA"/>
          </w:tcPr>
          <w:p>
            <w:pPr>
              <w:jc w:val="right"/>
              <w:ind w:right="12"/>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E8FFFA"/>
          </w:tcPr>
          <w:p>
            <w:pPr>
              <w:spacing w:after="0"/>
              <w:rPr>
                <w:sz w:val="11"/>
                <w:szCs w:val="11"/>
                <w:color w:val="auto"/>
              </w:rPr>
            </w:pPr>
          </w:p>
        </w:tc>
        <w:tc>
          <w:tcPr>
            <w:tcW w:w="700" w:type="dxa"/>
            <w:vAlign w:val="bottom"/>
            <w:gridSpan w:val="3"/>
            <w:vMerge w:val="restart"/>
            <w:shd w:val="clear" w:color="auto" w:fill="E8FFFA"/>
          </w:tcPr>
          <w:p>
            <w:pPr>
              <w:ind w:left="140"/>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E8FFFA"/>
          </w:tcPr>
          <w:p>
            <w:pPr>
              <w:spacing w:after="0"/>
              <w:rPr>
                <w:sz w:val="11"/>
                <w:szCs w:val="11"/>
                <w:color w:val="auto"/>
              </w:rPr>
            </w:pPr>
          </w:p>
        </w:tc>
        <w:tc>
          <w:tcPr>
            <w:tcW w:w="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940" w:type="dxa"/>
            <w:vAlign w:val="bottom"/>
            <w:shd w:val="clear" w:color="auto" w:fill="E8FFFA"/>
          </w:tcPr>
          <w:p>
            <w:pPr>
              <w:jc w:val="center"/>
              <w:ind w:right="72"/>
              <w:spacing w:after="0" w:line="138"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1"/>
                <w:szCs w:val="11"/>
                <w:color w:val="auto"/>
              </w:rPr>
            </w:pPr>
          </w:p>
        </w:tc>
        <w:tc>
          <w:tcPr>
            <w:tcW w:w="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800" w:type="dxa"/>
            <w:vAlign w:val="bottom"/>
            <w:gridSpan w:val="2"/>
            <w:vMerge w:val="restart"/>
            <w:shd w:val="clear" w:color="auto" w:fill="E8FFFA"/>
          </w:tcPr>
          <w:p>
            <w:pPr>
              <w:ind w:left="100"/>
              <w:spacing w:after="0"/>
              <w:rPr>
                <w:sz w:val="20"/>
                <w:szCs w:val="20"/>
                <w:color w:val="auto"/>
              </w:rPr>
            </w:pPr>
            <w:r>
              <w:rPr>
                <w:rFonts w:ascii="Arial" w:cs="Arial" w:eastAsia="Arial" w:hAnsi="Arial"/>
                <w:sz w:val="14"/>
                <w:szCs w:val="14"/>
                <w:color w:val="auto"/>
              </w:rPr>
              <w:t>TFDE</w:t>
            </w:r>
          </w:p>
        </w:tc>
        <w:tc>
          <w:tcPr>
            <w:tcW w:w="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1720" w:type="dxa"/>
            <w:vAlign w:val="bottom"/>
            <w:shd w:val="clear" w:color="auto" w:fill="E8FFFA"/>
          </w:tcPr>
          <w:p>
            <w:pPr>
              <w:jc w:val="center"/>
              <w:ind w:right="74"/>
              <w:spacing w:after="0" w:line="138" w:lineRule="exact"/>
              <w:rPr>
                <w:sz w:val="20"/>
                <w:szCs w:val="20"/>
                <w:color w:val="auto"/>
              </w:rPr>
            </w:pPr>
            <w:r>
              <w:rPr>
                <w:rFonts w:ascii="Arial" w:cs="Arial" w:eastAsia="Arial" w:hAnsi="Arial"/>
                <w:sz w:val="14"/>
                <w:szCs w:val="14"/>
                <w:color w:val="auto"/>
                <w:w w:val="86"/>
              </w:rPr>
              <w:t>September 2018</w:t>
            </w:r>
          </w:p>
        </w:tc>
        <w:tc>
          <w:tcPr>
            <w:tcW w:w="100" w:type="dxa"/>
            <w:vAlign w:val="bottom"/>
            <w:shd w:val="clear" w:color="auto" w:fill="E8FFFA"/>
          </w:tcPr>
          <w:p>
            <w:pPr>
              <w:spacing w:after="0"/>
              <w:rPr>
                <w:sz w:val="11"/>
                <w:szCs w:val="11"/>
                <w:color w:val="auto"/>
              </w:rPr>
            </w:pPr>
          </w:p>
        </w:tc>
        <w:tc>
          <w:tcPr>
            <w:tcW w:w="4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700" w:type="dxa"/>
            <w:vAlign w:val="bottom"/>
            <w:shd w:val="clear" w:color="auto" w:fill="E8FFFA"/>
          </w:tcPr>
          <w:p>
            <w:pPr>
              <w:jc w:val="center"/>
              <w:ind w:right="93"/>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200" w:type="dxa"/>
            <w:vAlign w:val="bottom"/>
            <w:vMerge w:val="continue"/>
            <w:shd w:val="clear" w:color="auto" w:fill="E8FFFA"/>
          </w:tcPr>
          <w:p>
            <w:pPr>
              <w:spacing w:after="0"/>
              <w:rPr>
                <w:sz w:val="7"/>
                <w:szCs w:val="7"/>
                <w:color w:val="auto"/>
              </w:rPr>
            </w:pPr>
          </w:p>
        </w:tc>
        <w:tc>
          <w:tcPr>
            <w:tcW w:w="2720" w:type="dxa"/>
            <w:vAlign w:val="bottom"/>
            <w:vMerge w:val="continue"/>
            <w:shd w:val="clear" w:color="auto" w:fill="E8FFFA"/>
          </w:tcPr>
          <w:p>
            <w:pPr>
              <w:spacing w:after="0"/>
              <w:rPr>
                <w:sz w:val="7"/>
                <w:szCs w:val="7"/>
                <w:color w:val="auto"/>
              </w:rPr>
            </w:pPr>
          </w:p>
        </w:tc>
        <w:tc>
          <w:tcPr>
            <w:tcW w:w="560" w:type="dxa"/>
            <w:vAlign w:val="bottom"/>
            <w:gridSpan w:val="4"/>
            <w:vMerge w:val="continue"/>
            <w:shd w:val="clear" w:color="auto" w:fill="E8FFFA"/>
          </w:tcPr>
          <w:p>
            <w:pPr>
              <w:spacing w:after="0"/>
              <w:rPr>
                <w:sz w:val="7"/>
                <w:szCs w:val="7"/>
                <w:color w:val="auto"/>
              </w:rPr>
            </w:pPr>
          </w:p>
        </w:tc>
        <w:tc>
          <w:tcPr>
            <w:tcW w:w="100" w:type="dxa"/>
            <w:vAlign w:val="bottom"/>
            <w:shd w:val="clear" w:color="auto" w:fill="E8FFFA"/>
          </w:tcPr>
          <w:p>
            <w:pPr>
              <w:spacing w:after="0"/>
              <w:rPr>
                <w:sz w:val="7"/>
                <w:szCs w:val="7"/>
                <w:color w:val="auto"/>
              </w:rPr>
            </w:pPr>
          </w:p>
        </w:tc>
        <w:tc>
          <w:tcPr>
            <w:tcW w:w="700" w:type="dxa"/>
            <w:vAlign w:val="bottom"/>
            <w:gridSpan w:val="3"/>
            <w:vMerge w:val="continue"/>
            <w:shd w:val="clear" w:color="auto" w:fill="E8FFFA"/>
          </w:tcPr>
          <w:p>
            <w:pPr>
              <w:spacing w:after="0"/>
              <w:rPr>
                <w:sz w:val="7"/>
                <w:szCs w:val="7"/>
                <w:color w:val="auto"/>
              </w:rPr>
            </w:pPr>
          </w:p>
        </w:tc>
        <w:tc>
          <w:tcPr>
            <w:tcW w:w="100" w:type="dxa"/>
            <w:vAlign w:val="bottom"/>
            <w:shd w:val="clear" w:color="auto" w:fill="E8FFFA"/>
          </w:tcPr>
          <w:p>
            <w:pPr>
              <w:spacing w:after="0"/>
              <w:rPr>
                <w:sz w:val="7"/>
                <w:szCs w:val="7"/>
                <w:color w:val="auto"/>
              </w:rPr>
            </w:pPr>
          </w:p>
        </w:tc>
        <w:tc>
          <w:tcPr>
            <w:tcW w:w="40" w:type="dxa"/>
            <w:vAlign w:val="bottom"/>
            <w:shd w:val="clear" w:color="auto" w:fill="E8FFFA"/>
          </w:tcPr>
          <w:p>
            <w:pPr>
              <w:spacing w:after="0"/>
              <w:rPr>
                <w:sz w:val="7"/>
                <w:szCs w:val="7"/>
                <w:color w:val="auto"/>
              </w:rPr>
            </w:pPr>
          </w:p>
        </w:tc>
        <w:tc>
          <w:tcPr>
            <w:tcW w:w="80" w:type="dxa"/>
            <w:vAlign w:val="bottom"/>
            <w:shd w:val="clear" w:color="auto" w:fill="E8FFFA"/>
          </w:tcPr>
          <w:p>
            <w:pPr>
              <w:spacing w:after="0"/>
              <w:rPr>
                <w:sz w:val="7"/>
                <w:szCs w:val="7"/>
                <w:color w:val="auto"/>
              </w:rPr>
            </w:pPr>
          </w:p>
        </w:tc>
        <w:tc>
          <w:tcPr>
            <w:tcW w:w="940" w:type="dxa"/>
            <w:vAlign w:val="bottom"/>
            <w:vMerge w:val="restart"/>
            <w:shd w:val="clear" w:color="auto" w:fill="E8FFFA"/>
          </w:tcPr>
          <w:p>
            <w:pPr>
              <w:jc w:val="center"/>
              <w:ind w:right="72"/>
              <w:spacing w:after="0" w:line="159" w:lineRule="exact"/>
              <w:rPr>
                <w:sz w:val="20"/>
                <w:szCs w:val="20"/>
                <w:color w:val="auto"/>
              </w:rPr>
            </w:pPr>
            <w:r>
              <w:rPr>
                <w:rFonts w:ascii="Arial" w:cs="Arial" w:eastAsia="Arial" w:hAnsi="Arial"/>
                <w:sz w:val="14"/>
                <w:szCs w:val="14"/>
                <w:color w:val="auto"/>
                <w:w w:val="84"/>
              </w:rPr>
              <w:t>Cheniere</w:t>
            </w:r>
          </w:p>
        </w:tc>
        <w:tc>
          <w:tcPr>
            <w:tcW w:w="100" w:type="dxa"/>
            <w:vAlign w:val="bottom"/>
            <w:shd w:val="clear" w:color="auto" w:fill="E8FFFA"/>
          </w:tcPr>
          <w:p>
            <w:pPr>
              <w:spacing w:after="0"/>
              <w:rPr>
                <w:sz w:val="7"/>
                <w:szCs w:val="7"/>
                <w:color w:val="auto"/>
              </w:rPr>
            </w:pPr>
          </w:p>
        </w:tc>
        <w:tc>
          <w:tcPr>
            <w:tcW w:w="40" w:type="dxa"/>
            <w:vAlign w:val="bottom"/>
            <w:shd w:val="clear" w:color="auto" w:fill="E8FFFA"/>
          </w:tcPr>
          <w:p>
            <w:pPr>
              <w:spacing w:after="0"/>
              <w:rPr>
                <w:sz w:val="7"/>
                <w:szCs w:val="7"/>
                <w:color w:val="auto"/>
              </w:rPr>
            </w:pPr>
          </w:p>
        </w:tc>
        <w:tc>
          <w:tcPr>
            <w:tcW w:w="80" w:type="dxa"/>
            <w:vAlign w:val="bottom"/>
            <w:shd w:val="clear" w:color="auto" w:fill="E8FFFA"/>
          </w:tcPr>
          <w:p>
            <w:pPr>
              <w:spacing w:after="0"/>
              <w:rPr>
                <w:sz w:val="7"/>
                <w:szCs w:val="7"/>
                <w:color w:val="auto"/>
              </w:rPr>
            </w:pPr>
          </w:p>
        </w:tc>
        <w:tc>
          <w:tcPr>
            <w:tcW w:w="800" w:type="dxa"/>
            <w:vAlign w:val="bottom"/>
            <w:gridSpan w:val="2"/>
            <w:vMerge w:val="continue"/>
            <w:shd w:val="clear" w:color="auto" w:fill="E8FFFA"/>
          </w:tcPr>
          <w:p>
            <w:pPr>
              <w:spacing w:after="0"/>
              <w:rPr>
                <w:sz w:val="7"/>
                <w:szCs w:val="7"/>
                <w:color w:val="auto"/>
              </w:rPr>
            </w:pPr>
          </w:p>
        </w:tc>
        <w:tc>
          <w:tcPr>
            <w:tcW w:w="40" w:type="dxa"/>
            <w:vAlign w:val="bottom"/>
            <w:shd w:val="clear" w:color="auto" w:fill="E8FFFA"/>
          </w:tcPr>
          <w:p>
            <w:pPr>
              <w:spacing w:after="0"/>
              <w:rPr>
                <w:sz w:val="7"/>
                <w:szCs w:val="7"/>
                <w:color w:val="auto"/>
              </w:rPr>
            </w:pPr>
          </w:p>
        </w:tc>
        <w:tc>
          <w:tcPr>
            <w:tcW w:w="80" w:type="dxa"/>
            <w:vAlign w:val="bottom"/>
            <w:shd w:val="clear" w:color="auto" w:fill="E8FFFA"/>
          </w:tcPr>
          <w:p>
            <w:pPr>
              <w:spacing w:after="0"/>
              <w:rPr>
                <w:sz w:val="7"/>
                <w:szCs w:val="7"/>
                <w:color w:val="auto"/>
              </w:rPr>
            </w:pPr>
          </w:p>
        </w:tc>
        <w:tc>
          <w:tcPr>
            <w:tcW w:w="1720" w:type="dxa"/>
            <w:vAlign w:val="bottom"/>
            <w:vMerge w:val="restart"/>
            <w:shd w:val="clear" w:color="auto" w:fill="E8FFFA"/>
          </w:tcPr>
          <w:p>
            <w:pPr>
              <w:jc w:val="center"/>
              <w:ind w:right="74"/>
              <w:spacing w:after="0" w:line="159" w:lineRule="exact"/>
              <w:rPr>
                <w:sz w:val="20"/>
                <w:szCs w:val="20"/>
                <w:color w:val="auto"/>
              </w:rPr>
            </w:pPr>
            <w:r>
              <w:rPr>
                <w:rFonts w:ascii="Arial" w:cs="Arial" w:eastAsia="Arial" w:hAnsi="Arial"/>
                <w:sz w:val="14"/>
                <w:szCs w:val="14"/>
                <w:color w:val="auto"/>
                <w:w w:val="89"/>
              </w:rPr>
              <w:t>March 2020</w:t>
            </w:r>
          </w:p>
        </w:tc>
        <w:tc>
          <w:tcPr>
            <w:tcW w:w="940" w:type="dxa"/>
            <w:vAlign w:val="bottom"/>
            <w:gridSpan w:val="4"/>
            <w:vMerge w:val="restart"/>
            <w:shd w:val="clear" w:color="auto" w:fill="E8FFFA"/>
          </w:tcPr>
          <w:p>
            <w:pPr>
              <w:jc w:val="center"/>
              <w:ind w:left="12"/>
              <w:spacing w:after="0" w:line="159" w:lineRule="exact"/>
              <w:rPr>
                <w:sz w:val="20"/>
                <w:szCs w:val="20"/>
                <w:color w:val="auto"/>
              </w:rPr>
            </w:pPr>
            <w:r>
              <w:rPr>
                <w:rFonts w:ascii="Arial" w:cs="Arial" w:eastAsia="Arial" w:hAnsi="Arial"/>
                <w:sz w:val="14"/>
                <w:szCs w:val="14"/>
                <w:color w:val="auto"/>
                <w:w w:val="86"/>
              </w:rPr>
              <w:t>2020-2021</w:t>
            </w: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200" w:type="dxa"/>
            <w:vAlign w:val="bottom"/>
            <w:shd w:val="clear" w:color="auto" w:fill="E8FFFA"/>
          </w:tcPr>
          <w:p>
            <w:pPr>
              <w:spacing w:after="0"/>
              <w:rPr>
                <w:sz w:val="5"/>
                <w:szCs w:val="5"/>
                <w:color w:val="auto"/>
              </w:rPr>
            </w:pPr>
          </w:p>
        </w:tc>
        <w:tc>
          <w:tcPr>
            <w:tcW w:w="2720" w:type="dxa"/>
            <w:vAlign w:val="bottom"/>
            <w:shd w:val="clear" w:color="auto" w:fill="E8FFFA"/>
          </w:tcPr>
          <w:p>
            <w:pPr>
              <w:spacing w:after="0"/>
              <w:rPr>
                <w:sz w:val="5"/>
                <w:szCs w:val="5"/>
                <w:color w:val="auto"/>
              </w:rPr>
            </w:pPr>
          </w:p>
        </w:tc>
        <w:tc>
          <w:tcPr>
            <w:tcW w:w="80" w:type="dxa"/>
            <w:vAlign w:val="bottom"/>
            <w:shd w:val="clear" w:color="auto" w:fill="E8FFFA"/>
          </w:tcPr>
          <w:p>
            <w:pPr>
              <w:spacing w:after="0"/>
              <w:rPr>
                <w:sz w:val="5"/>
                <w:szCs w:val="5"/>
                <w:color w:val="auto"/>
              </w:rPr>
            </w:pPr>
          </w:p>
        </w:tc>
        <w:tc>
          <w:tcPr>
            <w:tcW w:w="40" w:type="dxa"/>
            <w:vAlign w:val="bottom"/>
            <w:shd w:val="clear" w:color="auto" w:fill="E8FFFA"/>
          </w:tcPr>
          <w:p>
            <w:pPr>
              <w:spacing w:after="0"/>
              <w:rPr>
                <w:sz w:val="5"/>
                <w:szCs w:val="5"/>
                <w:color w:val="auto"/>
              </w:rPr>
            </w:pPr>
          </w:p>
        </w:tc>
        <w:tc>
          <w:tcPr>
            <w:tcW w:w="100" w:type="dxa"/>
            <w:vAlign w:val="bottom"/>
            <w:shd w:val="clear" w:color="auto" w:fill="E8FFFA"/>
          </w:tcPr>
          <w:p>
            <w:pPr>
              <w:spacing w:after="0"/>
              <w:rPr>
                <w:sz w:val="5"/>
                <w:szCs w:val="5"/>
                <w:color w:val="auto"/>
              </w:rPr>
            </w:pPr>
          </w:p>
        </w:tc>
        <w:tc>
          <w:tcPr>
            <w:tcW w:w="340" w:type="dxa"/>
            <w:vAlign w:val="bottom"/>
            <w:shd w:val="clear" w:color="auto" w:fill="E8FFFA"/>
          </w:tcPr>
          <w:p>
            <w:pPr>
              <w:spacing w:after="0"/>
              <w:rPr>
                <w:sz w:val="5"/>
                <w:szCs w:val="5"/>
                <w:color w:val="auto"/>
              </w:rPr>
            </w:pPr>
          </w:p>
        </w:tc>
        <w:tc>
          <w:tcPr>
            <w:tcW w:w="100" w:type="dxa"/>
            <w:vAlign w:val="bottom"/>
            <w:shd w:val="clear" w:color="auto" w:fill="E8FFFA"/>
          </w:tcPr>
          <w:p>
            <w:pPr>
              <w:spacing w:after="0"/>
              <w:rPr>
                <w:sz w:val="5"/>
                <w:szCs w:val="5"/>
                <w:color w:val="auto"/>
              </w:rPr>
            </w:pPr>
          </w:p>
        </w:tc>
        <w:tc>
          <w:tcPr>
            <w:tcW w:w="40" w:type="dxa"/>
            <w:vAlign w:val="bottom"/>
            <w:shd w:val="clear" w:color="auto" w:fill="E8FFFA"/>
          </w:tcPr>
          <w:p>
            <w:pPr>
              <w:spacing w:after="0"/>
              <w:rPr>
                <w:sz w:val="5"/>
                <w:szCs w:val="5"/>
                <w:color w:val="auto"/>
              </w:rPr>
            </w:pPr>
          </w:p>
        </w:tc>
        <w:tc>
          <w:tcPr>
            <w:tcW w:w="80" w:type="dxa"/>
            <w:vAlign w:val="bottom"/>
            <w:shd w:val="clear" w:color="auto" w:fill="E8FFFA"/>
          </w:tcPr>
          <w:p>
            <w:pPr>
              <w:spacing w:after="0"/>
              <w:rPr>
                <w:sz w:val="5"/>
                <w:szCs w:val="5"/>
                <w:color w:val="auto"/>
              </w:rPr>
            </w:pPr>
          </w:p>
        </w:tc>
        <w:tc>
          <w:tcPr>
            <w:tcW w:w="580" w:type="dxa"/>
            <w:vAlign w:val="bottom"/>
            <w:shd w:val="clear" w:color="auto" w:fill="E8FFFA"/>
          </w:tcPr>
          <w:p>
            <w:pPr>
              <w:spacing w:after="0"/>
              <w:rPr>
                <w:sz w:val="5"/>
                <w:szCs w:val="5"/>
                <w:color w:val="auto"/>
              </w:rPr>
            </w:pPr>
          </w:p>
        </w:tc>
        <w:tc>
          <w:tcPr>
            <w:tcW w:w="100" w:type="dxa"/>
            <w:vAlign w:val="bottom"/>
            <w:shd w:val="clear" w:color="auto" w:fill="E8FFFA"/>
          </w:tcPr>
          <w:p>
            <w:pPr>
              <w:spacing w:after="0"/>
              <w:rPr>
                <w:sz w:val="5"/>
                <w:szCs w:val="5"/>
                <w:color w:val="auto"/>
              </w:rPr>
            </w:pPr>
          </w:p>
        </w:tc>
        <w:tc>
          <w:tcPr>
            <w:tcW w:w="40" w:type="dxa"/>
            <w:vAlign w:val="bottom"/>
            <w:shd w:val="clear" w:color="auto" w:fill="E8FFFA"/>
          </w:tcPr>
          <w:p>
            <w:pPr>
              <w:spacing w:after="0"/>
              <w:rPr>
                <w:sz w:val="5"/>
                <w:szCs w:val="5"/>
                <w:color w:val="auto"/>
              </w:rPr>
            </w:pPr>
          </w:p>
        </w:tc>
        <w:tc>
          <w:tcPr>
            <w:tcW w:w="80" w:type="dxa"/>
            <w:vAlign w:val="bottom"/>
            <w:shd w:val="clear" w:color="auto" w:fill="E8FFFA"/>
          </w:tcPr>
          <w:p>
            <w:pPr>
              <w:spacing w:after="0"/>
              <w:rPr>
                <w:sz w:val="5"/>
                <w:szCs w:val="5"/>
                <w:color w:val="auto"/>
              </w:rPr>
            </w:pPr>
          </w:p>
        </w:tc>
        <w:tc>
          <w:tcPr>
            <w:tcW w:w="940" w:type="dxa"/>
            <w:vAlign w:val="bottom"/>
            <w:vMerge w:val="continue"/>
            <w:shd w:val="clear" w:color="auto" w:fill="E8FFFA"/>
          </w:tcPr>
          <w:p>
            <w:pPr>
              <w:spacing w:after="0"/>
              <w:rPr>
                <w:sz w:val="5"/>
                <w:szCs w:val="5"/>
                <w:color w:val="auto"/>
              </w:rPr>
            </w:pPr>
          </w:p>
        </w:tc>
        <w:tc>
          <w:tcPr>
            <w:tcW w:w="100" w:type="dxa"/>
            <w:vAlign w:val="bottom"/>
            <w:shd w:val="clear" w:color="auto" w:fill="E8FFFA"/>
          </w:tcPr>
          <w:p>
            <w:pPr>
              <w:spacing w:after="0"/>
              <w:rPr>
                <w:sz w:val="5"/>
                <w:szCs w:val="5"/>
                <w:color w:val="auto"/>
              </w:rPr>
            </w:pPr>
          </w:p>
        </w:tc>
        <w:tc>
          <w:tcPr>
            <w:tcW w:w="40" w:type="dxa"/>
            <w:vAlign w:val="bottom"/>
            <w:shd w:val="clear" w:color="auto" w:fill="E8FFFA"/>
          </w:tcPr>
          <w:p>
            <w:pPr>
              <w:spacing w:after="0"/>
              <w:rPr>
                <w:sz w:val="5"/>
                <w:szCs w:val="5"/>
                <w:color w:val="auto"/>
              </w:rPr>
            </w:pPr>
          </w:p>
        </w:tc>
        <w:tc>
          <w:tcPr>
            <w:tcW w:w="80" w:type="dxa"/>
            <w:vAlign w:val="bottom"/>
            <w:shd w:val="clear" w:color="auto" w:fill="E8FFFA"/>
          </w:tcPr>
          <w:p>
            <w:pPr>
              <w:spacing w:after="0"/>
              <w:rPr>
                <w:sz w:val="5"/>
                <w:szCs w:val="5"/>
                <w:color w:val="auto"/>
              </w:rPr>
            </w:pPr>
          </w:p>
        </w:tc>
        <w:tc>
          <w:tcPr>
            <w:tcW w:w="700" w:type="dxa"/>
            <w:vAlign w:val="bottom"/>
            <w:shd w:val="clear" w:color="auto" w:fill="E8FFFA"/>
          </w:tcPr>
          <w:p>
            <w:pPr>
              <w:spacing w:after="0"/>
              <w:rPr>
                <w:sz w:val="5"/>
                <w:szCs w:val="5"/>
                <w:color w:val="auto"/>
              </w:rPr>
            </w:pPr>
          </w:p>
        </w:tc>
        <w:tc>
          <w:tcPr>
            <w:tcW w:w="100" w:type="dxa"/>
            <w:vAlign w:val="bottom"/>
            <w:shd w:val="clear" w:color="auto" w:fill="E8FFFA"/>
          </w:tcPr>
          <w:p>
            <w:pPr>
              <w:spacing w:after="0"/>
              <w:rPr>
                <w:sz w:val="5"/>
                <w:szCs w:val="5"/>
                <w:color w:val="auto"/>
              </w:rPr>
            </w:pPr>
          </w:p>
        </w:tc>
        <w:tc>
          <w:tcPr>
            <w:tcW w:w="40" w:type="dxa"/>
            <w:vAlign w:val="bottom"/>
            <w:shd w:val="clear" w:color="auto" w:fill="E8FFFA"/>
          </w:tcPr>
          <w:p>
            <w:pPr>
              <w:spacing w:after="0"/>
              <w:rPr>
                <w:sz w:val="5"/>
                <w:szCs w:val="5"/>
                <w:color w:val="auto"/>
              </w:rPr>
            </w:pPr>
          </w:p>
        </w:tc>
        <w:tc>
          <w:tcPr>
            <w:tcW w:w="80" w:type="dxa"/>
            <w:vAlign w:val="bottom"/>
            <w:shd w:val="clear" w:color="auto" w:fill="E8FFFA"/>
          </w:tcPr>
          <w:p>
            <w:pPr>
              <w:spacing w:after="0"/>
              <w:rPr>
                <w:sz w:val="5"/>
                <w:szCs w:val="5"/>
                <w:color w:val="auto"/>
              </w:rPr>
            </w:pPr>
          </w:p>
        </w:tc>
        <w:tc>
          <w:tcPr>
            <w:tcW w:w="1720" w:type="dxa"/>
            <w:vAlign w:val="bottom"/>
            <w:vMerge w:val="continue"/>
            <w:shd w:val="clear" w:color="auto" w:fill="E8FFFA"/>
          </w:tcPr>
          <w:p>
            <w:pPr>
              <w:spacing w:after="0"/>
              <w:rPr>
                <w:sz w:val="5"/>
                <w:szCs w:val="5"/>
                <w:color w:val="auto"/>
              </w:rPr>
            </w:pPr>
          </w:p>
        </w:tc>
        <w:tc>
          <w:tcPr>
            <w:tcW w:w="940" w:type="dxa"/>
            <w:vAlign w:val="bottom"/>
            <w:gridSpan w:val="4"/>
            <w:vMerge w:val="continue"/>
            <w:shd w:val="clear" w:color="auto" w:fill="E8FFFA"/>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b w:val="1"/>
                <w:bCs w:val="1"/>
                <w:color w:val="auto"/>
              </w:rPr>
              <w:t>9</w:t>
            </w:r>
          </w:p>
        </w:tc>
        <w:tc>
          <w:tcPr>
            <w:tcW w:w="272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GasLog Seattle</w:t>
            </w:r>
          </w:p>
        </w:tc>
        <w:tc>
          <w:tcPr>
            <w:tcW w:w="5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7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155,000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TFDE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86"/>
              </w:rPr>
              <w:t>December 2020</w:t>
            </w:r>
          </w:p>
        </w:tc>
        <w:tc>
          <w:tcPr>
            <w:tcW w:w="940" w:type="dxa"/>
            <w:vAlign w:val="bottom"/>
            <w:gridSpan w:val="4"/>
          </w:tcPr>
          <w:p>
            <w:pPr>
              <w:jc w:val="center"/>
              <w:ind w:left="12"/>
              <w:spacing w:after="0" w:line="149" w:lineRule="exact"/>
              <w:rPr>
                <w:sz w:val="20"/>
                <w:szCs w:val="20"/>
                <w:color w:val="auto"/>
              </w:rPr>
            </w:pPr>
            <w:r>
              <w:rPr>
                <w:rFonts w:ascii="Arial" w:cs="Arial" w:eastAsia="Arial" w:hAnsi="Arial"/>
                <w:sz w:val="14"/>
                <w:szCs w:val="14"/>
                <w:color w:val="auto"/>
                <w:w w:val="86"/>
              </w:rPr>
              <w:t>2025-2030</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10</w:t>
            </w:r>
          </w:p>
        </w:tc>
        <w:tc>
          <w:tcPr>
            <w:tcW w:w="2720" w:type="dxa"/>
            <w:vAlign w:val="bottom"/>
            <w:shd w:val="clear" w:color="auto" w:fill="E8FFFA"/>
          </w:tcPr>
          <w:p>
            <w:pPr>
              <w:ind w:left="80"/>
              <w:spacing w:after="0" w:line="149" w:lineRule="exact"/>
              <w:rPr>
                <w:sz w:val="20"/>
                <w:szCs w:val="20"/>
                <w:color w:val="auto"/>
              </w:rPr>
            </w:pPr>
            <w:r>
              <w:rPr>
                <w:rFonts w:ascii="Arial" w:cs="Arial" w:eastAsia="Arial" w:hAnsi="Arial"/>
                <w:sz w:val="14"/>
                <w:szCs w:val="14"/>
                <w:i w:val="1"/>
                <w:iCs w:val="1"/>
                <w:color w:val="auto"/>
              </w:rPr>
              <w:t>Solaris</w:t>
            </w:r>
          </w:p>
        </w:tc>
        <w:tc>
          <w:tcPr>
            <w:tcW w:w="560" w:type="dxa"/>
            <w:vAlign w:val="bottom"/>
            <w:gridSpan w:val="4"/>
            <w:shd w:val="clear" w:color="auto" w:fill="E8FFFA"/>
          </w:tcPr>
          <w:p>
            <w:pPr>
              <w:jc w:val="right"/>
              <w:ind w:right="12"/>
              <w:spacing w:after="0" w:line="149" w:lineRule="exact"/>
              <w:rPr>
                <w:sz w:val="20"/>
                <w:szCs w:val="20"/>
                <w:color w:val="auto"/>
              </w:rPr>
            </w:pPr>
            <w:r>
              <w:rPr>
                <w:rFonts w:ascii="Arial" w:cs="Arial" w:eastAsia="Arial" w:hAnsi="Arial"/>
                <w:sz w:val="14"/>
                <w:szCs w:val="14"/>
                <w:color w:val="auto"/>
              </w:rPr>
              <w:t>2014</w:t>
            </w:r>
          </w:p>
        </w:tc>
        <w:tc>
          <w:tcPr>
            <w:tcW w:w="100" w:type="dxa"/>
            <w:vAlign w:val="bottom"/>
            <w:shd w:val="clear" w:color="auto" w:fill="E8FFFA"/>
          </w:tcPr>
          <w:p>
            <w:pPr>
              <w:spacing w:after="0"/>
              <w:rPr>
                <w:sz w:val="12"/>
                <w:szCs w:val="12"/>
                <w:color w:val="auto"/>
              </w:rPr>
            </w:pPr>
          </w:p>
        </w:tc>
        <w:tc>
          <w:tcPr>
            <w:tcW w:w="700" w:type="dxa"/>
            <w:vAlign w:val="bottom"/>
            <w:gridSpan w:val="3"/>
            <w:shd w:val="clear" w:color="auto" w:fill="E8FFFA"/>
          </w:tcPr>
          <w:p>
            <w:pPr>
              <w:ind w:left="140"/>
              <w:spacing w:after="0" w:line="149" w:lineRule="exact"/>
              <w:rPr>
                <w:sz w:val="20"/>
                <w:szCs w:val="20"/>
                <w:color w:val="auto"/>
              </w:rPr>
            </w:pPr>
            <w:r>
              <w:rPr>
                <w:rFonts w:ascii="Arial" w:cs="Arial" w:eastAsia="Arial" w:hAnsi="Arial"/>
                <w:sz w:val="14"/>
                <w:szCs w:val="14"/>
                <w:color w:val="auto"/>
              </w:rPr>
              <w:t>155,000</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940" w:type="dxa"/>
            <w:vAlign w:val="bottom"/>
            <w:shd w:val="clear" w:color="auto" w:fill="E8FFFA"/>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80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TFDE</w:t>
            </w: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1720" w:type="dxa"/>
            <w:vAlign w:val="bottom"/>
            <w:shd w:val="clear" w:color="auto" w:fill="E8FFFA"/>
          </w:tcPr>
          <w:p>
            <w:pPr>
              <w:jc w:val="center"/>
              <w:ind w:right="74"/>
              <w:spacing w:after="0" w:line="149" w:lineRule="exact"/>
              <w:rPr>
                <w:sz w:val="20"/>
                <w:szCs w:val="20"/>
                <w:color w:val="auto"/>
              </w:rPr>
            </w:pPr>
            <w:r>
              <w:rPr>
                <w:rFonts w:ascii="Arial" w:cs="Arial" w:eastAsia="Arial" w:hAnsi="Arial"/>
                <w:sz w:val="14"/>
                <w:szCs w:val="14"/>
                <w:color w:val="auto"/>
                <w:w w:val="82"/>
              </w:rPr>
              <w:t>June 2021</w:t>
            </w:r>
          </w:p>
        </w:tc>
        <w:tc>
          <w:tcPr>
            <w:tcW w:w="940" w:type="dxa"/>
            <w:vAlign w:val="bottom"/>
            <w:gridSpan w:val="4"/>
            <w:shd w:val="clear" w:color="auto" w:fill="E8FFFA"/>
          </w:tcPr>
          <w:p>
            <w:pPr>
              <w:jc w:val="center"/>
              <w:ind w:left="12"/>
              <w:spacing w:after="0" w:line="149" w:lineRule="exact"/>
              <w:rPr>
                <w:sz w:val="20"/>
                <w:szCs w:val="20"/>
                <w:color w:val="auto"/>
              </w:rPr>
            </w:pPr>
            <w:r>
              <w:rPr>
                <w:rFonts w:ascii="Arial" w:cs="Arial" w:eastAsia="Arial" w:hAnsi="Arial"/>
                <w:sz w:val="14"/>
                <w:szCs w:val="14"/>
                <w:color w:val="auto"/>
                <w:w w:val="86"/>
              </w:rPr>
              <w:t>2026-2031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b w:val="1"/>
                <w:bCs w:val="1"/>
                <w:color w:val="auto"/>
              </w:rPr>
              <w:t>11</w:t>
            </w:r>
          </w:p>
        </w:tc>
        <w:tc>
          <w:tcPr>
            <w:tcW w:w="272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GasLog Greece</w:t>
            </w:r>
          </w:p>
        </w:tc>
        <w:tc>
          <w:tcPr>
            <w:tcW w:w="5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7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174,000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TFDE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89"/>
              </w:rPr>
              <w:t>March 2026</w:t>
            </w:r>
          </w:p>
        </w:tc>
        <w:tc>
          <w:tcPr>
            <w:tcW w:w="940" w:type="dxa"/>
            <w:vAlign w:val="bottom"/>
            <w:gridSpan w:val="4"/>
          </w:tcPr>
          <w:p>
            <w:pPr>
              <w:jc w:val="center"/>
              <w:ind w:left="12"/>
              <w:spacing w:after="0" w:line="149" w:lineRule="exact"/>
              <w:rPr>
                <w:sz w:val="20"/>
                <w:szCs w:val="20"/>
                <w:color w:val="auto"/>
              </w:rPr>
            </w:pPr>
            <w:r>
              <w:rPr>
                <w:rFonts w:ascii="Arial" w:cs="Arial" w:eastAsia="Arial" w:hAnsi="Arial"/>
                <w:sz w:val="14"/>
                <w:szCs w:val="14"/>
                <w:color w:val="auto"/>
                <w:w w:val="83"/>
              </w:rPr>
              <w:t>2031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12</w:t>
            </w:r>
          </w:p>
        </w:tc>
        <w:tc>
          <w:tcPr>
            <w:tcW w:w="2720" w:type="dxa"/>
            <w:vAlign w:val="bottom"/>
            <w:shd w:val="clear" w:color="auto" w:fill="E8FFFA"/>
          </w:tcPr>
          <w:p>
            <w:pPr>
              <w:ind w:left="80"/>
              <w:spacing w:after="0" w:line="149" w:lineRule="exact"/>
              <w:rPr>
                <w:sz w:val="20"/>
                <w:szCs w:val="20"/>
                <w:color w:val="auto"/>
              </w:rPr>
            </w:pPr>
            <w:r>
              <w:rPr>
                <w:rFonts w:ascii="Arial" w:cs="Arial" w:eastAsia="Arial" w:hAnsi="Arial"/>
                <w:sz w:val="14"/>
                <w:szCs w:val="14"/>
                <w:i w:val="1"/>
                <w:iCs w:val="1"/>
                <w:color w:val="auto"/>
              </w:rPr>
              <w:t>GasLog Geneva</w:t>
            </w:r>
          </w:p>
        </w:tc>
        <w:tc>
          <w:tcPr>
            <w:tcW w:w="560" w:type="dxa"/>
            <w:vAlign w:val="bottom"/>
            <w:gridSpan w:val="4"/>
            <w:shd w:val="clear" w:color="auto" w:fill="E8FFFA"/>
          </w:tcPr>
          <w:p>
            <w:pPr>
              <w:jc w:val="right"/>
              <w:ind w:right="12"/>
              <w:spacing w:after="0" w:line="149" w:lineRule="exact"/>
              <w:rPr>
                <w:sz w:val="20"/>
                <w:szCs w:val="20"/>
                <w:color w:val="auto"/>
              </w:rPr>
            </w:pPr>
            <w:r>
              <w:rPr>
                <w:rFonts w:ascii="Arial" w:cs="Arial" w:eastAsia="Arial" w:hAnsi="Arial"/>
                <w:sz w:val="14"/>
                <w:szCs w:val="14"/>
                <w:color w:val="auto"/>
              </w:rPr>
              <w:t>2016</w:t>
            </w:r>
          </w:p>
        </w:tc>
        <w:tc>
          <w:tcPr>
            <w:tcW w:w="100" w:type="dxa"/>
            <w:vAlign w:val="bottom"/>
            <w:shd w:val="clear" w:color="auto" w:fill="E8FFFA"/>
          </w:tcPr>
          <w:p>
            <w:pPr>
              <w:spacing w:after="0"/>
              <w:rPr>
                <w:sz w:val="12"/>
                <w:szCs w:val="12"/>
                <w:color w:val="auto"/>
              </w:rPr>
            </w:pPr>
          </w:p>
        </w:tc>
        <w:tc>
          <w:tcPr>
            <w:tcW w:w="700" w:type="dxa"/>
            <w:vAlign w:val="bottom"/>
            <w:gridSpan w:val="3"/>
            <w:shd w:val="clear" w:color="auto" w:fill="E8FFFA"/>
          </w:tcPr>
          <w:p>
            <w:pPr>
              <w:ind w:left="140"/>
              <w:spacing w:after="0" w:line="149" w:lineRule="exact"/>
              <w:rPr>
                <w:sz w:val="20"/>
                <w:szCs w:val="20"/>
                <w:color w:val="auto"/>
              </w:rPr>
            </w:pPr>
            <w:r>
              <w:rPr>
                <w:rFonts w:ascii="Arial" w:cs="Arial" w:eastAsia="Arial" w:hAnsi="Arial"/>
                <w:sz w:val="14"/>
                <w:szCs w:val="14"/>
                <w:color w:val="auto"/>
              </w:rPr>
              <w:t>174,000</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940" w:type="dxa"/>
            <w:vAlign w:val="bottom"/>
            <w:shd w:val="clear" w:color="auto" w:fill="E8FFFA"/>
          </w:tcPr>
          <w:p>
            <w:pPr>
              <w:jc w:val="center"/>
              <w:ind w:right="72"/>
              <w:spacing w:after="0" w:line="149" w:lineRule="exact"/>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2"/>
                <w:szCs w:val="12"/>
                <w:color w:val="auto"/>
              </w:rPr>
            </w:pP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80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TFDE</w:t>
            </w:r>
          </w:p>
        </w:tc>
        <w:tc>
          <w:tcPr>
            <w:tcW w:w="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1720" w:type="dxa"/>
            <w:vAlign w:val="bottom"/>
            <w:shd w:val="clear" w:color="auto" w:fill="E8FFFA"/>
          </w:tcPr>
          <w:p>
            <w:pPr>
              <w:jc w:val="center"/>
              <w:ind w:right="74"/>
              <w:spacing w:after="0" w:line="149" w:lineRule="exact"/>
              <w:rPr>
                <w:sz w:val="20"/>
                <w:szCs w:val="20"/>
                <w:color w:val="auto"/>
              </w:rPr>
            </w:pPr>
            <w:r>
              <w:rPr>
                <w:rFonts w:ascii="Arial" w:cs="Arial" w:eastAsia="Arial" w:hAnsi="Arial"/>
                <w:sz w:val="14"/>
                <w:szCs w:val="14"/>
                <w:color w:val="auto"/>
                <w:w w:val="86"/>
              </w:rPr>
              <w:t>September 2023</w:t>
            </w:r>
          </w:p>
        </w:tc>
        <w:tc>
          <w:tcPr>
            <w:tcW w:w="940" w:type="dxa"/>
            <w:vAlign w:val="bottom"/>
            <w:gridSpan w:val="4"/>
            <w:shd w:val="clear" w:color="auto" w:fill="E8FFFA"/>
          </w:tcPr>
          <w:p>
            <w:pPr>
              <w:jc w:val="center"/>
              <w:ind w:left="12"/>
              <w:spacing w:after="0" w:line="149" w:lineRule="exact"/>
              <w:rPr>
                <w:sz w:val="20"/>
                <w:szCs w:val="20"/>
                <w:color w:val="auto"/>
              </w:rPr>
            </w:pPr>
            <w:r>
              <w:rPr>
                <w:rFonts w:ascii="Arial" w:cs="Arial" w:eastAsia="Arial" w:hAnsi="Arial"/>
                <w:sz w:val="14"/>
                <w:szCs w:val="14"/>
                <w:color w:val="auto"/>
                <w:w w:val="86"/>
              </w:rPr>
              <w:t>2028-2031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13</w:t>
            </w:r>
          </w:p>
        </w:tc>
        <w:tc>
          <w:tcPr>
            <w:tcW w:w="2720" w:type="dxa"/>
            <w:vAlign w:val="bottom"/>
          </w:tcPr>
          <w:p>
            <w:pPr>
              <w:ind w:left="80"/>
              <w:spacing w:after="0"/>
              <w:rPr>
                <w:sz w:val="20"/>
                <w:szCs w:val="20"/>
                <w:color w:val="auto"/>
              </w:rPr>
            </w:pPr>
            <w:r>
              <w:rPr>
                <w:rFonts w:ascii="Arial" w:cs="Arial" w:eastAsia="Arial" w:hAnsi="Arial"/>
                <w:sz w:val="14"/>
                <w:szCs w:val="14"/>
                <w:i w:val="1"/>
                <w:iCs w:val="1"/>
                <w:color w:val="auto"/>
              </w:rPr>
              <w:t>GasLog Gibraltar</w:t>
            </w:r>
          </w:p>
        </w:tc>
        <w:tc>
          <w:tcPr>
            <w:tcW w:w="560" w:type="dxa"/>
            <w:vAlign w:val="bottom"/>
            <w:gridSpan w:val="4"/>
          </w:tcPr>
          <w:p>
            <w:pPr>
              <w:jc w:val="right"/>
              <w:ind w:right="1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5"/>
                <w:szCs w:val="15"/>
                <w:color w:val="auto"/>
              </w:rPr>
            </w:pPr>
          </w:p>
        </w:tc>
        <w:tc>
          <w:tcPr>
            <w:tcW w:w="700" w:type="dxa"/>
            <w:vAlign w:val="bottom"/>
            <w:gridSpan w:val="3"/>
          </w:tcPr>
          <w:p>
            <w:pPr>
              <w:ind w:left="140"/>
              <w:spacing w:after="0"/>
              <w:rPr>
                <w:sz w:val="20"/>
                <w:szCs w:val="20"/>
                <w:color w:val="auto"/>
              </w:rPr>
            </w:pPr>
            <w:r>
              <w:rPr>
                <w:rFonts w:ascii="Arial" w:cs="Arial" w:eastAsia="Arial" w:hAnsi="Arial"/>
                <w:sz w:val="14"/>
                <w:szCs w:val="14"/>
                <w:color w:val="auto"/>
              </w:rPr>
              <w:t>174,000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color w:val="auto"/>
                <w:w w:val="89"/>
              </w:rPr>
              <w:t>Shell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TFDE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jc w:val="center"/>
              <w:ind w:right="74"/>
              <w:spacing w:after="0"/>
              <w:rPr>
                <w:sz w:val="20"/>
                <w:szCs w:val="20"/>
                <w:color w:val="auto"/>
              </w:rPr>
            </w:pPr>
            <w:r>
              <w:rPr>
                <w:rFonts w:ascii="Arial" w:cs="Arial" w:eastAsia="Arial" w:hAnsi="Arial"/>
                <w:sz w:val="14"/>
                <w:szCs w:val="14"/>
                <w:color w:val="auto"/>
                <w:w w:val="87"/>
              </w:rPr>
              <w:t>October 2023</w:t>
            </w:r>
          </w:p>
        </w:tc>
        <w:tc>
          <w:tcPr>
            <w:tcW w:w="940" w:type="dxa"/>
            <w:vAlign w:val="bottom"/>
            <w:gridSpan w:val="4"/>
          </w:tcPr>
          <w:p>
            <w:pPr>
              <w:jc w:val="center"/>
              <w:ind w:left="12"/>
              <w:spacing w:after="0"/>
              <w:rPr>
                <w:sz w:val="20"/>
                <w:szCs w:val="20"/>
                <w:color w:val="auto"/>
              </w:rPr>
            </w:pPr>
            <w:r>
              <w:rPr>
                <w:rFonts w:ascii="Arial" w:cs="Arial" w:eastAsia="Arial" w:hAnsi="Arial"/>
                <w:sz w:val="14"/>
                <w:szCs w:val="14"/>
                <w:color w:val="auto"/>
                <w:w w:val="86"/>
              </w:rPr>
              <w:t>2028-2031</w:t>
            </w:r>
          </w:p>
        </w:tc>
        <w:tc>
          <w:tcPr>
            <w:tcW w:w="0" w:type="dxa"/>
            <w:vAlign w:val="bottom"/>
          </w:tcPr>
          <w:p>
            <w:pPr>
              <w:spacing w:after="0"/>
              <w:rPr>
                <w:sz w:val="1"/>
                <w:szCs w:val="1"/>
                <w:color w:val="auto"/>
              </w:rPr>
            </w:pPr>
          </w:p>
        </w:tc>
      </w:tr>
      <w:tr>
        <w:trPr>
          <w:trHeight w:val="404"/>
        </w:trPr>
        <w:tc>
          <w:tcPr>
            <w:tcW w:w="136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w w:val="81"/>
              </w:rPr>
              <w:t>Bareboat Vessel</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auto"/>
              </w:rPr>
              <w:t>Cargo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vMerge w:val="restart"/>
          </w:tcPr>
          <w:p>
            <w:pPr>
              <w:jc w:val="center"/>
              <w:ind w:left="74"/>
              <w:spacing w:after="0"/>
              <w:rPr>
                <w:sz w:val="20"/>
                <w:szCs w:val="20"/>
                <w:color w:val="auto"/>
              </w:rPr>
            </w:pPr>
            <w:r>
              <w:rPr>
                <w:rFonts w:ascii="Arial" w:cs="Arial" w:eastAsia="Arial" w:hAnsi="Arial"/>
                <w:sz w:val="14"/>
                <w:szCs w:val="14"/>
                <w:b w:val="1"/>
                <w:bCs w:val="1"/>
                <w:color w:val="auto"/>
                <w:w w:val="92"/>
              </w:rPr>
              <w:t>Charter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w w:val="95"/>
              </w:rPr>
              <w:t>Capacity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Vessel Name</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Built</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(cbm)</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1"/>
              </w:rPr>
              <w:t>Charterer</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2"/>
              </w:rPr>
              <w:t>Propulsion</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Borders>
              <w:bottom w:val="single" w:sz="8" w:color="auto"/>
            </w:tcBorders>
          </w:tcPr>
          <w:p>
            <w:pPr>
              <w:jc w:val="center"/>
              <w:ind w:left="54"/>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1</w:t>
            </w:r>
          </w:p>
        </w:tc>
        <w:tc>
          <w:tcPr>
            <w:tcW w:w="2720" w:type="dxa"/>
            <w:vAlign w:val="bottom"/>
            <w:shd w:val="clear" w:color="auto" w:fill="E8FFFA"/>
          </w:tcPr>
          <w:p>
            <w:pPr>
              <w:ind w:left="80"/>
              <w:spacing w:after="0" w:line="169" w:lineRule="exact"/>
              <w:rPr>
                <w:sz w:val="20"/>
                <w:szCs w:val="20"/>
                <w:color w:val="auto"/>
              </w:rPr>
            </w:pPr>
            <w:r>
              <w:rPr>
                <w:rFonts w:ascii="Arial" w:cs="Arial" w:eastAsia="Arial" w:hAnsi="Arial"/>
                <w:sz w:val="12"/>
                <w:szCs w:val="12"/>
                <w:i w:val="1"/>
                <w:iCs w:val="1"/>
                <w:color w:val="auto"/>
              </w:rPr>
              <w:t>Methane Julia Louise</w:t>
            </w:r>
            <w:r>
              <w:rPr>
                <w:rFonts w:ascii="Arial" w:cs="Arial" w:eastAsia="Arial" w:hAnsi="Arial"/>
                <w:sz w:val="19"/>
                <w:szCs w:val="19"/>
                <w:i w:val="1"/>
                <w:iCs w:val="1"/>
                <w:color w:val="auto"/>
                <w:vertAlign w:val="superscript"/>
              </w:rPr>
              <w:t>(9)</w:t>
            </w:r>
          </w:p>
        </w:tc>
        <w:tc>
          <w:tcPr>
            <w:tcW w:w="660" w:type="dxa"/>
            <w:vAlign w:val="bottom"/>
            <w:gridSpan w:val="5"/>
            <w:shd w:val="clear" w:color="auto" w:fill="E8FFFA"/>
          </w:tcPr>
          <w:p>
            <w:pPr>
              <w:jc w:val="right"/>
              <w:ind w:right="40"/>
              <w:spacing w:after="0"/>
              <w:rPr>
                <w:sz w:val="20"/>
                <w:szCs w:val="20"/>
                <w:color w:val="auto"/>
              </w:rPr>
            </w:pPr>
            <w:r>
              <w:rPr>
                <w:rFonts w:ascii="Arial" w:cs="Arial" w:eastAsia="Arial" w:hAnsi="Arial"/>
                <w:sz w:val="14"/>
                <w:szCs w:val="14"/>
                <w:color w:val="auto"/>
              </w:rPr>
              <w:t>2010</w:t>
            </w:r>
          </w:p>
        </w:tc>
        <w:tc>
          <w:tcPr>
            <w:tcW w:w="800" w:type="dxa"/>
            <w:vAlign w:val="bottom"/>
            <w:gridSpan w:val="4"/>
            <w:shd w:val="clear" w:color="auto" w:fill="E8FFFA"/>
          </w:tcPr>
          <w:p>
            <w:pPr>
              <w:ind w:left="280"/>
              <w:spacing w:after="0"/>
              <w:rPr>
                <w:sz w:val="20"/>
                <w:szCs w:val="20"/>
                <w:color w:val="auto"/>
              </w:rPr>
            </w:pPr>
            <w:r>
              <w:rPr>
                <w:rFonts w:ascii="Arial" w:cs="Arial" w:eastAsia="Arial" w:hAnsi="Arial"/>
                <w:sz w:val="14"/>
                <w:szCs w:val="14"/>
                <w:color w:val="auto"/>
                <w:w w:val="98"/>
              </w:rPr>
              <w:t>170,000</w:t>
            </w:r>
          </w:p>
        </w:tc>
        <w:tc>
          <w:tcPr>
            <w:tcW w:w="40" w:type="dxa"/>
            <w:vAlign w:val="bottom"/>
            <w:shd w:val="clear" w:color="auto" w:fill="E8FFFA"/>
          </w:tcPr>
          <w:p>
            <w:pPr>
              <w:spacing w:after="0"/>
              <w:rPr>
                <w:sz w:val="14"/>
                <w:szCs w:val="14"/>
                <w:color w:val="auto"/>
              </w:rPr>
            </w:pPr>
          </w:p>
        </w:tc>
        <w:tc>
          <w:tcPr>
            <w:tcW w:w="80" w:type="dxa"/>
            <w:vAlign w:val="bottom"/>
            <w:shd w:val="clear" w:color="auto" w:fill="E8FFFA"/>
          </w:tcPr>
          <w:p>
            <w:pPr>
              <w:spacing w:after="0"/>
              <w:rPr>
                <w:sz w:val="14"/>
                <w:szCs w:val="14"/>
                <w:color w:val="auto"/>
              </w:rPr>
            </w:pPr>
          </w:p>
        </w:tc>
        <w:tc>
          <w:tcPr>
            <w:tcW w:w="940" w:type="dxa"/>
            <w:vAlign w:val="bottom"/>
            <w:shd w:val="clear" w:color="auto" w:fill="E8FFFA"/>
          </w:tcPr>
          <w:p>
            <w:pPr>
              <w:jc w:val="center"/>
              <w:ind w:left="72"/>
              <w:spacing w:after="0"/>
              <w:rPr>
                <w:sz w:val="20"/>
                <w:szCs w:val="20"/>
                <w:color w:val="auto"/>
              </w:rPr>
            </w:pPr>
            <w:r>
              <w:rPr>
                <w:rFonts w:ascii="Arial" w:cs="Arial" w:eastAsia="Arial" w:hAnsi="Arial"/>
                <w:sz w:val="14"/>
                <w:szCs w:val="14"/>
                <w:color w:val="auto"/>
                <w:w w:val="89"/>
              </w:rPr>
              <w:t>Shell</w:t>
            </w:r>
          </w:p>
        </w:tc>
        <w:tc>
          <w:tcPr>
            <w:tcW w:w="100" w:type="dxa"/>
            <w:vAlign w:val="bottom"/>
            <w:shd w:val="clear" w:color="auto" w:fill="E8FFFA"/>
          </w:tcPr>
          <w:p>
            <w:pPr>
              <w:spacing w:after="0"/>
              <w:rPr>
                <w:sz w:val="14"/>
                <w:szCs w:val="14"/>
                <w:color w:val="auto"/>
              </w:rPr>
            </w:pPr>
          </w:p>
        </w:tc>
        <w:tc>
          <w:tcPr>
            <w:tcW w:w="40" w:type="dxa"/>
            <w:vAlign w:val="bottom"/>
            <w:shd w:val="clear" w:color="auto" w:fill="E8FFFA"/>
          </w:tcPr>
          <w:p>
            <w:pPr>
              <w:spacing w:after="0"/>
              <w:rPr>
                <w:sz w:val="14"/>
                <w:szCs w:val="14"/>
                <w:color w:val="auto"/>
              </w:rPr>
            </w:pPr>
          </w:p>
        </w:tc>
        <w:tc>
          <w:tcPr>
            <w:tcW w:w="80" w:type="dxa"/>
            <w:vAlign w:val="bottom"/>
            <w:shd w:val="clear" w:color="auto" w:fill="E8FFFA"/>
          </w:tcPr>
          <w:p>
            <w:pPr>
              <w:spacing w:after="0"/>
              <w:rPr>
                <w:sz w:val="14"/>
                <w:szCs w:val="14"/>
                <w:color w:val="auto"/>
              </w:rPr>
            </w:pPr>
          </w:p>
        </w:tc>
        <w:tc>
          <w:tcPr>
            <w:tcW w:w="800" w:type="dxa"/>
            <w:vAlign w:val="bottom"/>
            <w:gridSpan w:val="2"/>
            <w:shd w:val="clear" w:color="auto" w:fill="E8FFFA"/>
          </w:tcPr>
          <w:p>
            <w:pPr>
              <w:ind w:left="240"/>
              <w:spacing w:after="0"/>
              <w:rPr>
                <w:sz w:val="20"/>
                <w:szCs w:val="20"/>
                <w:color w:val="auto"/>
              </w:rPr>
            </w:pPr>
            <w:r>
              <w:rPr>
                <w:rFonts w:ascii="Arial" w:cs="Arial" w:eastAsia="Arial" w:hAnsi="Arial"/>
                <w:sz w:val="14"/>
                <w:szCs w:val="14"/>
                <w:color w:val="auto"/>
              </w:rPr>
              <w:t>TFDE</w:t>
            </w:r>
          </w:p>
        </w:tc>
        <w:tc>
          <w:tcPr>
            <w:tcW w:w="40" w:type="dxa"/>
            <w:vAlign w:val="bottom"/>
            <w:shd w:val="clear" w:color="auto" w:fill="E8FFFA"/>
          </w:tcPr>
          <w:p>
            <w:pPr>
              <w:spacing w:after="0"/>
              <w:rPr>
                <w:sz w:val="14"/>
                <w:szCs w:val="14"/>
                <w:color w:val="auto"/>
              </w:rPr>
            </w:pPr>
          </w:p>
        </w:tc>
        <w:tc>
          <w:tcPr>
            <w:tcW w:w="80" w:type="dxa"/>
            <w:vAlign w:val="bottom"/>
            <w:shd w:val="clear" w:color="auto" w:fill="E8FFFA"/>
          </w:tcPr>
          <w:p>
            <w:pPr>
              <w:spacing w:after="0"/>
              <w:rPr>
                <w:sz w:val="14"/>
                <w:szCs w:val="14"/>
                <w:color w:val="auto"/>
              </w:rPr>
            </w:pPr>
          </w:p>
        </w:tc>
        <w:tc>
          <w:tcPr>
            <w:tcW w:w="1720" w:type="dxa"/>
            <w:vAlign w:val="bottom"/>
            <w:shd w:val="clear" w:color="auto" w:fill="E8FFFA"/>
          </w:tcPr>
          <w:p>
            <w:pPr>
              <w:jc w:val="center"/>
              <w:ind w:left="74"/>
              <w:spacing w:after="0"/>
              <w:rPr>
                <w:sz w:val="20"/>
                <w:szCs w:val="20"/>
                <w:color w:val="auto"/>
              </w:rPr>
            </w:pPr>
            <w:r>
              <w:rPr>
                <w:rFonts w:ascii="Arial" w:cs="Arial" w:eastAsia="Arial" w:hAnsi="Arial"/>
                <w:sz w:val="14"/>
                <w:szCs w:val="14"/>
                <w:color w:val="auto"/>
                <w:w w:val="89"/>
              </w:rPr>
              <w:t>March 2026</w:t>
            </w:r>
          </w:p>
        </w:tc>
        <w:tc>
          <w:tcPr>
            <w:tcW w:w="940" w:type="dxa"/>
            <w:vAlign w:val="bottom"/>
            <w:gridSpan w:val="4"/>
            <w:shd w:val="clear" w:color="auto" w:fill="E8FFFA"/>
          </w:tcPr>
          <w:p>
            <w:pPr>
              <w:jc w:val="center"/>
              <w:ind w:left="132"/>
              <w:spacing w:after="0"/>
              <w:rPr>
                <w:sz w:val="20"/>
                <w:szCs w:val="20"/>
                <w:color w:val="auto"/>
              </w:rPr>
            </w:pPr>
            <w:r>
              <w:rPr>
                <w:rFonts w:ascii="Arial" w:cs="Arial" w:eastAsia="Arial" w:hAnsi="Arial"/>
                <w:sz w:val="14"/>
                <w:szCs w:val="14"/>
                <w:color w:val="auto"/>
                <w:w w:val="86"/>
              </w:rPr>
              <w:t>2029-2031</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ind w:left="1680" w:hanging="531"/>
        <w:spacing w:after="0" w:line="256" w:lineRule="auto"/>
        <w:tabs>
          <w:tab w:leader="none" w:pos="1680" w:val="left"/>
        </w:tabs>
        <w:numPr>
          <w:ilvl w:val="0"/>
          <w:numId w:val="11"/>
        </w:numPr>
        <w:rPr>
          <w:rFonts w:ascii="Arial" w:cs="Arial" w:eastAsia="Arial" w:hAnsi="Arial"/>
          <w:sz w:val="10"/>
          <w:szCs w:val="10"/>
          <w:color w:val="auto"/>
        </w:rPr>
      </w:pPr>
      <w:r>
        <w:rPr>
          <w:rFonts w:ascii="Arial" w:cs="Arial" w:eastAsia="Arial" w:hAnsi="Arial"/>
          <w:sz w:val="12"/>
          <w:szCs w:val="12"/>
          <w:color w:val="auto"/>
        </w:rPr>
        <w:t xml:space="preserve">The period shown reflects the expiration of the minimum optional period and the maximum optional period. The charterer of the long-term charter of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may extend the term of this time charter for a period ranging from one to seven years, provided that the charterer provides us with advance notice of declaration. The charterer of the long-term charter of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may extend the term of this time charter for a period ranging from six to twelve months, provided that the charterer provides us with advance notice of declaration. The charterers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have unilateral options to extend the term of the time charters for periods ranging from five to ten years, provided that the charterers provide us with advance notices of declaration of any option in accordance with the terms of the applicable charter. The charterers of the </w:t>
      </w:r>
      <w:r>
        <w:rPr>
          <w:rFonts w:ascii="Arial" w:cs="Arial" w:eastAsia="Arial" w:hAnsi="Arial"/>
          <w:sz w:val="12"/>
          <w:szCs w:val="12"/>
          <w:i w:val="1"/>
          <w:iCs w:val="1"/>
          <w:color w:val="auto"/>
        </w:rPr>
        <w:t xml:space="preserve">Methane Lydon Volney, </w:t>
      </w:r>
      <w:r>
        <w:rPr>
          <w:rFonts w:ascii="Arial" w:cs="Arial" w:eastAsia="Arial" w:hAnsi="Arial"/>
          <w:sz w:val="12"/>
          <w:szCs w:val="12"/>
          <w:color w:val="auto"/>
        </w:rPr>
        <w:t>the</w:t>
      </w:r>
      <w:r>
        <w:rPr>
          <w:rFonts w:ascii="Arial" w:cs="Arial" w:eastAsia="Arial" w:hAnsi="Arial"/>
          <w:sz w:val="12"/>
          <w:szCs w:val="12"/>
          <w:i w:val="1"/>
          <w:iCs w:val="1"/>
          <w:color w:val="auto"/>
        </w:rPr>
        <w:t xml:space="preserve"> Methane Shirley Elisabeth, </w:t>
      </w:r>
      <w:r>
        <w:rPr>
          <w:rFonts w:ascii="Arial" w:cs="Arial" w:eastAsia="Arial" w:hAnsi="Arial"/>
          <w:sz w:val="12"/>
          <w:szCs w:val="12"/>
          <w:color w:val="auto"/>
        </w:rPr>
        <w:t>the</w:t>
      </w:r>
      <w:r>
        <w:rPr>
          <w:rFonts w:ascii="Arial" w:cs="Arial" w:eastAsia="Arial" w:hAnsi="Arial"/>
          <w:sz w:val="12"/>
          <w:szCs w:val="12"/>
          <w:i w:val="1"/>
          <w:iCs w:val="1"/>
          <w:color w:val="auto"/>
        </w:rPr>
        <w:t xml:space="preserve"> Methane Heather Sally, </w:t>
      </w:r>
      <w:r>
        <w:rPr>
          <w:rFonts w:ascii="Arial" w:cs="Arial" w:eastAsia="Arial" w:hAnsi="Arial"/>
          <w:sz w:val="12"/>
          <w:szCs w:val="12"/>
          <w:color w:val="auto"/>
        </w:rPr>
        <w:t>the</w:t>
      </w:r>
      <w:r>
        <w:rPr>
          <w:rFonts w:ascii="Arial" w:cs="Arial" w:eastAsia="Arial" w:hAnsi="Arial"/>
          <w:sz w:val="12"/>
          <w:szCs w:val="12"/>
          <w:i w:val="1"/>
          <w:iCs w:val="1"/>
          <w:color w:val="auto"/>
        </w:rPr>
        <w:t xml:space="preserve"> Methane Becki Anne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Julia Louise </w:t>
      </w:r>
      <w:r>
        <w:rPr>
          <w:rFonts w:ascii="Arial" w:cs="Arial" w:eastAsia="Arial" w:hAnsi="Arial"/>
          <w:sz w:val="12"/>
          <w:szCs w:val="12"/>
          <w:color w:val="auto"/>
        </w:rPr>
        <w:t>have unilateral options to extend the term</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of the related time charters for a period of either three or five years at their election, provided that the charterers provide us with advance notices of declaration of any option in accordance with the terms of the applicable charter. The charterer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Glasgow</w:t>
      </w:r>
      <w:r>
        <w:rPr>
          <w:rFonts w:ascii="Arial" w:cs="Arial" w:eastAsia="Arial" w:hAnsi="Arial"/>
          <w:sz w:val="12"/>
          <w:szCs w:val="12"/>
          <w:color w:val="auto"/>
        </w:rPr>
        <w:t xml:space="preserve"> has the right to extend the charters for a period of five years at the charterer's option. The charterer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Gibraltar</w:t>
      </w:r>
      <w:r>
        <w:rPr>
          <w:rFonts w:ascii="Arial" w:cs="Arial" w:eastAsia="Arial" w:hAnsi="Arial"/>
          <w:sz w:val="12"/>
          <w:szCs w:val="12"/>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2"/>
          <w:szCs w:val="12"/>
          <w:i w:val="1"/>
          <w:iCs w:val="1"/>
          <w:color w:val="auto"/>
        </w:rPr>
        <w:t>GasLog Houston</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Genoa</w:t>
      </w:r>
      <w:r>
        <w:rPr>
          <w:rFonts w:ascii="Arial" w:cs="Arial" w:eastAsia="Arial" w:hAnsi="Arial"/>
          <w:sz w:val="12"/>
          <w:szCs w:val="12"/>
          <w:color w:val="auto"/>
        </w:rPr>
        <w:t xml:space="preserve"> has the right to extend the charter by two additional periods of three years, provided that the charterer provides us with advance notices of declaration. The charterer of the </w:t>
      </w:r>
      <w:r>
        <w:rPr>
          <w:rFonts w:ascii="Arial" w:cs="Arial" w:eastAsia="Arial" w:hAnsi="Arial"/>
          <w:sz w:val="12"/>
          <w:szCs w:val="12"/>
          <w:i w:val="1"/>
          <w:iCs w:val="1"/>
          <w:color w:val="auto"/>
        </w:rPr>
        <w:t>GasLog Hong Kong</w:t>
      </w:r>
      <w:r>
        <w:rPr>
          <w:rFonts w:ascii="Arial" w:cs="Arial" w:eastAsia="Arial" w:hAnsi="Arial"/>
          <w:sz w:val="12"/>
          <w:szCs w:val="12"/>
          <w:color w:val="auto"/>
        </w:rPr>
        <w:t xml:space="preserve"> has the right to extend the charter for a period of three years, provided that the charterer provides us with advance notice of declaration.</w:t>
      </w:r>
    </w:p>
    <w:p>
      <w:pPr>
        <w:spacing w:after="0" w:line="2" w:lineRule="exact"/>
        <w:rPr>
          <w:rFonts w:ascii="Arial" w:cs="Arial" w:eastAsia="Arial" w:hAnsi="Arial"/>
          <w:sz w:val="10"/>
          <w:szCs w:val="10"/>
          <w:color w:val="auto"/>
        </w:rPr>
      </w:pPr>
    </w:p>
    <w:p>
      <w:pPr>
        <w:ind w:left="1680" w:hanging="531"/>
        <w:spacing w:after="0" w:line="201"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Vessels currently operating in the spot market under the Cool Pool.</w:t>
      </w:r>
    </w:p>
    <w:p>
      <w:pPr>
        <w:ind w:left="1680" w:right="160" w:hanging="531"/>
        <w:spacing w:after="0" w:line="211"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 xml:space="preserve">Shell and GasLog have agreed to substitute 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for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The substitution will take effect towards the end of the </w:t>
      </w:r>
      <w:r>
        <w:rPr>
          <w:rFonts w:ascii="Arial" w:cs="Arial" w:eastAsia="Arial" w:hAnsi="Arial"/>
          <w:sz w:val="14"/>
          <w:szCs w:val="14"/>
          <w:i w:val="1"/>
          <w:iCs w:val="1"/>
          <w:color w:val="auto"/>
        </w:rPr>
        <w:t>GasLog Skagen's</w:t>
      </w:r>
      <w:r>
        <w:rPr>
          <w:rFonts w:ascii="Arial" w:cs="Arial" w:eastAsia="Arial" w:hAnsi="Arial"/>
          <w:sz w:val="14"/>
          <w:szCs w:val="14"/>
          <w:color w:val="auto"/>
        </w:rPr>
        <w:t xml:space="preserve"> drydocking in the third quarter of 2018.</w:t>
      </w:r>
    </w:p>
    <w:p>
      <w:pPr>
        <w:ind w:left="1680" w:right="20" w:hanging="531"/>
        <w:spacing w:after="0" w:line="211"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The vessel is currently on a short-term charter to a major LNG producer and thereafter will trade under her long-term charter party with a subsidiary of Shell, from the beginning of 2019 until April 2028.</w:t>
      </w:r>
    </w:p>
    <w:p>
      <w:pPr>
        <w:ind w:left="1680" w:hanging="531"/>
        <w:spacing w:after="0" w:line="201"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"Total" refers to Total Gas &amp; Power Chartering Limited, a wholly owned subsidiary of Total S.A.;</w:t>
      </w:r>
    </w:p>
    <w:p>
      <w:pPr>
        <w:ind w:left="1680" w:right="60" w:hanging="531"/>
        <w:spacing w:after="0" w:line="214"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 xml:space="preserve">On March 22, 2018, a new charter party agreement was signed with a new customer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until November or December 2020, with the charterer having the option to extend the charter from one to four years.</w:t>
      </w:r>
    </w:p>
    <w:p>
      <w:pPr>
        <w:spacing w:after="0" w:line="1" w:lineRule="exact"/>
        <w:rPr>
          <w:rFonts w:ascii="Arial" w:cs="Arial" w:eastAsia="Arial" w:hAnsi="Arial"/>
          <w:sz w:val="11"/>
          <w:szCs w:val="11"/>
          <w:color w:val="auto"/>
        </w:rPr>
      </w:pPr>
    </w:p>
    <w:p>
      <w:pPr>
        <w:ind w:left="1680" w:hanging="531"/>
        <w:spacing w:after="0"/>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The vessel is currently on a short-term charter to a major LNG producer and thereafter will trade under a long-term contract with another customer.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left="1680" w:hanging="531"/>
        <w:spacing w:after="0" w:line="234" w:lineRule="auto"/>
        <w:tabs>
          <w:tab w:leader="none" w:pos="168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19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Under the omnibus agreement entered into with GasLog Partners and certain of its subsidiaries in connection with the Partnership's initial public offering, as amended, GasLog Partners has the option to purchase from us: (i)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within 36 months after we notify the Partnership's board of directors of the vessel's acceptance by their charterers and (ii)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within 30 days after we notify the Partnership's board of directors of the vessel's commencement of her multi-year charter with Shell. In each case, GasLog Partners' option to purchase is at fair market value as determined pursuant to the omnibus agreement.</w:t>
      </w:r>
    </w:p>
    <w:p>
      <w:pPr>
        <w:spacing w:after="0" w:line="197"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break-up costs (in the case of a newly acquired Five-Year Vessel) or at their fair market value (in the case of a previously owned vessel that becomes a Five-Year Vessel).</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three of our five newbuildings (Hull Nos. 2131, 2213 and 2262)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are due to come off charter in September 2018, October 2019, December 2019 and April 2020, respectively, each plus or minus 30 days. GasLog Partners has already secured a one-year charter for either </w:t>
      </w:r>
      <w:r>
        <w:rPr>
          <w:rFonts w:ascii="Arial" w:cs="Arial" w:eastAsia="Arial" w:hAnsi="Arial"/>
          <w:sz w:val="16"/>
          <w:szCs w:val="16"/>
          <w:i w:val="1"/>
          <w:iCs w:val="1"/>
          <w:color w:val="auto"/>
        </w:rPr>
        <w:t xml:space="preserve">Methane Jane Elizabeth </w:t>
      </w:r>
      <w:r>
        <w:rPr>
          <w:rFonts w:ascii="Arial" w:cs="Arial" w:eastAsia="Arial" w:hAnsi="Arial"/>
          <w:sz w:val="16"/>
          <w:szCs w:val="16"/>
          <w:color w:val="auto"/>
        </w:rPr>
        <w:t>or</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(as nominated by the Partnership), commencing in either November or December 2019 at the Partnership's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In addition, GasLog Partners has secured an 18-month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commencing between September and December 2018. GasLog Partners and GasLog continue to pursue opportunities for new multi-year charters with third parties and, on an interim basis, may consider trading the vessels in the spot market, pursuing the most advantageous redeployment depending on evolving market conditions.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8"/>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Three-month period ended June 30, 2017 compared to the three-month period ended June 30, 2018</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480" w:type="dxa"/>
            <w:vAlign w:val="bottom"/>
            <w:gridSpan w:val="4"/>
          </w:tcPr>
          <w:p>
            <w:pPr>
              <w:ind w:left="160"/>
              <w:spacing w:after="0"/>
              <w:rPr>
                <w:sz w:val="20"/>
                <w:szCs w:val="20"/>
                <w:color w:val="auto"/>
              </w:rPr>
            </w:pPr>
            <w:r>
              <w:rPr>
                <w:rFonts w:ascii="Arial" w:cs="Arial" w:eastAsia="Arial" w:hAnsi="Arial"/>
                <w:sz w:val="18"/>
                <w:szCs w:val="18"/>
                <w:b w:val="1"/>
                <w:bCs w:val="1"/>
                <w:color w:val="auto"/>
                <w:w w:val="96"/>
              </w:rPr>
              <w:t>For the three months ended</w:t>
            </w:r>
          </w:p>
        </w:tc>
      </w:tr>
      <w:tr>
        <w:trPr>
          <w:trHeight w:val="432"/>
        </w:trPr>
        <w:tc>
          <w:tcPr>
            <w:tcW w:w="11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2017</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June 30, 2018</w:t>
            </w:r>
          </w:p>
        </w:tc>
      </w:tr>
      <w:tr>
        <w:trPr>
          <w:trHeight w:val="210"/>
        </w:trPr>
        <w:tc>
          <w:tcPr>
            <w:tcW w:w="770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129,930</w:t>
            </w:r>
          </w:p>
        </w:tc>
        <w:tc>
          <w:tcPr>
            <w:tcW w:w="16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132,824</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pool allocation</w:t>
            </w: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6,958</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2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(3,319)</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(4,634)</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(29,833)</w:t>
            </w:r>
          </w:p>
        </w:tc>
        <w:tc>
          <w:tcPr>
            <w:tcW w:w="1140" w:type="dxa"/>
            <w:vAlign w:val="bottom"/>
          </w:tcPr>
          <w:p>
            <w:pPr>
              <w:jc w:val="right"/>
              <w:spacing w:after="0"/>
              <w:rPr>
                <w:sz w:val="20"/>
                <w:szCs w:val="20"/>
                <w:color w:val="auto"/>
              </w:rPr>
            </w:pPr>
            <w:r>
              <w:rPr>
                <w:rFonts w:ascii="Arial" w:cs="Arial" w:eastAsia="Arial" w:hAnsi="Arial"/>
                <w:sz w:val="18"/>
                <w:szCs w:val="18"/>
                <w:color w:val="auto"/>
              </w:rPr>
              <w:t>(32,703)</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2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(34,451)</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(38,813)</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(10,246)</w:t>
            </w:r>
          </w:p>
        </w:tc>
        <w:tc>
          <w:tcPr>
            <w:tcW w:w="1140" w:type="dxa"/>
            <w:vAlign w:val="bottom"/>
          </w:tcPr>
          <w:p>
            <w:pPr>
              <w:jc w:val="right"/>
              <w:spacing w:after="0"/>
              <w:rPr>
                <w:sz w:val="20"/>
                <w:szCs w:val="20"/>
                <w:color w:val="auto"/>
              </w:rPr>
            </w:pPr>
            <w:r>
              <w:rPr>
                <w:rFonts w:ascii="Arial" w:cs="Arial" w:eastAsia="Arial" w:hAnsi="Arial"/>
                <w:sz w:val="18"/>
                <w:szCs w:val="18"/>
                <w:color w:val="auto"/>
              </w:rPr>
              <w:t>(10,352)</w:t>
            </w:r>
          </w:p>
        </w:tc>
        <w:tc>
          <w:tcPr>
            <w:tcW w:w="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54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1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52,573</w:t>
            </w:r>
          </w:p>
        </w:tc>
        <w:tc>
          <w:tcPr>
            <w:tcW w:w="160" w:type="dxa"/>
            <w:vAlign w:val="bottom"/>
            <w:tcBorders>
              <w:bottom w:val="single" w:sz="8" w:color="E8FFFA"/>
            </w:tcBorders>
            <w:shd w:val="clear" w:color="auto" w:fill="E8FFFA"/>
          </w:tcPr>
          <w:p>
            <w:pPr>
              <w:spacing w:after="0"/>
              <w:rPr>
                <w:sz w:val="18"/>
                <w:szCs w:val="18"/>
                <w:color w:val="auto"/>
              </w:rPr>
            </w:pPr>
          </w:p>
        </w:tc>
        <w:tc>
          <w:tcPr>
            <w:tcW w:w="11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53,280</w:t>
            </w:r>
          </w:p>
        </w:tc>
        <w:tc>
          <w:tcPr>
            <w:tcW w:w="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Financial costs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(37,078)</w:t>
            </w:r>
          </w:p>
        </w:tc>
        <w:tc>
          <w:tcPr>
            <w:tcW w:w="114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(9,720)</w:t>
            </w:r>
          </w:p>
        </w:tc>
        <w:tc>
          <w:tcPr>
            <w:tcW w:w="1140" w:type="dxa"/>
            <w:vAlign w:val="bottom"/>
          </w:tcPr>
          <w:p>
            <w:pPr>
              <w:jc w:val="right"/>
              <w:spacing w:after="0"/>
              <w:rPr>
                <w:sz w:val="20"/>
                <w:szCs w:val="20"/>
                <w:color w:val="auto"/>
              </w:rPr>
            </w:pPr>
            <w:r>
              <w:rPr>
                <w:rFonts w:ascii="Arial" w:cs="Arial" w:eastAsia="Arial" w:hAnsi="Arial"/>
                <w:sz w:val="18"/>
                <w:szCs w:val="18"/>
                <w:color w:val="auto"/>
              </w:rPr>
              <w:t>1,167</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4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color w:val="auto"/>
              </w:rPr>
              <w:t>Share of profit of associates</w:t>
            </w:r>
          </w:p>
        </w:tc>
        <w:tc>
          <w:tcPr>
            <w:tcW w:w="11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Borders>
              <w:bottom w:val="single" w:sz="8" w:color="E8FFFA"/>
            </w:tcBorders>
            <w:shd w:val="clear" w:color="auto" w:fill="E8FFFA"/>
          </w:tcPr>
          <w:p>
            <w:pPr>
              <w:spacing w:after="0"/>
              <w:rPr>
                <w:sz w:val="18"/>
                <w:szCs w:val="18"/>
                <w:color w:val="auto"/>
              </w:rPr>
            </w:pPr>
          </w:p>
        </w:tc>
        <w:tc>
          <w:tcPr>
            <w:tcW w:w="11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(45,669)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(39,068)</w:t>
            </w:r>
          </w:p>
        </w:tc>
        <w:tc>
          <w:tcPr>
            <w:tcW w:w="60" w:type="dxa"/>
            <w:vAlign w:val="bottom"/>
          </w:tcPr>
          <w:p>
            <w:pPr>
              <w:spacing w:after="0"/>
              <w:rPr>
                <w:sz w:val="18"/>
                <w:szCs w:val="18"/>
                <w:color w:val="auto"/>
              </w:rPr>
            </w:pPr>
          </w:p>
        </w:tc>
      </w:tr>
      <w:tr>
        <w:trPr>
          <w:trHeight w:val="242"/>
        </w:trPr>
        <w:tc>
          <w:tcPr>
            <w:tcW w:w="1160" w:type="dxa"/>
            <w:vAlign w:val="bottom"/>
          </w:tcPr>
          <w:p>
            <w:pPr>
              <w:spacing w:after="0"/>
              <w:rPr>
                <w:sz w:val="20"/>
                <w:szCs w:val="20"/>
                <w:color w:val="auto"/>
              </w:rPr>
            </w:pPr>
          </w:p>
        </w:tc>
        <w:tc>
          <w:tcPr>
            <w:tcW w:w="654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112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6,904</w:t>
            </w:r>
          </w:p>
        </w:tc>
        <w:tc>
          <w:tcPr>
            <w:tcW w:w="160" w:type="dxa"/>
            <w:vAlign w:val="bottom"/>
            <w:tcBorders>
              <w:bottom w:val="single" w:sz="8" w:color="E8FFFA"/>
            </w:tcBorders>
            <w:shd w:val="clear" w:color="auto" w:fill="E8FFFA"/>
          </w:tcPr>
          <w:p>
            <w:pPr>
              <w:spacing w:after="0"/>
              <w:rPr>
                <w:sz w:val="20"/>
                <w:szCs w:val="20"/>
                <w:color w:val="auto"/>
              </w:rPr>
            </w:pPr>
          </w:p>
        </w:tc>
        <w:tc>
          <w:tcPr>
            <w:tcW w:w="114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14,212</w:t>
            </w:r>
          </w:p>
        </w:tc>
        <w:tc>
          <w:tcPr>
            <w:tcW w:w="6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6540" w:type="dxa"/>
            <w:vAlign w:val="bottom"/>
            <w:tcBorders>
              <w:top w:val="single" w:sz="8" w:color="E8FFFA"/>
            </w:tcBorders>
          </w:tcPr>
          <w:p>
            <w:pPr>
              <w:spacing w:after="0"/>
              <w:rPr>
                <w:sz w:val="20"/>
                <w:szCs w:val="20"/>
                <w:color w:val="auto"/>
              </w:rPr>
            </w:pPr>
            <w:r>
              <w:rPr>
                <w:rFonts w:ascii="Arial" w:cs="Arial" w:eastAsia="Arial" w:hAnsi="Arial"/>
                <w:sz w:val="18"/>
                <w:szCs w:val="18"/>
                <w:color w:val="auto"/>
              </w:rPr>
              <w:t>Non-controlling interests</w:t>
            </w:r>
          </w:p>
        </w:tc>
        <w:tc>
          <w:tcPr>
            <w:tcW w:w="1120" w:type="dxa"/>
            <w:vAlign w:val="bottom"/>
            <w:tcBorders>
              <w:top w:val="single" w:sz="8" w:color="E8FFFA"/>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160" w:type="dxa"/>
            <w:vAlign w:val="bottom"/>
            <w:tcBorders>
              <w:top w:val="single" w:sz="8" w:color="E8FFFA"/>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(17,832)</w:t>
            </w:r>
          </w:p>
        </w:tc>
        <w:tc>
          <w:tcPr>
            <w:tcW w:w="6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654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b w:val="1"/>
                <w:bCs w:val="1"/>
                <w:color w:val="auto"/>
              </w:rPr>
              <w:t>Loss attributable to owners of the Group</w:t>
            </w:r>
          </w:p>
        </w:tc>
        <w:tc>
          <w:tcPr>
            <w:tcW w:w="1120" w:type="dxa"/>
            <w:vAlign w:val="bottom"/>
            <w:tcBorders>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(7,515)</w:t>
            </w:r>
          </w:p>
        </w:tc>
        <w:tc>
          <w:tcPr>
            <w:tcW w:w="160" w:type="dxa"/>
            <w:vAlign w:val="bottom"/>
            <w:tcBorders>
              <w:bottom w:val="single" w:sz="8" w:color="E8FFFA"/>
            </w:tcBorders>
            <w:shd w:val="clear" w:color="auto" w:fill="E8FFFA"/>
          </w:tcPr>
          <w:p>
            <w:pPr>
              <w:spacing w:after="0"/>
              <w:rPr>
                <w:sz w:val="18"/>
                <w:szCs w:val="18"/>
                <w:color w:val="auto"/>
              </w:rPr>
            </w:pPr>
          </w:p>
        </w:tc>
        <w:tc>
          <w:tcPr>
            <w:tcW w:w="1140" w:type="dxa"/>
            <w:vAlign w:val="bottom"/>
            <w:tcBorders>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(3,620)</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shd w:val="clear" w:color="auto" w:fill="E8FFFA"/>
          </w:tcPr>
          <w:p>
            <w:pPr>
              <w:spacing w:after="0" w:line="20" w:lineRule="exact"/>
              <w:rPr>
                <w:sz w:val="1"/>
                <w:szCs w:val="1"/>
                <w:color w:val="auto"/>
              </w:rPr>
            </w:pPr>
          </w:p>
        </w:tc>
        <w:tc>
          <w:tcPr>
            <w:tcW w:w="112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the three-month period ended June 30, 2017, we had an average of 23.0 ships operating in our owned and bareboat fleet (including ships owned by the Partnership), having 2,081 operating days and an average of 23.7 ships operating under our technical management (including 22.0 of our owned and bareboat ships). During the three-month period ended June 30, 2018, we had an average of 25.0 ships operating in our owned and bareboat fleet (including ships owned by the Partnership), having 2,249 operating days and an average of 26.0 ships operating under our technical management (including 25.0 of our owned and bareboat 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Revenues increased by 2.2%, or $2.9 million, from $129.9 million during the three-month period ended June 30, 2017 to $132.8 million during the three-month period ended June 30, 2018. The increase is attributable to an increase in revenues of $16.3 million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(which were delivered on January 8, 2018, March 20, 2018 and March 29, 2018, respectively) in the six-month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ended June 30, 2018, which resulted in an increase in operating days. This increase was partially offset by a decrease of $5.8 million due to the off-hire days from the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 decrease of $4.5 million in earnings from our vessels operating in the spot market in both periods (before any Net Pool Allocation which is recorded in a separate Profit and Loss line below), a decrease of $2.3 million due to the expiration of the time charter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her entering the spot market on May 18, 2018, and a further decrease of $0.7 million from the remaining fleet. The average daily hire rate decreased from $62,287 for the three-month period ended June 30, 2017 to $58,968 for the three-month period ended June 30, 2018. There was also a decrease of $0.1 million in revenues from technical management services mainly due to the termination of a project with another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Net pool allocation increased by $6.5 million, from $0.5 million during the three-month period ended June 30, 2017 to $7.0 million during the three-month period ended June 30, 2018. The increase was attributable to the movement in the adjustment of the net pool results generated by the GasLog vessels in accordance with the pool distribution formula. GasLog recognized gross revenues and gross voyage expenses and commissions of $5.0 million and $2.2 million, respectively, from the operation of its vessels in the Cool Pool during the quarter ended June 30,</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p>
      <w:pPr>
        <w:ind w:right="40"/>
        <w:spacing w:after="0" w:line="268" w:lineRule="auto"/>
        <w:rPr>
          <w:sz w:val="20"/>
          <w:szCs w:val="20"/>
          <w:color w:val="auto"/>
        </w:rPr>
      </w:pPr>
      <w:r>
        <w:rPr>
          <w:rFonts w:ascii="Arial" w:cs="Arial" w:eastAsia="Arial" w:hAnsi="Arial"/>
          <w:sz w:val="18"/>
          <w:szCs w:val="18"/>
          <w:color w:val="auto"/>
        </w:rPr>
        <w:t>2018 (June 30, 2017: $8.0 million and $1.7 million, respectively). The increase in GasLog's total net pool performance was driven by higher spot rates and higher utilization achieved by all vessels trading in the Cool Pool. GasLog's total net pool performance is presented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4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3"/>
              </w:rPr>
              <w:t>For the three months ended</w:t>
            </w:r>
          </w:p>
        </w:tc>
      </w:tr>
      <w:tr>
        <w:trPr>
          <w:trHeight w:val="432"/>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June 30, 2018</w:t>
            </w: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Pool gross revenues (included in Revenues)</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8,023</w:t>
            </w:r>
          </w:p>
        </w:tc>
        <w:tc>
          <w:tcPr>
            <w:tcW w:w="16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5,047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9"/>
              </w:rPr>
              <w:t>Pool gross voyage expenses and commissions (included in Voyage expenses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(2,165)</w:t>
            </w:r>
          </w:p>
        </w:tc>
      </w:tr>
      <w:tr>
        <w:trPr>
          <w:trHeight w:val="218"/>
        </w:trPr>
        <w:tc>
          <w:tcPr>
            <w:tcW w:w="20" w:type="dxa"/>
            <w:vAlign w:val="bottom"/>
          </w:tcPr>
          <w:p>
            <w:pPr>
              <w:spacing w:after="0"/>
              <w:rPr>
                <w:sz w:val="18"/>
                <w:szCs w:val="18"/>
                <w:color w:val="auto"/>
              </w:rPr>
            </w:pPr>
          </w:p>
        </w:tc>
        <w:tc>
          <w:tcPr>
            <w:tcW w:w="654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1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E8FFFA"/>
            </w:tcBorders>
            <w:shd w:val="clear" w:color="auto" w:fill="E8FFFA"/>
          </w:tcPr>
          <w:p>
            <w:pPr>
              <w:spacing w:after="0"/>
              <w:rPr>
                <w:sz w:val="18"/>
                <w:szCs w:val="18"/>
                <w:color w:val="auto"/>
              </w:rPr>
            </w:pPr>
          </w:p>
        </w:tc>
        <w:tc>
          <w:tcPr>
            <w:tcW w:w="11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6,958</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6,833</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9,840</w:t>
            </w:r>
          </w:p>
        </w:tc>
        <w:tc>
          <w:tcPr>
            <w:tcW w:w="6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Voyage expenses and commissions increased by 39.4%, or $1.3 million, from $3.3 million during the three-month period ended June 30, 2017 to</w:t>
      </w:r>
    </w:p>
    <w:p>
      <w:pPr>
        <w:spacing w:after="0" w:line="38"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$4.6 million during the three-month period ended June 30, 2018. The increase is primarily attributable to the increase of $0.5 million in voyage expenses of the vessels operating in the spot market, an increase of $0.5 million in bunkers consumed during off-hire and unchartered periods for the remaining vessels and an increase of $0.2 million in brokers' commissions.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Vessel operating and supervision costs increased by 9.7%, or $2.9 million, from $29.8 million during the three-month period ended June 30, 2017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$32.7 million during the three-month period ended June 30, 2018. The increase was mainly attributable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operating in our fleet for the full second quarter in 2018 partially offset by one-off savings in certain crew expenses.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Depreciation increased by 12.5%, or $4.3 million, from $34.5 million during the three-month period ended June 30, 2017 to $38.8 million during the three-month period ended June 30, 2018. The increase in depreciation resulted mainly from the increase in the average number of vessels in our fleet in the three-month period ended June 30, 2018 compared to the same period in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expenses increased by 2.0%, or $0.2 million, from $10.2 million during the three-month period ended June 30, 2017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 million during the three-month period ended June 30, 2018. The increase is mainly attributable to a total increase of $0.8 million in various expenses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including employee costs, share-based compensation, travel expenses and foreign exchange differences, which were partially offset by a decrease of $0.6 million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legal and professional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Financial costs increased by 13.2%, or $4.9 million, from $37.1 million during the three-month period ended June 30, 2017 to $42.0 million during the three-month period ended June 30, 2018. The increase is attributable to an increase of $6.0 million in interest expense on loans, bonds and cash flow hedges, an increase of $0.2 million in amortization of deferred loan fees and an increase of $0.3 million in other financial costs, partially offset by a decrease of $1.5 million in loss arising on bond repurchases and a decrease of $0.1 million in finance lease charges. During the three-month period ended June 30, 2018, we had an average of $2,986.6 million of outstanding indebtedness, with a weighted average interest rate of 4.7%, while during the three-month period ended June 30, 2017, we had an average of $2,793.2 million of outstanding indebtedness having an aggregate weighted average interest rate of 4.2%. These weighted average interest rates include interest expense on loans and cash flow hedges and interest expense on senior unsecured notes and cross-currency swaps ("CCS").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Gain on derivatives increased by $10.9 million, from a loss of $9.7 million during the three-month period ended June 30, 2017 to a gain of $1.2 million during the three-month period ended June 30, 2018. The increase in gain on derivatives is primarily attributable to a decrease of $4.4 million in recycled loss that was reclassified from equity to the statement of profit or loss relating to the cumulative loss that was reclassified from equity to the statement of profit or loss from the CCS agreements terminations in June 2017, an increase of $3.6 million in gain from mark-to-market valuation of our derivative financial instruments carried at fair value through profit or loss, which reflected a gain of $0.1 million for the quarter ended June 30, 2018 as compared to a loss of $3.5 million for the quarter ended June 30, 2017, and a decrease of $3.2 million in realized loss from derivative financial instruments held for trading, which were partially offset by an increase of $0.3 million in the ineffective portion of cash flow hedges.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 the Period:</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Profit for the period increased by $7.3 million, from a profit of $6.9 million for the three-month period ended June 30, 2017 to a profit of $14.2 million for the three-month period ended June 30, 2018, as a result of the aforementioned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Owners of the Group:</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 xml:space="preserve">Loss attributable to owners of the Group decreased by $3.9 million, from a loss of $7.5 million for the three-month period ended June 30, 2017 to a loss of $3.6 million for the three-month period ended June 30, 2018. The decrease in loss attributable to the owners of GasLog resulted mainly from the increase in profit mentioned above, partially offset by the increase in profit attributable to the non-controlling interests (non-controlling unitholders of GasLog Partners) as a result of GasLog Partners' ATM Programme implemented in May 2017, the preference unit issuances in May 2017 and January 2018, and the associated sales of the </w:t>
      </w:r>
      <w:r>
        <w:rPr>
          <w:rFonts w:ascii="Arial" w:cs="Arial" w:eastAsia="Arial" w:hAnsi="Arial"/>
          <w:sz w:val="15"/>
          <w:szCs w:val="15"/>
          <w:i w:val="1"/>
          <w:iCs w:val="1"/>
          <w:color w:val="auto"/>
        </w:rPr>
        <w:t>GasLog Greece</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Geneva, </w:t>
      </w:r>
      <w:r>
        <w:rPr>
          <w:rFonts w:ascii="Arial" w:cs="Arial" w:eastAsia="Arial" w:hAnsi="Arial"/>
          <w:sz w:val="15"/>
          <w:szCs w:val="15"/>
          <w:color w:val="auto"/>
        </w:rPr>
        <w:t>the</w:t>
      </w:r>
      <w:r>
        <w:rPr>
          <w:rFonts w:ascii="Arial" w:cs="Arial" w:eastAsia="Arial" w:hAnsi="Arial"/>
          <w:sz w:val="15"/>
          <w:szCs w:val="15"/>
          <w:i w:val="1"/>
          <w:iCs w:val="1"/>
          <w:color w:val="auto"/>
        </w:rPr>
        <w:t xml:space="preserve"> Solaris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Gibraltar </w:t>
      </w:r>
      <w:r>
        <w:rPr>
          <w:rFonts w:ascii="Arial" w:cs="Arial" w:eastAsia="Arial" w:hAnsi="Arial"/>
          <w:sz w:val="15"/>
          <w:szCs w:val="15"/>
          <w:color w:val="auto"/>
        </w:rPr>
        <w:t>on May 3, 2017, July 3, 2017, October 20, 2017 and April 26, 2018,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Six-month period ended June 30, 2017 compared to the six-month period ended June 30, 2018</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480" w:type="dxa"/>
            <w:vAlign w:val="bottom"/>
            <w:gridSpan w:val="4"/>
          </w:tcPr>
          <w:p>
            <w:pPr>
              <w:ind w:left="2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2017</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June 30, 2018</w:t>
            </w:r>
          </w:p>
        </w:tc>
        <w:tc>
          <w:tcPr>
            <w:tcW w:w="0" w:type="dxa"/>
            <w:vAlign w:val="bottom"/>
          </w:tcPr>
          <w:p>
            <w:pPr>
              <w:spacing w:after="0"/>
              <w:rPr>
                <w:sz w:val="1"/>
                <w:szCs w:val="1"/>
                <w:color w:val="auto"/>
              </w:rPr>
            </w:pPr>
          </w:p>
        </w:tc>
      </w:tr>
      <w:tr>
        <w:trPr>
          <w:trHeight w:val="210"/>
        </w:trPr>
        <w:tc>
          <w:tcPr>
            <w:tcW w:w="770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258,215</w:t>
            </w:r>
          </w:p>
        </w:tc>
        <w:tc>
          <w:tcPr>
            <w:tcW w:w="16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271,302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pool allocation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2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(6,191)</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(57,322)</w:t>
            </w:r>
          </w:p>
        </w:tc>
        <w:tc>
          <w:tcPr>
            <w:tcW w:w="1140" w:type="dxa"/>
            <w:vAlign w:val="bottom"/>
          </w:tcPr>
          <w:p>
            <w:pPr>
              <w:jc w:val="right"/>
              <w:spacing w:after="0"/>
              <w:rPr>
                <w:sz w:val="20"/>
                <w:szCs w:val="20"/>
                <w:color w:val="auto"/>
              </w:rPr>
            </w:pPr>
            <w:r>
              <w:rPr>
                <w:rFonts w:ascii="Arial" w:cs="Arial" w:eastAsia="Arial" w:hAnsi="Arial"/>
                <w:sz w:val="18"/>
                <w:szCs w:val="18"/>
                <w:color w:val="auto"/>
              </w:rPr>
              <w:t>(67,016)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2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(68,159)</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(74,342)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(20,225)</w:t>
            </w:r>
          </w:p>
        </w:tc>
        <w:tc>
          <w:tcPr>
            <w:tcW w:w="1140" w:type="dxa"/>
            <w:vAlign w:val="bottom"/>
          </w:tcPr>
          <w:p>
            <w:pPr>
              <w:jc w:val="right"/>
              <w:spacing w:after="0"/>
              <w:rPr>
                <w:sz w:val="20"/>
                <w:szCs w:val="20"/>
                <w:color w:val="auto"/>
              </w:rPr>
            </w:pPr>
            <w:r>
              <w:rPr>
                <w:rFonts w:ascii="Arial" w:cs="Arial" w:eastAsia="Arial" w:hAnsi="Arial"/>
                <w:sz w:val="18"/>
                <w:szCs w:val="18"/>
                <w:color w:val="auto"/>
              </w:rPr>
              <w:t>(22,365)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1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107,638</w:t>
            </w:r>
          </w:p>
        </w:tc>
        <w:tc>
          <w:tcPr>
            <w:tcW w:w="160" w:type="dxa"/>
            <w:vAlign w:val="bottom"/>
            <w:shd w:val="clear" w:color="auto" w:fill="E8FFFA"/>
          </w:tcPr>
          <w:p>
            <w:pPr>
              <w:spacing w:after="0"/>
              <w:rPr>
                <w:sz w:val="18"/>
                <w:szCs w:val="18"/>
                <w:color w:val="auto"/>
              </w:rPr>
            </w:pPr>
          </w:p>
        </w:tc>
        <w:tc>
          <w:tcPr>
            <w:tcW w:w="11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113,275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(69,602)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1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1,135</w:t>
            </w:r>
          </w:p>
        </w:tc>
        <w:tc>
          <w:tcPr>
            <w:tcW w:w="16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(9,722)</w:t>
            </w:r>
          </w:p>
        </w:tc>
        <w:tc>
          <w:tcPr>
            <w:tcW w:w="1140" w:type="dxa"/>
            <w:vAlign w:val="bottom"/>
          </w:tcPr>
          <w:p>
            <w:pPr>
              <w:jc w:val="right"/>
              <w:spacing w:after="0"/>
              <w:rPr>
                <w:sz w:val="20"/>
                <w:szCs w:val="20"/>
                <w:color w:val="auto"/>
              </w:rPr>
            </w:pPr>
            <w:r>
              <w:rPr>
                <w:rFonts w:ascii="Arial" w:cs="Arial" w:eastAsia="Arial" w:hAnsi="Arial"/>
                <w:sz w:val="18"/>
                <w:szCs w:val="18"/>
                <w:color w:val="auto"/>
              </w:rPr>
              <w:t>18,938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color w:val="auto"/>
              </w:rPr>
              <w:t>Share of profit of associates</w:t>
            </w:r>
          </w:p>
        </w:tc>
        <w:tc>
          <w:tcPr>
            <w:tcW w:w="11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E8FFFA"/>
          </w:tcPr>
          <w:p>
            <w:pPr>
              <w:spacing w:after="0"/>
              <w:rPr>
                <w:sz w:val="18"/>
                <w:szCs w:val="18"/>
                <w:color w:val="auto"/>
              </w:rPr>
            </w:pPr>
          </w:p>
        </w:tc>
        <w:tc>
          <w:tcPr>
            <w:tcW w:w="11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(77,342)</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11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30,296</w:t>
            </w:r>
          </w:p>
        </w:tc>
        <w:tc>
          <w:tcPr>
            <w:tcW w:w="160" w:type="dxa"/>
            <w:vAlign w:val="bottom"/>
            <w:shd w:val="clear" w:color="auto" w:fill="E8FFFA"/>
          </w:tcPr>
          <w:p>
            <w:pPr>
              <w:spacing w:after="0"/>
              <w:rPr>
                <w:sz w:val="18"/>
                <w:szCs w:val="18"/>
                <w:color w:val="auto"/>
              </w:rPr>
            </w:pPr>
          </w:p>
        </w:tc>
        <w:tc>
          <w:tcPr>
            <w:tcW w:w="11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56,753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Non-controlling interests</w:t>
            </w:r>
          </w:p>
        </w:tc>
        <w:tc>
          <w:tcPr>
            <w:tcW w:w="1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vMerge w:val="continue"/>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(29,059)</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attributable to owners of the Group</w:t>
            </w:r>
          </w:p>
        </w:tc>
        <w:tc>
          <w:tcPr>
            <w:tcW w:w="11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1,237</w:t>
            </w:r>
          </w:p>
        </w:tc>
        <w:tc>
          <w:tcPr>
            <w:tcW w:w="160" w:type="dxa"/>
            <w:vAlign w:val="bottom"/>
            <w:shd w:val="clear" w:color="auto" w:fill="E8FFFA"/>
          </w:tcPr>
          <w:p>
            <w:pPr>
              <w:spacing w:after="0"/>
              <w:rPr>
                <w:sz w:val="18"/>
                <w:szCs w:val="18"/>
                <w:color w:val="auto"/>
              </w:rPr>
            </w:pPr>
          </w:p>
        </w:tc>
        <w:tc>
          <w:tcPr>
            <w:tcW w:w="11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During the six-month period ended June 30, 2017, we had an average of 23.0 ships operating in our owned and bareboat fleet (including ships owned by the Partnership), having 4,151 operating days and an average of 23.9 ships operating under our technical management (including 22.0 of our owned and bareboat ships). During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ind w:right="260"/>
        <w:spacing w:after="0" w:line="370" w:lineRule="auto"/>
        <w:rPr>
          <w:sz w:val="20"/>
          <w:szCs w:val="20"/>
          <w:color w:val="auto"/>
        </w:rPr>
      </w:pPr>
      <w:r>
        <w:rPr>
          <w:rFonts w:ascii="Arial" w:cs="Arial" w:eastAsia="Arial" w:hAnsi="Arial"/>
          <w:sz w:val="15"/>
          <w:szCs w:val="15"/>
          <w:color w:val="auto"/>
        </w:rPr>
        <w:t>six-month period ended June 30, 2018, we had an average of 25.0 ships operating in our owned and bareboat fleet (including ships owned by the Partnership), having 4,411 operating days and an average of 25.0 ships operating under our technical management (including 24.0 of our owned and bareboat ships).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Revenues increased by 5.1%, or $13.1 million, from $258.2 million during the six-month period ended June 30, 2017 to $271.3 million during the six-month period ended June 30, 2018. The increase is attributable to an increase in revenues of $21.0 million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(which were delivered on January 8, 2018, March 20, 2018 and March 29, 2018, respectively) in the six-month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June 30, 2018, which resulted in an increase in operating days. There was also an increase of $1.6 million in earnings from our vessels operating in the spot market in both periods (before any Net Pool Allocation which is recorded in a separate Profit and Loss line below). These increases were partially offset by a decrease of $6.0 million due to the off-hire days from the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 decrease of $2.3 million due to the expiration of the time charter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her entering the spot market on May 18, 2018 and a further decrease of $1.1 million from the remaining fleet. The average daily hire rate decreased from $62,075 for the six-month period ended June 30, 2017 to $61,419 for the six-month period ended June 30, 2018. There was also a decrease of $0.1 million in revenues from technical management services mainly due to the termination of a project with another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pool allocation increased by $14.3 million, from $1.3 million during the six-month period ended June 30, 2017 to $15.6 million during the six-month period ended June 30, 2018. The increase was attributable to the movement in the adjustment of the net pool results generated by the GasLog vessels in accordance with the pool distribution formula. GasLog recognized gross revenues and gross voyage expenses and commissions of $18.5 million and $5.7 million, respectively, from the operation of its vessels in the Cool Pool during the quarter ended June 30, 2018 (June 30, 2017: $15.4 million and $3.1 million, respectively). The increase in GasLog's total net pool performance was driven by higher spot rates and higher utilization achieved by all vessels trading in the Cool Pool. GasLog's total net pool performance is presented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5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8"/>
              </w:rPr>
              <w:t>For the six months ended</w:t>
            </w:r>
          </w:p>
        </w:tc>
      </w:tr>
      <w:tr>
        <w:trPr>
          <w:trHeight w:val="4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June 30, 2017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June 30, 2018</w:t>
            </w: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Pool gross revenues (included in Revenues)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15,378</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18,452</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8"/>
              </w:rPr>
              <w:t>Pool gross voyage expenses and commissions (included in Voyage expenses and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(5,703)</w:t>
            </w:r>
          </w:p>
        </w:tc>
      </w:tr>
      <w:tr>
        <w:trPr>
          <w:trHeight w:val="218"/>
        </w:trPr>
        <w:tc>
          <w:tcPr>
            <w:tcW w:w="2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1,320</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15,611</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13,636</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28,360</w:t>
            </w:r>
          </w:p>
        </w:tc>
        <w:tc>
          <w:tcPr>
            <w:tcW w:w="6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Voyage expenses and commissions increased by 59.7%, or $3.7 million, from $6.2 million during the six-month period ended June 30, 2017 to $9.9 million during the six-month period ended June 30, 2018. The increase is primarily attributable to the increase in voyage expenses of the vessels operating in the spot market of $2.6 million, an increase of $0.8 million in bunkers consumed during off-hire and unchartered periods for the remaining vessels and an increase of $0.3 million in brokers' commissions.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Vessel operating and supervision costs increased by 16.9%, or $9.7 million, from $57.3 million during the six-month period ended June 30, 2017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$67.0 million during the six-month period ended June 30, 2018. The increase is mainly attributable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during the first quarter of 2018, increased scheduled technical maintenance costs related to engine maintenance, intermediate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surveys, costs related to performed dry-dockings and an increase due to the unfavorable movement of the USD against the Euro ("EUR") (we have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exchange contracts to</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economically hedge part of this exposure and the associated realized gains are recorded in (Loss)/gain of derivatives, which is discussed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Depreciation increased by 8.9%, or $6.1 million, from $68.2 million during the six-month period ended June 30, 2017 to $74.3 million during the six-month period ended June 30, 2018. The increase in depreciation resulted mainly from the increase in the average number of vessels in our fleet in the six-month period ended June 30, 2018 compared to the same period of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expenses increased by 10.9%, or $2.2 million, from $20.2 million during the six-month period ended June 30, 2017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$22.4 million during the six-month period ended June 30, 2018. The increase is mainly attributable to an increase of $1.6 million in employee costs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unfavorable movement of the USD against the EUR and the British Pound ("GBP") (we have entered into forward foreign exchange contracts to economically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hedge part of this exposure and the associated realized gains are recorded in (Loss)/gain of derivatives, which is discussed below) and an increase of $0.6 million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various other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Financial costs increased by 12.9%, or $9.0 million, from $69.6 million during the six-month period ended June 30, 2017 to $78.6 million during the six-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June 30, 2018. The increase is attributable to an increase of $10.6 million in interest expense on loans, bonds and cash flow hedges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in other financial costs, partially offset by a decrease of $1.5 million in losses arising on bond repurchase, a decrease of $0.3 million in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deferred loan fees mainly driven by a decrease in write-offs of unamortized loan fees and a decrease of $0.1 million in finance lease charges.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June 30, 2018, we had an average of $2,858.1 million of outstanding indebtedness, with a weighted average interest rate of 4.6%, while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six-month period ended June 30, 2017, we had an average of $2,764.7 million of outstanding indebtedness having an aggregate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interest rate of 4.0%. These weighted average interest rates include interest expense on loans and cash flow hedges and interest expense on senior unsecured notes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cross-currency swaps ("CCS").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Gain on derivatives increased by $28.6 million, from a loss of $9.7 million during the six-month period ended June 30, 2017 to a gain of $18.9 million during the six-month period ended June 30, 2018. The increase in gain is mainly attributable to an increase of $18.4 million in gain from mark-to-market valuation of our derivative financial instruments carried at fair value through profit or loss, which reflected a loss of $1.2 million for the six-month period ended June 30, 2018, as compared to a gain of $17.2 million for the six-month period ended June 30, 2017, an increase of $4.8 million in realized gain from interest rate swaps held for trading, a decrease of $4.4 million in recycled loss of cash flow hedges reclassified to profit or loss and an increase of $1.6 million in realized gain on forward foreign exchange contracts held for trading, partially offset by an increase of $0.5 million in the ineffective portion of cash flow hedges.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 the Period:</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Profit for the period increased by $26.5 million, from a profit of $30.3 million for the six-month period ended June 30, 2017 to a profit of $56.8 million for the six-month period ended June 30, 2018, as a result of the aforementioned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Attributable to Owners of the Group:</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Profit attributable to owners of the Group increased by $14.5 million, from a profit of $1.2 million for the six-month period ended June 30, 2017 to a profit of $15.7 million for the six-month period ended June 30, 2018. The increase in profit attributable to the owners of GasLog resulted mainly from the increase in profit mentioned above, partially offset by the increase in profit attributable to the non-controlling interests (non-controlling unitholders of GasLog Partners) as a result of GasLog Partners' ATM Programme implemented in May 2017,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ind w:right="560"/>
        <w:spacing w:after="0" w:line="268" w:lineRule="auto"/>
        <w:rPr>
          <w:sz w:val="20"/>
          <w:szCs w:val="20"/>
          <w:color w:val="auto"/>
        </w:rPr>
      </w:pPr>
      <w:r>
        <w:rPr>
          <w:rFonts w:ascii="Arial" w:cs="Arial" w:eastAsia="Arial" w:hAnsi="Arial"/>
          <w:sz w:val="18"/>
          <w:szCs w:val="18"/>
          <w:color w:val="auto"/>
        </w:rPr>
        <w:t xml:space="preserve">preference unit issuances in May 2017 and January 2018, and the associated sales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Gibraltar </w:t>
      </w:r>
      <w:r>
        <w:rPr>
          <w:rFonts w:ascii="Arial" w:cs="Arial" w:eastAsia="Arial" w:hAnsi="Arial"/>
          <w:sz w:val="18"/>
          <w:szCs w:val="18"/>
          <w:color w:val="auto"/>
        </w:rPr>
        <w:t>on May 3, 2017, July 3, 2017, October 20, 2017 and April 26,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For the six-month period ended June 30, 2018, we received 88.1% of our revenues from Shell, 6.8% of our revenues from various charterers in the spot/short-term market, 5.0% of our revenues from major LNG producers and 0.1% of our revenues from Egypt LNG, an entity in which we have a 25% ownership interest. For the six-month period ended June 30, 2017, we received 93.8% of our revenues from Shell, 6.0% of our revenues from various charterers in the spot/short-term market and 0.2% of our revenues from Egypt LNG.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primary liquidity needs are to fund our operating and other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97"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4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funding and treasury activities are intended to meet our operating and financing requirements while maintaining appropriate liquidity. Cash and cash equivalents are held primarily in U.S. dollars.</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June 30, 2018, GasLog had $314.4 million of cash and cash equivalents, of which $189.2 million was held in time deposits and the remaining balance in current accounts. Moreover, as of June 30, 2018, GasLog had $26.0 million held in time deposits with an initial duration of more than three months but less than a year that have been classified as short-term investments and $2.3 million in restricted cash, which consisted of guarantees held for vessels with respect to the enhancement of their operational performance.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2018, GasLog had an aggregate of $2.9 billion of indebtedness outstanding under its credit facilities and bond agreements, of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$182.6 million was repayable within one year, and a $209.8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$6.5 million was repayable within one year.</w:t>
      </w:r>
    </w:p>
    <w:p>
      <w:pPr>
        <w:spacing w:after="0" w:line="219"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June 30, 2018, there was undrawn available capacity of $100.0 million under the revolving credit facility of the credit agreement of up to $1.1 billion entered into on July 19, 2016 (the "Legacy Facility Refinancing").</w:t>
      </w:r>
    </w:p>
    <w:p>
      <w:pPr>
        <w:spacing w:after="0" w:line="18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June 30, 2018, the total remaining balance of the contract prices of the five LNG carriers on order was $875.9 million which GasLog expects to be funded with the $165.8 million undrawn capacity under the financing agreement entered into on October 16, 2015, as well as cash balances, cash from operations and borrowings under new debt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second quarter, GasLog terminated, extended or signed new swap agreements maintaining the total notional amount as of June 30, 2018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 billion. GasLog has hedged 46.2% of its expected floating interest rate exposure on its outstanding debt (excluding the finance lease liability)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February 28, 2018 and Note 7 of our unaudited condensed consolidated financial statements included elsewhere in this report.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jc w:val="both"/>
        <w:ind w:right="260" w:firstLine="341"/>
        <w:spacing w:after="0" w:line="268" w:lineRule="auto"/>
        <w:rPr>
          <w:sz w:val="20"/>
          <w:szCs w:val="20"/>
          <w:color w:val="auto"/>
        </w:rPr>
      </w:pPr>
      <w:r>
        <w:rPr>
          <w:rFonts w:ascii="Arial" w:cs="Arial" w:eastAsia="Arial" w:hAnsi="Arial"/>
          <w:sz w:val="18"/>
          <w:szCs w:val="18"/>
          <w:color w:val="auto"/>
        </w:rPr>
        <w:t>As of June 30, 2018, GasLog's current assets totaled $389.6 million, while current liabilities totaled $324.7 million, resulting in a positive working capital position of $64.9 million.</w:t>
      </w:r>
    </w:p>
    <w:p>
      <w:pPr>
        <w:spacing w:after="0" w:line="186"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 ended June 30, 2017 compared to the six-month period ended June 30,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560" w:type="dxa"/>
            <w:vAlign w:val="bottom"/>
            <w:gridSpan w:val="4"/>
          </w:tcPr>
          <w:p>
            <w:pPr>
              <w:ind w:left="300"/>
              <w:spacing w:after="0"/>
              <w:rPr>
                <w:sz w:val="20"/>
                <w:szCs w:val="20"/>
                <w:color w:val="auto"/>
              </w:rPr>
            </w:pPr>
            <w:r>
              <w:rPr>
                <w:rFonts w:ascii="Arial" w:cs="Arial" w:eastAsia="Arial" w:hAnsi="Arial"/>
                <w:sz w:val="18"/>
                <w:szCs w:val="18"/>
                <w:b w:val="1"/>
                <w:bCs w:val="1"/>
                <w:color w:val="auto"/>
              </w:rPr>
              <w:t>For the six months ended</w:t>
            </w:r>
          </w:p>
        </w:tc>
      </w:tr>
      <w:tr>
        <w:trPr>
          <w:trHeight w:val="228"/>
        </w:trPr>
        <w:tc>
          <w:tcPr>
            <w:tcW w:w="53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June 30, 2017</w:t>
            </w: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June 30, 2018</w:t>
            </w:r>
          </w:p>
        </w:tc>
      </w:tr>
      <w:tr>
        <w:trPr>
          <w:trHeight w:val="21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5320" w:type="dxa"/>
            <w:vAlign w:val="bottom"/>
            <w:shd w:val="clear" w:color="auto" w:fill="E8FFFA"/>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104,115</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126,802</w:t>
            </w:r>
          </w:p>
        </w:tc>
        <w:tc>
          <w:tcPr>
            <w:tcW w:w="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(66,726)</w:t>
            </w:r>
          </w:p>
        </w:tc>
        <w:tc>
          <w:tcPr>
            <w:tcW w:w="1180" w:type="dxa"/>
            <w:vAlign w:val="bottom"/>
          </w:tcPr>
          <w:p>
            <w:pPr>
              <w:jc w:val="right"/>
              <w:spacing w:after="0"/>
              <w:rPr>
                <w:sz w:val="20"/>
                <w:szCs w:val="20"/>
                <w:color w:val="auto"/>
              </w:rPr>
            </w:pPr>
            <w:r>
              <w:rPr>
                <w:rFonts w:ascii="Arial" w:cs="Arial" w:eastAsia="Arial" w:hAnsi="Arial"/>
                <w:sz w:val="18"/>
                <w:szCs w:val="18"/>
                <w:color w:val="auto"/>
              </w:rPr>
              <w:t>(614,626)</w:t>
            </w:r>
          </w:p>
        </w:tc>
        <w:tc>
          <w:tcPr>
            <w:tcW w:w="60" w:type="dxa"/>
            <w:vAlign w:val="bottom"/>
          </w:tcPr>
          <w:p>
            <w:pPr>
              <w:spacing w:after="0"/>
              <w:rPr>
                <w:sz w:val="18"/>
                <w:szCs w:val="18"/>
                <w:color w:val="auto"/>
              </w:rPr>
            </w:pPr>
          </w:p>
        </w:tc>
      </w:tr>
      <w:tr>
        <w:trPr>
          <w:trHeight w:val="216"/>
        </w:trPr>
        <w:tc>
          <w:tcPr>
            <w:tcW w:w="5320" w:type="dxa"/>
            <w:vAlign w:val="bottom"/>
            <w:shd w:val="clear" w:color="auto" w:fill="E8FFFA"/>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149,377</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418,164</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cash provided by operating activities increased by $22.7 million, from $104.1 million during the six-month period ended June 30, 2017 to $126.8 million during the six-month period ended June 30, 2018. The increase was mainly attributable to an increase of $14.3 million in net pool allocation, an increase of $13.1 million in revenues, a decrease of $4.8 in realized losses on interest rate swaps held for trading, an increase of $3.6 million caused by movements in working capital accounts, an increase of $1.6 million in realized gain on forward foreign exchange contracts held for trading and a net increase of the remaining movements of $0.8 million, partially offset by an increase of $9.7 million in vessel operating and supervision costs, an increase of $3.7 million in voyage expenses and commissions and an increase of $2.1 million in general and administrative expenses.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Net cash used in investing activities increased by $547.9 million, from $66.7 million in the six-month period ended June 30, 2017 to $614.6 million in the six-month period ended June 30, 2018. The increase is mainly attributable to an increase of $525.9 million in payments for the construction costs of newbuildings and other fixed assets, a net increase of $34.0 million in short-term investments and an increase of $2.3 million in restricted cash. The above movements were partially offset by a decrease of $13.9 million in payments made for the investment in Gastrade and an increase of $1.0 million in financial income received.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Net cash provided by financing activities increased by $268.8 million, from $149.4 million in the six-month period ended June 30, 2017 to $418.2 million in the six-month period ended June 30, 2018. The increase is mainly attributable to an increase of $218.2 million in proceeds from our borrowings, a decrease of $167.2 million in bank loan and bond repayments and a decrease of $20.6 million from payments for cross currency swaps termination. The above movements were partially offset by a decrease of $87.8 million in GasLog Partners' common unit offerings, a decrease of $27.7 million in proceeds from the issuance of the Partnership's Series A Preference Units as compared to the Partnership's Series B Preference Units, an increase of $18.2 million in dividend payments and an increase of $3.6 million in payments for finance lease liabilities.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summarizes GasLog's (including the vessels contributed or sold to GasLog Partners) contracted charter revenues and vessel utilization as of June 30, 2018.</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9"/>
          </w:tcPr>
          <w:p>
            <w:pPr>
              <w:jc w:val="right"/>
              <w:ind w:right="132"/>
              <w:spacing w:after="0"/>
              <w:rPr>
                <w:sz w:val="20"/>
                <w:szCs w:val="20"/>
                <w:color w:val="auto"/>
              </w:rPr>
            </w:pPr>
            <w:r>
              <w:rPr>
                <w:rFonts w:ascii="Arial" w:cs="Arial" w:eastAsia="Arial" w:hAnsi="Arial"/>
                <w:sz w:val="18"/>
                <w:szCs w:val="18"/>
                <w:b w:val="1"/>
                <w:bCs w:val="1"/>
                <w:color w:val="auto"/>
                <w:w w:val="90"/>
              </w:rPr>
              <w:t>Contracted Charter Revenues and Days from Time Charters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On and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after July 1,</w:t>
            </w: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7"/>
          </w:tcPr>
          <w:p>
            <w:pPr>
              <w:jc w:val="right"/>
              <w:ind w:right="532"/>
              <w:spacing w:after="0"/>
              <w:rPr>
                <w:sz w:val="20"/>
                <w:szCs w:val="20"/>
                <w:color w:val="auto"/>
              </w:rPr>
            </w:pPr>
            <w:r>
              <w:rPr>
                <w:rFonts w:ascii="Arial" w:cs="Arial" w:eastAsia="Arial" w:hAnsi="Arial"/>
                <w:sz w:val="18"/>
                <w:szCs w:val="18"/>
                <w:b w:val="1"/>
                <w:bCs w:val="1"/>
                <w:color w:val="auto"/>
              </w:rPr>
              <w:t>For the years ending December 31,</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2018</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2023-2029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gridSpan w:val="9"/>
          </w:tcPr>
          <w:p>
            <w:pPr>
              <w:jc w:val="right"/>
              <w:ind w:right="292"/>
              <w:spacing w:after="0"/>
              <w:rPr>
                <w:sz w:val="20"/>
                <w:szCs w:val="20"/>
                <w:color w:val="auto"/>
              </w:rPr>
            </w:pPr>
            <w:r>
              <w:rPr>
                <w:rFonts w:ascii="Arial" w:cs="Arial" w:eastAsia="Arial" w:hAnsi="Arial"/>
                <w:sz w:val="18"/>
                <w:szCs w:val="18"/>
                <w:b w:val="1"/>
                <w:bCs w:val="1"/>
                <w:color w:val="auto"/>
                <w:w w:val="90"/>
              </w:rPr>
              <w:t>(in millions of U.S. dollars, except days and percentages)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120" w:type="dxa"/>
            <w:vAlign w:val="bottom"/>
            <w:shd w:val="clear" w:color="auto" w:fill="E8FFFA"/>
          </w:tcPr>
          <w:p>
            <w:pPr>
              <w:spacing w:after="0"/>
              <w:rPr>
                <w:sz w:val="20"/>
                <w:szCs w:val="20"/>
                <w:color w:val="auto"/>
              </w:rPr>
            </w:pPr>
            <w:r>
              <w:rPr>
                <w:rFonts w:ascii="Arial" w:cs="Arial" w:eastAsia="Arial" w:hAnsi="Arial"/>
                <w:sz w:val="18"/>
                <w:szCs w:val="18"/>
                <w:color w:val="auto"/>
              </w:rPr>
              <w:t>Contracted time charter</w:t>
            </w: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2120" w:type="dxa"/>
            <w:vAlign w:val="bottom"/>
            <w:shd w:val="clear" w:color="auto" w:fill="E8FFFA"/>
          </w:tcPr>
          <w:p>
            <w:pPr>
              <w:ind w:left="160"/>
              <w:spacing w:after="0" w:line="263"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(1)</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263.5</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548.8</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469.2</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374.3</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351.7</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1,158.5</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3,165.9</w:t>
            </w:r>
          </w:p>
        </w:tc>
      </w:tr>
      <w:tr>
        <w:trPr>
          <w:trHeight w:val="257"/>
        </w:trPr>
        <w:tc>
          <w:tcPr>
            <w:tcW w:w="20" w:type="dxa"/>
            <w:vAlign w:val="bottom"/>
          </w:tcPr>
          <w:p>
            <w:pPr>
              <w:spacing w:after="0"/>
              <w:rPr>
                <w:sz w:val="22"/>
                <w:szCs w:val="22"/>
                <w:color w:val="auto"/>
              </w:rPr>
            </w:pPr>
          </w:p>
        </w:tc>
        <w:tc>
          <w:tcPr>
            <w:tcW w:w="2120" w:type="dxa"/>
            <w:vAlign w:val="bottom"/>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3,584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14,487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41,132</w:t>
            </w:r>
          </w:p>
        </w:tc>
      </w:tr>
      <w:tr>
        <w:trPr>
          <w:trHeight w:val="257"/>
        </w:trPr>
        <w:tc>
          <w:tcPr>
            <w:tcW w:w="20" w:type="dxa"/>
            <w:vAlign w:val="bottom"/>
          </w:tcPr>
          <w:p>
            <w:pPr>
              <w:spacing w:after="0"/>
              <w:rPr>
                <w:sz w:val="22"/>
                <w:szCs w:val="22"/>
                <w:color w:val="auto"/>
              </w:rPr>
            </w:pPr>
          </w:p>
        </w:tc>
        <w:tc>
          <w:tcPr>
            <w:tcW w:w="2120" w:type="dxa"/>
            <w:vAlign w:val="bottom"/>
            <w:shd w:val="clear" w:color="auto" w:fill="E8FFFA"/>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4,714</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9,858</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10,636</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11,135</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11,315</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77,977</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125,635</w:t>
            </w:r>
          </w:p>
        </w:tc>
      </w:tr>
      <w:tr>
        <w:trPr>
          <w:trHeight w:val="262"/>
        </w:trPr>
        <w:tc>
          <w:tcPr>
            <w:tcW w:w="20" w:type="dxa"/>
            <w:vAlign w:val="bottom"/>
          </w:tcPr>
          <w:p>
            <w:pPr>
              <w:spacing w:after="0"/>
              <w:rPr>
                <w:sz w:val="22"/>
                <w:szCs w:val="22"/>
                <w:color w:val="auto"/>
              </w:rPr>
            </w:pPr>
          </w:p>
        </w:tc>
        <w:tc>
          <w:tcPr>
            <w:tcW w:w="2120" w:type="dxa"/>
            <w:vAlign w:val="bottom"/>
          </w:tcPr>
          <w:p>
            <w:pPr>
              <w:spacing w:after="0" w:line="262"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1,130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6,935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63,490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-3175</wp:posOffset>
            </wp:positionV>
            <wp:extent cx="576326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3260" cy="41148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02"/>
        </w:trPr>
        <w:tc>
          <w:tcPr>
            <w:tcW w:w="2200" w:type="dxa"/>
            <w:vAlign w:val="bottom"/>
          </w:tcPr>
          <w:p>
            <w:pPr>
              <w:spacing w:after="0" w:line="202" w:lineRule="exact"/>
              <w:rPr>
                <w:sz w:val="20"/>
                <w:szCs w:val="20"/>
                <w:color w:val="auto"/>
              </w:rPr>
            </w:pPr>
            <w:r>
              <w:rPr>
                <w:rFonts w:ascii="Arial" w:cs="Arial" w:eastAsia="Arial" w:hAnsi="Arial"/>
                <w:sz w:val="18"/>
                <w:szCs w:val="18"/>
                <w:color w:val="auto"/>
              </w:rPr>
              <w:t>Percentage of total</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rPr>
              <w:t>contracted days/total</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2200" w:type="dxa"/>
            <w:vAlign w:val="bottom"/>
          </w:tcPr>
          <w:p>
            <w:pPr>
              <w:ind w:left="180"/>
              <w:spacing w:after="0"/>
              <w:rPr>
                <w:sz w:val="20"/>
                <w:szCs w:val="20"/>
                <w:color w:val="auto"/>
              </w:rPr>
            </w:pPr>
            <w:r>
              <w:rPr>
                <w:rFonts w:ascii="Arial" w:cs="Arial" w:eastAsia="Arial" w:hAnsi="Arial"/>
                <w:sz w:val="18"/>
                <w:szCs w:val="18"/>
                <w:color w:val="auto"/>
              </w:rPr>
              <w:t>available days</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76.0%</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75.8%</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60.2%</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43.2%</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38.7%</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18.6%</w:t>
            </w: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69850</wp:posOffset>
            </wp:positionV>
            <wp:extent cx="10293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95" w:lineRule="exact"/>
        <w:rPr>
          <w:sz w:val="20"/>
          <w:szCs w:val="20"/>
          <w:color w:val="auto"/>
        </w:rPr>
      </w:pPr>
    </w:p>
    <w:p>
      <w:pPr>
        <w:ind w:left="1680" w:right="60" w:hanging="531"/>
        <w:spacing w:after="0" w:line="270" w:lineRule="auto"/>
        <w:tabs>
          <w:tab w:leader="none" w:pos="1680" w:val="left"/>
        </w:tabs>
        <w:numPr>
          <w:ilvl w:val="0"/>
          <w:numId w:val="13"/>
        </w:numPr>
        <w:rPr>
          <w:rFonts w:ascii="Arial" w:cs="Arial" w:eastAsia="Arial" w:hAnsi="Arial"/>
          <w:sz w:val="10"/>
          <w:szCs w:val="10"/>
          <w:color w:val="auto"/>
        </w:rPr>
      </w:pPr>
      <w:r>
        <w:rPr>
          <w:rFonts w:ascii="Arial" w:cs="Arial" w:eastAsia="Arial" w:hAnsi="Arial"/>
          <w:sz w:val="12"/>
          <w:szCs w:val="12"/>
          <w:color w:val="auto"/>
        </w:rPr>
        <w:t xml:space="preserve">Reflects time charter revenues and contracted days for seven of our currently wholly owned ships, the 13 ships currently owned by the Partnership, the bareboat vessel and two of our five newbuildings on order for which we have secured time charters. Does not include charter revenues for the vessels operating in the spot/short-term market under the Cool Pool agreement and the </w:t>
      </w:r>
      <w:r>
        <w:rPr>
          <w:rFonts w:ascii="Arial" w:cs="Arial" w:eastAsia="Arial" w:hAnsi="Arial"/>
          <w:sz w:val="12"/>
          <w:szCs w:val="12"/>
          <w:i w:val="1"/>
          <w:iCs w:val="1"/>
          <w:color w:val="auto"/>
        </w:rPr>
        <w:t>Methane Nile Eagle</w:t>
      </w:r>
      <w:r>
        <w:rPr>
          <w:rFonts w:ascii="Arial" w:cs="Arial" w:eastAsia="Arial" w:hAnsi="Arial"/>
          <w:sz w:val="12"/>
          <w:szCs w:val="12"/>
          <w:color w:val="auto"/>
        </w:rPr>
        <w:t>, in which we hold a 25% minority interest. Contracted revenue calculations assume: (a) 365 revenue days per annum, with 30 off-hire days when the ship undergoes scheduled dry-docking (every five years). We have also assumed ten additional off-hire days for the enhancement of one vessel; (b) all LNG carriers on order are delivered on schedule; and (c) no exercise of any option to extend the terms of charters. Revenue calculations for such charters include an estimate of the amount of the operating cost component and the management fee component.</w:t>
      </w:r>
    </w:p>
    <w:p>
      <w:pPr>
        <w:spacing w:after="0" w:line="94" w:lineRule="exact"/>
        <w:rPr>
          <w:rFonts w:ascii="Arial" w:cs="Arial" w:eastAsia="Arial" w:hAnsi="Arial"/>
          <w:sz w:val="10"/>
          <w:szCs w:val="10"/>
          <w:color w:val="auto"/>
        </w:rPr>
      </w:pPr>
    </w:p>
    <w:p>
      <w:pPr>
        <w:ind w:left="1680" w:hanging="531"/>
        <w:spacing w:after="0" w:line="239" w:lineRule="auto"/>
        <w:tabs>
          <w:tab w:leader="none" w:pos="16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 We have also assumed ten additional off-hire days for the enhancement of one vessel. The available days for the vessels operating in the spot/short-term market are included.</w:t>
      </w:r>
    </w:p>
    <w:p>
      <w:pPr>
        <w:spacing w:after="0" w:line="111" w:lineRule="exact"/>
        <w:rPr>
          <w:rFonts w:ascii="Arial" w:cs="Arial" w:eastAsia="Arial" w:hAnsi="Arial"/>
          <w:sz w:val="11"/>
          <w:szCs w:val="11"/>
          <w:color w:val="auto"/>
        </w:rPr>
      </w:pPr>
    </w:p>
    <w:p>
      <w:pPr>
        <w:ind w:left="1680" w:right="140" w:hanging="531"/>
        <w:spacing w:after="0" w:line="239" w:lineRule="auto"/>
        <w:tabs>
          <w:tab w:leader="none" w:pos="16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9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Other than the assumptions reflected in the footnotes to the table, including our assumption that our newbuildings are delivered on schedule, the table does not reflect events occurring after June 30, 2018.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six vessels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six vessels that are operating in the Cool Pool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28, 2018. For these reasons, the contracted charter revenue information presented above is not fact and should not be relied upon as being necessarily indicative of future results and readers are cautioned not to place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spacing w:after="0" w:line="306" w:lineRule="auto"/>
        <w:rPr>
          <w:sz w:val="20"/>
          <w:szCs w:val="20"/>
          <w:color w:val="auto"/>
        </w:rPr>
      </w:pPr>
      <w:r>
        <w:rPr>
          <w:rFonts w:ascii="Arial" w:cs="Arial" w:eastAsia="Arial" w:hAnsi="Arial"/>
          <w:sz w:val="16"/>
          <w:szCs w:val="16"/>
          <w:color w:val="auto"/>
        </w:rPr>
        <w:t>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jc w:val="both"/>
        <w:ind w:right="300" w:firstLine="351"/>
        <w:spacing w:after="0" w:line="370"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February 28, 2018 and Note 2 of our unaudited condensed consolidated financial statements included elsewhere in this report.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88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3"/>
              </w:rPr>
              <w:t>Page</w:t>
            </w:r>
          </w:p>
        </w:tc>
      </w:tr>
      <w:tr>
        <w:trPr>
          <w:trHeight w:val="211"/>
        </w:trPr>
        <w:tc>
          <w:tcPr>
            <w:tcW w:w="1160" w:type="dxa"/>
            <w:vAlign w:val="bottom"/>
          </w:tcPr>
          <w:p>
            <w:pPr>
              <w:spacing w:after="0"/>
              <w:rPr>
                <w:sz w:val="18"/>
                <w:szCs w:val="18"/>
                <w:color w:val="auto"/>
              </w:rPr>
            </w:pPr>
          </w:p>
        </w:tc>
        <w:tc>
          <w:tcPr>
            <w:tcW w:w="8380" w:type="dxa"/>
            <w:vAlign w:val="bottom"/>
            <w:shd w:val="clear" w:color="auto" w:fill="E8FFFA"/>
          </w:tcPr>
          <w:p>
            <w:pPr>
              <w:spacing w:after="0"/>
              <w:rPr>
                <w:sz w:val="20"/>
                <w:szCs w:val="20"/>
                <w:color w:val="auto"/>
              </w:rPr>
            </w:pPr>
            <w:r>
              <w:rPr>
                <w:rFonts w:ascii="Arial" w:cs="Arial" w:eastAsia="Arial" w:hAnsi="Arial"/>
                <w:sz w:val="18"/>
                <w:szCs w:val="18"/>
                <w:color w:val="auto"/>
                <w:w w:val="93"/>
              </w:rPr>
              <w:t>Unaudited condensed consolidated statements of financial position as of December 31, 2017 and June 30, 2018</w:t>
            </w:r>
          </w:p>
        </w:tc>
        <w:tc>
          <w:tcPr>
            <w:tcW w:w="74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88"/>
              </w:rPr>
              <w:t>F-2</w:t>
            </w: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89"/>
              </w:rPr>
              <w:t>Unaudited condensed consolidated statements of profit or loss for the three and six months ended June 30, 2017 and</w:t>
            </w: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9540" w:type="dxa"/>
            <w:vAlign w:val="bottom"/>
            <w:gridSpan w:val="2"/>
          </w:tcPr>
          <w:p>
            <w:pPr>
              <w:ind w:left="1320"/>
              <w:spacing w:after="0"/>
              <w:rPr>
                <w:sz w:val="20"/>
                <w:szCs w:val="20"/>
                <w:color w:val="auto"/>
              </w:rPr>
            </w:pPr>
            <w:r>
              <w:rPr>
                <w:rFonts w:ascii="Arial" w:cs="Arial" w:eastAsia="Arial" w:hAnsi="Arial"/>
                <w:sz w:val="18"/>
                <w:szCs w:val="18"/>
                <w:color w:val="auto"/>
              </w:rPr>
              <w:t>2018</w:t>
            </w:r>
          </w:p>
        </w:tc>
        <w:tc>
          <w:tcPr>
            <w:tcW w:w="188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F-3</w:t>
            </w:r>
          </w:p>
        </w:tc>
      </w:tr>
      <w:tr>
        <w:trPr>
          <w:trHeight w:val="210"/>
        </w:trPr>
        <w:tc>
          <w:tcPr>
            <w:tcW w:w="1160" w:type="dxa"/>
            <w:vAlign w:val="bottom"/>
          </w:tcPr>
          <w:p>
            <w:pPr>
              <w:spacing w:after="0"/>
              <w:rPr>
                <w:sz w:val="18"/>
                <w:szCs w:val="18"/>
                <w:color w:val="auto"/>
              </w:rPr>
            </w:pPr>
          </w:p>
        </w:tc>
        <w:tc>
          <w:tcPr>
            <w:tcW w:w="8380" w:type="dxa"/>
            <w:vAlign w:val="bottom"/>
            <w:shd w:val="clear" w:color="auto" w:fill="E8FFFA"/>
          </w:tcPr>
          <w:p>
            <w:pPr>
              <w:spacing w:after="0"/>
              <w:rPr>
                <w:sz w:val="20"/>
                <w:szCs w:val="20"/>
                <w:color w:val="auto"/>
              </w:rPr>
            </w:pPr>
            <w:r>
              <w:rPr>
                <w:rFonts w:ascii="Arial" w:cs="Arial" w:eastAsia="Arial" w:hAnsi="Arial"/>
                <w:sz w:val="18"/>
                <w:szCs w:val="18"/>
                <w:color w:val="auto"/>
                <w:w w:val="90"/>
              </w:rPr>
              <w:t>Unaudited condensed consolidated statements of comprehensive income or loss for the three and six months ended</w:t>
            </w:r>
          </w:p>
        </w:tc>
        <w:tc>
          <w:tcPr>
            <w:tcW w:w="740" w:type="dxa"/>
            <w:vAlign w:val="bottom"/>
            <w:shd w:val="clear" w:color="auto" w:fill="E8FFFA"/>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8380" w:type="dxa"/>
            <w:vAlign w:val="bottom"/>
            <w:shd w:val="clear" w:color="auto" w:fill="E8FFFA"/>
          </w:tcPr>
          <w:p>
            <w:pPr>
              <w:ind w:left="160"/>
              <w:spacing w:after="0"/>
              <w:rPr>
                <w:sz w:val="20"/>
                <w:szCs w:val="20"/>
                <w:color w:val="auto"/>
              </w:rPr>
            </w:pPr>
            <w:r>
              <w:rPr>
                <w:rFonts w:ascii="Arial" w:cs="Arial" w:eastAsia="Arial" w:hAnsi="Arial"/>
                <w:sz w:val="18"/>
                <w:szCs w:val="18"/>
                <w:color w:val="auto"/>
              </w:rPr>
              <w:t>June 30, 2017 and 2018</w:t>
            </w:r>
          </w:p>
        </w:tc>
        <w:tc>
          <w:tcPr>
            <w:tcW w:w="7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F-4</w:t>
            </w: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88"/>
              </w:rPr>
              <w:t>Unaudited condensed consolidated statements of changes in equity for the six months ended June 30, 2017 and 2018</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380" w:type="dxa"/>
            <w:vAlign w:val="bottom"/>
            <w:shd w:val="clear" w:color="auto" w:fill="E8FFFA"/>
          </w:tcPr>
          <w:p>
            <w:pPr>
              <w:spacing w:after="0"/>
              <w:rPr>
                <w:sz w:val="20"/>
                <w:szCs w:val="20"/>
                <w:color w:val="auto"/>
              </w:rPr>
            </w:pPr>
            <w:r>
              <w:rPr>
                <w:rFonts w:ascii="Arial" w:cs="Arial" w:eastAsia="Arial" w:hAnsi="Arial"/>
                <w:sz w:val="18"/>
                <w:szCs w:val="18"/>
                <w:color w:val="auto"/>
                <w:w w:val="94"/>
              </w:rPr>
              <w:t>Unaudited condensed consolidated statements of cash flows for the six months ended June 30, 2017 and 2018</w:t>
            </w:r>
          </w:p>
        </w:tc>
        <w:tc>
          <w:tcPr>
            <w:tcW w:w="7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F-6</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8380" w:type="dxa"/>
            <w:vAlign w:val="bottom"/>
          </w:tcPr>
          <w:p>
            <w:pPr>
              <w:ind w:left="4440"/>
              <w:spacing w:after="0"/>
              <w:rPr>
                <w:sz w:val="20"/>
                <w:szCs w:val="20"/>
                <w:color w:val="auto"/>
              </w:rPr>
            </w:pPr>
            <w:r>
              <w:rPr>
                <w:rFonts w:ascii="Arial" w:cs="Arial" w:eastAsia="Arial" w:hAnsi="Arial"/>
                <w:sz w:val="18"/>
                <w:szCs w:val="18"/>
                <w:color w:val="auto"/>
              </w:rPr>
              <w:t>F-1</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GasLog Ltd. and its Subsidiaries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 and June 30, 2018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b w:val="1"/>
                <w:bCs w:val="1"/>
                <w:color w:val="auto"/>
              </w:rPr>
              <w:t>Note</w:t>
            </w:r>
          </w:p>
        </w:tc>
        <w:tc>
          <w:tcPr>
            <w:tcW w:w="16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December 31, 2017</w:t>
            </w:r>
          </w:p>
        </w:tc>
        <w:tc>
          <w:tcPr>
            <w:tcW w:w="164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9,511</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20,800</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Deferred financing costs</w:t>
            </w:r>
          </w:p>
        </w:tc>
        <w:tc>
          <w:tcPr>
            <w:tcW w:w="5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17,519</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14</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16,012</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31,440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Tangible fixed assets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3,772,566</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4,378,295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Vessels under construction</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5</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166,655</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89,956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214,329</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4,217,820</w:t>
            </w: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4,746,291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Trade and other receivables</w:t>
            </w:r>
          </w:p>
        </w:tc>
        <w:tc>
          <w:tcPr>
            <w:tcW w:w="5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10,706</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4"/>
              </w:rPr>
              <w:t>Dividends receivable and other amounts due from related parties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8,666</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14</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2,199</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6,839</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Prepayments and other current assets</w:t>
            </w:r>
          </w:p>
        </w:tc>
        <w:tc>
          <w:tcPr>
            <w:tcW w:w="5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4,569</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384,092</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314,369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417,071</w:t>
            </w: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389,642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4,634,891</w:t>
            </w:r>
          </w:p>
        </w:tc>
        <w:tc>
          <w:tcPr>
            <w:tcW w:w="1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5,135,933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4920" w:type="dxa"/>
            <w:vAlign w:val="bottom"/>
            <w:shd w:val="clear" w:color="auto" w:fill="E8FFFA"/>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56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58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580" w:type="dxa"/>
            <w:vAlign w:val="bottom"/>
            <w:shd w:val="clear" w:color="auto" w:fill="E8FFFA"/>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Preference shares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12</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 capital</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Contributed surplus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12</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911,766</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883,314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Reserves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18,347</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Treasury shares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12</w:t>
            </w:r>
          </w:p>
        </w:tc>
        <w:tc>
          <w:tcPr>
            <w:tcW w:w="1900" w:type="dxa"/>
            <w:vAlign w:val="bottom"/>
            <w:gridSpan w:val="3"/>
            <w:shd w:val="clear" w:color="auto" w:fill="E8FFFA"/>
          </w:tcPr>
          <w:p>
            <w:pPr>
              <w:jc w:val="right"/>
              <w:ind w:right="100"/>
              <w:spacing w:after="0"/>
              <w:rPr>
                <w:sz w:val="20"/>
                <w:szCs w:val="20"/>
                <w:color w:val="auto"/>
              </w:rPr>
            </w:pPr>
            <w:r>
              <w:rPr>
                <w:rFonts w:ascii="Arial" w:cs="Arial" w:eastAsia="Arial" w:hAnsi="Arial"/>
                <w:sz w:val="18"/>
                <w:szCs w:val="18"/>
                <w:color w:val="auto"/>
              </w:rPr>
              <w:t>(6,960)</w:t>
            </w: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56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(5,980)</w:t>
            </w:r>
          </w:p>
        </w:tc>
        <w:tc>
          <w:tcPr>
            <w:tcW w:w="1580" w:type="dxa"/>
            <w:vAlign w:val="bottom"/>
          </w:tcPr>
          <w:p>
            <w:pPr>
              <w:jc w:val="right"/>
              <w:spacing w:after="0"/>
              <w:rPr>
                <w:sz w:val="20"/>
                <w:szCs w:val="20"/>
                <w:color w:val="auto"/>
              </w:rPr>
            </w:pPr>
            <w:r>
              <w:rPr>
                <w:rFonts w:ascii="Arial" w:cs="Arial" w:eastAsia="Arial" w:hAnsi="Arial"/>
                <w:sz w:val="18"/>
                <w:szCs w:val="18"/>
                <w:color w:val="auto"/>
              </w:rPr>
              <w:t>9,894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918,029</w:t>
            </w: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908,482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845,105</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954,587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equity</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1,763,134</w:t>
            </w:r>
          </w:p>
        </w:tc>
        <w:tc>
          <w:tcPr>
            <w:tcW w:w="16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1,863,069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Trade accounts payable</w:t>
            </w:r>
          </w:p>
        </w:tc>
        <w:tc>
          <w:tcPr>
            <w:tcW w:w="5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11,526</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Amounts due to related parties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8</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Other payables and accruals</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11</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93,418</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120,565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179,367</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Finance lease liability, current portion</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6</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6,302</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294,857</w:t>
            </w:r>
          </w:p>
        </w:tc>
        <w:tc>
          <w:tcPr>
            <w:tcW w:w="16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Non-current liabilities</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Borrowings, non-current portion</w:t>
            </w:r>
          </w:p>
        </w:tc>
        <w:tc>
          <w:tcPr>
            <w:tcW w:w="5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7</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2,368,189</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2,742,255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207,126</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Other non-current liabilities</w:t>
            </w:r>
          </w:p>
        </w:tc>
        <w:tc>
          <w:tcPr>
            <w:tcW w:w="560" w:type="dxa"/>
            <w:vAlign w:val="bottom"/>
            <w:shd w:val="clear" w:color="auto" w:fill="E8FFFA"/>
          </w:tcPr>
          <w:p>
            <w:pPr>
              <w:spacing w:after="0"/>
              <w:rPr>
                <w:sz w:val="18"/>
                <w:szCs w:val="18"/>
                <w:color w:val="auto"/>
              </w:rPr>
            </w:pP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2,576,900</w:t>
            </w:r>
          </w:p>
        </w:tc>
        <w:tc>
          <w:tcPr>
            <w:tcW w:w="16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2,948,132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equity and liabilities</w:t>
            </w:r>
          </w:p>
        </w:tc>
        <w:tc>
          <w:tcPr>
            <w:tcW w:w="5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4,634,891</w:t>
            </w:r>
          </w:p>
        </w:tc>
        <w:tc>
          <w:tcPr>
            <w:tcW w:w="160" w:type="dxa"/>
            <w:vAlign w:val="bottom"/>
            <w:shd w:val="clear" w:color="auto" w:fill="E8FFFA"/>
          </w:tcPr>
          <w:p>
            <w:pPr>
              <w:spacing w:after="0"/>
              <w:rPr>
                <w:sz w:val="18"/>
                <w:szCs w:val="18"/>
                <w:color w:val="auto"/>
              </w:rPr>
            </w:pP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5,135,933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For the three months ended</w:t>
            </w:r>
          </w:p>
        </w:tc>
        <w:tc>
          <w:tcPr>
            <w:tcW w:w="60" w:type="dxa"/>
            <w:vAlign w:val="bottom"/>
          </w:tcPr>
          <w:p>
            <w:pPr>
              <w:spacing w:after="0"/>
              <w:rPr>
                <w:sz w:val="18"/>
                <w:szCs w:val="18"/>
                <w:color w:val="auto"/>
              </w:rPr>
            </w:pPr>
          </w:p>
        </w:tc>
        <w:tc>
          <w:tcPr>
            <w:tcW w:w="256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Note</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June 30, 2017</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2018</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2017</w:t>
            </w: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129,930</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132,824</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258,215</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271,302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pool allocation</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360" w:type="dxa"/>
            <w:vAlign w:val="bottom"/>
            <w:shd w:val="clear" w:color="auto" w:fill="E8FFFA"/>
          </w:tcPr>
          <w:p>
            <w:pPr>
              <w:spacing w:after="0"/>
              <w:rPr>
                <w:sz w:val="18"/>
                <w:szCs w:val="18"/>
                <w:color w:val="auto"/>
              </w:rPr>
            </w:pPr>
          </w:p>
        </w:tc>
        <w:tc>
          <w:tcPr>
            <w:tcW w:w="14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(3,319)</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(4,634)</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(6,191)</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3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(29,833)</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(32,703)</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(57,322)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5</w:t>
            </w:r>
          </w:p>
        </w:tc>
        <w:tc>
          <w:tcPr>
            <w:tcW w:w="14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(34,451)</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(38,813)</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(68,159)</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(74,342)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(10,246)</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(10,352)</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(20,225)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3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52,573</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53,280</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107,638</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113,275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Financial costs</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79"/>
              </w:rPr>
              <w:t>15</w:t>
            </w:r>
          </w:p>
        </w:tc>
        <w:tc>
          <w:tcPr>
            <w:tcW w:w="14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(37,078)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(42,000)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(69,602)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(78,597)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360" w:type="dxa"/>
            <w:vAlign w:val="bottom"/>
            <w:shd w:val="clear" w:color="auto" w:fill="E8FFFA"/>
          </w:tcPr>
          <w:p>
            <w:pPr>
              <w:spacing w:after="0"/>
              <w:rPr>
                <w:sz w:val="18"/>
                <w:szCs w:val="18"/>
                <w:color w:val="auto"/>
              </w:rPr>
            </w:pP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15</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(9,720)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(9,722)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color w:val="auto"/>
              </w:rPr>
              <w:t>Share of profit of associates</w:t>
            </w:r>
          </w:p>
        </w:tc>
        <w:tc>
          <w:tcPr>
            <w:tcW w:w="3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4</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3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6,904</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14,212</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56,753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20"/>
                <w:szCs w:val="20"/>
                <w:color w:val="auto"/>
              </w:rPr>
            </w:pPr>
            <w:r>
              <w:rPr>
                <w:rFonts w:ascii="Arial" w:cs="Arial" w:eastAsia="Arial" w:hAnsi="Arial"/>
                <w:sz w:val="18"/>
                <w:szCs w:val="18"/>
                <w:color w:val="auto"/>
              </w:rPr>
              <w:t>Owners of the Group</w:t>
            </w:r>
          </w:p>
        </w:tc>
        <w:tc>
          <w:tcPr>
            <w:tcW w:w="360" w:type="dxa"/>
            <w:vAlign w:val="bottom"/>
            <w:shd w:val="clear" w:color="auto" w:fill="E8FFFA"/>
          </w:tcPr>
          <w:p>
            <w:pPr>
              <w:spacing w:after="0"/>
              <w:rPr>
                <w:sz w:val="18"/>
                <w:szCs w:val="18"/>
                <w:color w:val="auto"/>
              </w:rPr>
            </w:pPr>
          </w:p>
        </w:tc>
        <w:tc>
          <w:tcPr>
            <w:tcW w:w="14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(7,515)</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color w:val="auto"/>
              </w:rPr>
              <w:t>(3,620)</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E8FFFA"/>
          </w:tcPr>
          <w:p>
            <w:pPr>
              <w:spacing w:after="0"/>
              <w:rPr>
                <w:sz w:val="18"/>
                <w:szCs w:val="18"/>
                <w:color w:val="auto"/>
              </w:rPr>
            </w:pP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15,684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17,832</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E8FFFA"/>
          </w:tcPr>
          <w:p>
            <w:pPr>
              <w:spacing w:after="0"/>
              <w:rPr>
                <w:sz w:val="18"/>
                <w:szCs w:val="18"/>
                <w:color w:val="auto"/>
              </w:rPr>
            </w:pPr>
          </w:p>
        </w:tc>
        <w:tc>
          <w:tcPr>
            <w:tcW w:w="3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6,904</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14,212</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56,753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E8FFFA"/>
          </w:tcPr>
          <w:p>
            <w:pPr>
              <w:spacing w:after="0" w:line="201" w:lineRule="exact"/>
              <w:rPr>
                <w:sz w:val="20"/>
                <w:szCs w:val="20"/>
                <w:color w:val="auto"/>
              </w:rPr>
            </w:pPr>
            <w:r>
              <w:rPr>
                <w:rFonts w:ascii="Arial" w:cs="Arial" w:eastAsia="Arial" w:hAnsi="Arial"/>
                <w:sz w:val="18"/>
                <w:szCs w:val="18"/>
                <w:b w:val="1"/>
                <w:bCs w:val="1"/>
                <w:color w:val="auto"/>
                <w:w w:val="99"/>
              </w:rPr>
              <w:t>(Loss)/earnings per share – basic and</w:t>
            </w:r>
          </w:p>
        </w:tc>
        <w:tc>
          <w:tcPr>
            <w:tcW w:w="360" w:type="dxa"/>
            <w:vAlign w:val="bottom"/>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160" w:type="dxa"/>
            <w:vAlign w:val="bottom"/>
            <w:shd w:val="clear" w:color="auto" w:fill="E8FFFA"/>
          </w:tcPr>
          <w:p>
            <w:pPr>
              <w:spacing w:after="0"/>
              <w:rPr>
                <w:sz w:val="17"/>
                <w:szCs w:val="17"/>
                <w:color w:val="auto"/>
              </w:rPr>
            </w:pPr>
          </w:p>
        </w:tc>
        <w:tc>
          <w:tcPr>
            <w:tcW w:w="100" w:type="dxa"/>
            <w:vAlign w:val="bottom"/>
            <w:shd w:val="clear" w:color="auto" w:fill="E8FFFA"/>
          </w:tcPr>
          <w:p>
            <w:pPr>
              <w:spacing w:after="0"/>
              <w:rPr>
                <w:sz w:val="17"/>
                <w:szCs w:val="17"/>
                <w:color w:val="auto"/>
              </w:rPr>
            </w:pPr>
          </w:p>
        </w:tc>
        <w:tc>
          <w:tcPr>
            <w:tcW w:w="60" w:type="dxa"/>
            <w:vAlign w:val="bottom"/>
            <w:shd w:val="clear" w:color="auto" w:fill="E8FFFA"/>
          </w:tcPr>
          <w:p>
            <w:pPr>
              <w:spacing w:after="0"/>
              <w:rPr>
                <w:sz w:val="17"/>
                <w:szCs w:val="17"/>
                <w:color w:val="auto"/>
              </w:rPr>
            </w:pPr>
          </w:p>
        </w:tc>
        <w:tc>
          <w:tcPr>
            <w:tcW w:w="1180" w:type="dxa"/>
            <w:vAlign w:val="bottom"/>
            <w:shd w:val="clear" w:color="auto" w:fill="E8FFFA"/>
          </w:tcPr>
          <w:p>
            <w:pPr>
              <w:spacing w:after="0"/>
              <w:rPr>
                <w:sz w:val="17"/>
                <w:szCs w:val="17"/>
                <w:color w:val="auto"/>
              </w:rPr>
            </w:pPr>
          </w:p>
        </w:tc>
        <w:tc>
          <w:tcPr>
            <w:tcW w:w="100" w:type="dxa"/>
            <w:vAlign w:val="bottom"/>
            <w:shd w:val="clear" w:color="auto" w:fill="E8FFFA"/>
          </w:tcPr>
          <w:p>
            <w:pPr>
              <w:spacing w:after="0"/>
              <w:rPr>
                <w:sz w:val="17"/>
                <w:szCs w:val="17"/>
                <w:color w:val="auto"/>
              </w:rPr>
            </w:pPr>
          </w:p>
        </w:tc>
        <w:tc>
          <w:tcPr>
            <w:tcW w:w="60" w:type="dxa"/>
            <w:vAlign w:val="bottom"/>
            <w:shd w:val="clear" w:color="auto" w:fill="E8FFFA"/>
          </w:tcPr>
          <w:p>
            <w:pPr>
              <w:spacing w:after="0"/>
              <w:rPr>
                <w:sz w:val="17"/>
                <w:szCs w:val="17"/>
                <w:color w:val="auto"/>
              </w:rPr>
            </w:pPr>
          </w:p>
        </w:tc>
        <w:tc>
          <w:tcPr>
            <w:tcW w:w="1180" w:type="dxa"/>
            <w:vAlign w:val="bottom"/>
            <w:shd w:val="clear" w:color="auto" w:fill="E8FFFA"/>
          </w:tcPr>
          <w:p>
            <w:pPr>
              <w:spacing w:after="0"/>
              <w:rPr>
                <w:sz w:val="17"/>
                <w:szCs w:val="17"/>
                <w:color w:val="auto"/>
              </w:rPr>
            </w:pPr>
          </w:p>
        </w:tc>
        <w:tc>
          <w:tcPr>
            <w:tcW w:w="100" w:type="dxa"/>
            <w:vAlign w:val="bottom"/>
            <w:shd w:val="clear" w:color="auto" w:fill="E8FFFA"/>
          </w:tcPr>
          <w:p>
            <w:pPr>
              <w:spacing w:after="0"/>
              <w:rPr>
                <w:sz w:val="17"/>
                <w:szCs w:val="17"/>
                <w:color w:val="auto"/>
              </w:rPr>
            </w:pPr>
          </w:p>
        </w:tc>
        <w:tc>
          <w:tcPr>
            <w:tcW w:w="60" w:type="dxa"/>
            <w:vAlign w:val="bottom"/>
            <w:shd w:val="clear" w:color="auto" w:fill="E8FFFA"/>
          </w:tcPr>
          <w:p>
            <w:pPr>
              <w:spacing w:after="0"/>
              <w:rPr>
                <w:sz w:val="17"/>
                <w:szCs w:val="17"/>
                <w:color w:val="auto"/>
              </w:rPr>
            </w:pPr>
          </w:p>
        </w:tc>
        <w:tc>
          <w:tcPr>
            <w:tcW w:w="1180" w:type="dxa"/>
            <w:vAlign w:val="bottom"/>
            <w:shd w:val="clear" w:color="auto" w:fill="E8FFFA"/>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E8FFFA"/>
          </w:tcPr>
          <w:p>
            <w:pPr>
              <w:ind w:left="160"/>
              <w:spacing w:after="0"/>
              <w:rPr>
                <w:sz w:val="20"/>
                <w:szCs w:val="20"/>
                <w:color w:val="auto"/>
              </w:rPr>
            </w:pPr>
            <w:r>
              <w:rPr>
                <w:rFonts w:ascii="Arial" w:cs="Arial" w:eastAsia="Arial" w:hAnsi="Arial"/>
                <w:sz w:val="18"/>
                <w:szCs w:val="18"/>
                <w:b w:val="1"/>
                <w:bCs w:val="1"/>
                <w:color w:val="auto"/>
              </w:rPr>
              <w:t>diluted</w:t>
            </w:r>
          </w:p>
        </w:tc>
        <w:tc>
          <w:tcPr>
            <w:tcW w:w="3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18</w:t>
            </w:r>
          </w:p>
        </w:tc>
        <w:tc>
          <w:tcPr>
            <w:tcW w:w="14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b w:val="1"/>
                <w:bCs w:val="1"/>
                <w:color w:val="auto"/>
              </w:rPr>
              <w:t>(0.12)</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b w:val="1"/>
                <w:bCs w:val="1"/>
                <w:color w:val="auto"/>
              </w:rPr>
              <w:t>(0.08)</w:t>
            </w:r>
          </w:p>
        </w:tc>
        <w:tc>
          <w:tcPr>
            <w:tcW w:w="1340" w:type="dxa"/>
            <w:vAlign w:val="bottom"/>
            <w:gridSpan w:val="3"/>
            <w:shd w:val="clear" w:color="auto" w:fill="E8FFFA"/>
          </w:tcPr>
          <w:p>
            <w:pPr>
              <w:jc w:val="right"/>
              <w:ind w:right="40"/>
              <w:spacing w:after="0"/>
              <w:rPr>
                <w:sz w:val="20"/>
                <w:szCs w:val="20"/>
                <w:color w:val="auto"/>
              </w:rPr>
            </w:pPr>
            <w:r>
              <w:rPr>
                <w:rFonts w:ascii="Arial" w:cs="Arial" w:eastAsia="Arial" w:hAnsi="Arial"/>
                <w:sz w:val="18"/>
                <w:szCs w:val="18"/>
                <w:b w:val="1"/>
                <w:bCs w:val="1"/>
                <w:color w:val="auto"/>
              </w:rPr>
              <w:t>(0.05)</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ind w:right="4319"/>
        <w:spacing w:after="0" w:line="262"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and six months ended June 30, 2017 and 2018 (Amounts expressed in thousands of U.S. Dollars)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2"/>
              </w:rPr>
              <w:t>For the three months ended</w:t>
            </w:r>
          </w:p>
        </w:tc>
        <w:tc>
          <w:tcPr>
            <w:tcW w:w="236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2017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2018</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7"/>
              </w:rPr>
              <w:t>June 30,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4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6,904</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14,212</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30,296</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comprehensive income/(loss):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E8FFFA"/>
          </w:tcPr>
          <w:p>
            <w:pPr>
              <w:spacing w:after="0" w:line="201" w:lineRule="exact"/>
              <w:rPr>
                <w:sz w:val="20"/>
                <w:szCs w:val="20"/>
                <w:color w:val="auto"/>
              </w:rPr>
            </w:pPr>
            <w:r>
              <w:rPr>
                <w:rFonts w:ascii="Arial" w:cs="Arial" w:eastAsia="Arial" w:hAnsi="Arial"/>
                <w:sz w:val="18"/>
                <w:szCs w:val="18"/>
                <w:b w:val="1"/>
                <w:bCs w:val="1"/>
                <w:color w:val="auto"/>
                <w:w w:val="93"/>
              </w:rPr>
              <w:t>Items that may be reclassified subsequently</w:t>
            </w:r>
          </w:p>
        </w:tc>
        <w:tc>
          <w:tcPr>
            <w:tcW w:w="46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E8FFFA"/>
          </w:tcPr>
          <w:p>
            <w:pPr>
              <w:ind w:left="160"/>
              <w:spacing w:after="0"/>
              <w:rPr>
                <w:sz w:val="20"/>
                <w:szCs w:val="20"/>
                <w:color w:val="auto"/>
              </w:rPr>
            </w:pPr>
            <w:r>
              <w:rPr>
                <w:rFonts w:ascii="Arial" w:cs="Arial" w:eastAsia="Arial" w:hAnsi="Arial"/>
                <w:sz w:val="18"/>
                <w:szCs w:val="18"/>
                <w:b w:val="1"/>
                <w:bCs w:val="1"/>
                <w:color w:val="auto"/>
              </w:rPr>
              <w:t>to profit or loss:</w:t>
            </w:r>
          </w:p>
        </w:tc>
        <w:tc>
          <w:tcPr>
            <w:tcW w:w="46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10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10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10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100" w:type="dxa"/>
            <w:vAlign w:val="bottom"/>
            <w:shd w:val="clear" w:color="auto" w:fill="E8FFFA"/>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Effective portion of changes in fair value of</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w w:val="93"/>
              </w:rPr>
              <w:t>cash flow hedges, net of amounts recycled to</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profit or loss</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E8FFFA"/>
          </w:tcPr>
          <w:p>
            <w:pPr>
              <w:spacing w:after="0"/>
              <w:rPr>
                <w:sz w:val="20"/>
                <w:szCs w:val="20"/>
                <w:color w:val="auto"/>
              </w:rPr>
            </w:pPr>
            <w:r>
              <w:rPr>
                <w:rFonts w:ascii="Arial" w:cs="Arial" w:eastAsia="Arial" w:hAnsi="Arial"/>
                <w:sz w:val="18"/>
                <w:szCs w:val="18"/>
                <w:color w:val="auto"/>
                <w:w w:val="95"/>
              </w:rPr>
              <w:t>Recycled loss of cash flow hedges reclassified</w:t>
            </w:r>
          </w:p>
        </w:tc>
        <w:tc>
          <w:tcPr>
            <w:tcW w:w="4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E8FFFA"/>
          </w:tcPr>
          <w:p>
            <w:pPr>
              <w:ind w:left="160"/>
              <w:spacing w:after="0"/>
              <w:rPr>
                <w:sz w:val="20"/>
                <w:szCs w:val="20"/>
                <w:color w:val="auto"/>
              </w:rPr>
            </w:pPr>
            <w:r>
              <w:rPr>
                <w:rFonts w:ascii="Arial" w:cs="Arial" w:eastAsia="Arial" w:hAnsi="Arial"/>
                <w:sz w:val="18"/>
                <w:szCs w:val="18"/>
                <w:color w:val="auto"/>
              </w:rPr>
              <w:t>to profit or loss</w:t>
            </w:r>
          </w:p>
        </w:tc>
        <w:tc>
          <w:tcPr>
            <w:tcW w:w="460" w:type="dxa"/>
            <w:vAlign w:val="bottom"/>
            <w:shd w:val="clear" w:color="auto" w:fill="E8FFFA"/>
          </w:tcPr>
          <w:p>
            <w:pPr>
              <w:spacing w:after="0"/>
              <w:rPr>
                <w:sz w:val="19"/>
                <w:szCs w:val="19"/>
                <w:color w:val="auto"/>
              </w:rPr>
            </w:pP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E8FFFA"/>
          </w:tcPr>
          <w:p>
            <w:pPr>
              <w:spacing w:after="0"/>
              <w:rPr>
                <w:sz w:val="19"/>
                <w:szCs w:val="19"/>
                <w:color w:val="auto"/>
              </w:rPr>
            </w:pPr>
          </w:p>
        </w:tc>
        <w:tc>
          <w:tcPr>
            <w:tcW w:w="126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E8FFFA"/>
          </w:tcPr>
          <w:p>
            <w:pPr>
              <w:spacing w:after="0"/>
              <w:rPr>
                <w:sz w:val="19"/>
                <w:szCs w:val="19"/>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Arial" w:cs="Arial" w:eastAsia="Arial" w:hAnsi="Arial"/>
                <w:sz w:val="18"/>
                <w:szCs w:val="18"/>
                <w:b w:val="1"/>
                <w:bCs w:val="1"/>
                <w:color w:val="auto"/>
                <w:w w:val="95"/>
              </w:rPr>
              <w:t>Other comprehensive income/(loss) for the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4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5,131</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5,087</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w w:val="95"/>
              </w:rPr>
              <w:t>Total comprehensive income for the period</w:t>
            </w:r>
          </w:p>
        </w:tc>
        <w:tc>
          <w:tcPr>
            <w:tcW w:w="4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12,035</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13,916</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35,383</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57,963</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E8FFFA"/>
          </w:tcPr>
          <w:p>
            <w:pPr>
              <w:spacing w:after="0"/>
              <w:rPr>
                <w:sz w:val="20"/>
                <w:szCs w:val="20"/>
                <w:color w:val="auto"/>
              </w:rPr>
            </w:pPr>
            <w:r>
              <w:rPr>
                <w:rFonts w:ascii="Arial" w:cs="Arial" w:eastAsia="Arial" w:hAnsi="Arial"/>
                <w:sz w:val="18"/>
                <w:szCs w:val="18"/>
                <w:color w:val="auto"/>
              </w:rPr>
              <w:t>Owners of the Group</w:t>
            </w:r>
          </w:p>
        </w:tc>
        <w:tc>
          <w:tcPr>
            <w:tcW w:w="460" w:type="dxa"/>
            <w:vAlign w:val="bottom"/>
            <w:shd w:val="clear" w:color="auto" w:fill="E8FFFA"/>
          </w:tcPr>
          <w:p>
            <w:pPr>
              <w:spacing w:after="0"/>
              <w:rPr>
                <w:sz w:val="18"/>
                <w:szCs w:val="18"/>
                <w:color w:val="auto"/>
              </w:rPr>
            </w:pPr>
          </w:p>
        </w:tc>
        <w:tc>
          <w:tcPr>
            <w:tcW w:w="1420" w:type="dxa"/>
            <w:vAlign w:val="bottom"/>
            <w:gridSpan w:val="3"/>
            <w:shd w:val="clear" w:color="auto" w:fill="E8FFFA"/>
          </w:tcPr>
          <w:p>
            <w:pPr>
              <w:jc w:val="right"/>
              <w:ind w:right="100"/>
              <w:spacing w:after="0"/>
              <w:rPr>
                <w:sz w:val="20"/>
                <w:szCs w:val="20"/>
                <w:color w:val="auto"/>
              </w:rPr>
            </w:pPr>
            <w:r>
              <w:rPr>
                <w:rFonts w:ascii="Arial" w:cs="Arial" w:eastAsia="Arial" w:hAnsi="Arial"/>
                <w:sz w:val="18"/>
                <w:szCs w:val="18"/>
                <w:color w:val="auto"/>
              </w:rPr>
              <w:t>(2,384)</w:t>
            </w:r>
          </w:p>
        </w:tc>
        <w:tc>
          <w:tcPr>
            <w:tcW w:w="12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(3,916)</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6,324</w:t>
            </w: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14,419</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17,832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E8FFFA"/>
          </w:tcPr>
          <w:p>
            <w:pPr>
              <w:spacing w:after="0"/>
              <w:rPr>
                <w:sz w:val="18"/>
                <w:szCs w:val="18"/>
                <w:color w:val="auto"/>
              </w:rPr>
            </w:pPr>
          </w:p>
        </w:tc>
        <w:tc>
          <w:tcPr>
            <w:tcW w:w="4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12,035</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13,916</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35,383</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57,963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(Accumulated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Preference</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Contributed</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Treasury</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Attributable</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Non-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capital</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surplus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shares</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retained</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to owners of</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controlling</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(Note 12)</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(Note 12)</w:t>
            </w:r>
          </w:p>
        </w:tc>
        <w:tc>
          <w:tcPr>
            <w:tcW w:w="2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(Note 12)</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3"/>
              </w:rPr>
              <w:t>Reserves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(Note 12)</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earnings</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the Group</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gridSpan w:val="2"/>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Balance as of January 1,</w:t>
            </w:r>
          </w:p>
        </w:tc>
        <w:tc>
          <w:tcPr>
            <w:tcW w:w="600" w:type="dxa"/>
            <w:vAlign w:val="bottom"/>
            <w:tcBorders>
              <w:top w:val="single" w:sz="8" w:color="auto"/>
            </w:tcBorders>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tcBorders>
              <w:top w:val="single" w:sz="8" w:color="auto"/>
            </w:tcBorders>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tcBorders>
              <w:top w:val="single" w:sz="8" w:color="auto"/>
            </w:tcBorders>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tcBorders>
              <w:top w:val="single" w:sz="8" w:color="auto"/>
            </w:tcBorders>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shd w:val="clear" w:color="auto" w:fill="E8FFFA"/>
          </w:tcPr>
          <w:p>
            <w:pPr>
              <w:ind w:left="120"/>
              <w:spacing w:after="0"/>
              <w:rPr>
                <w:sz w:val="20"/>
                <w:szCs w:val="20"/>
                <w:color w:val="auto"/>
              </w:rPr>
            </w:pPr>
            <w:r>
              <w:rPr>
                <w:rFonts w:ascii="Arial" w:cs="Arial" w:eastAsia="Arial" w:hAnsi="Arial"/>
                <w:sz w:val="14"/>
                <w:szCs w:val="14"/>
                <w:b w:val="1"/>
                <w:bCs w:val="1"/>
                <w:color w:val="auto"/>
              </w:rPr>
              <w:t>2017</w:t>
            </w:r>
          </w:p>
        </w:tc>
        <w:tc>
          <w:tcPr>
            <w:tcW w:w="160" w:type="dxa"/>
            <w:vAlign w:val="bottom"/>
            <w:shd w:val="clear" w:color="auto" w:fill="E8FFFA"/>
          </w:tcPr>
          <w:p>
            <w:pPr>
              <w:spacing w:after="0"/>
              <w:rPr>
                <w:sz w:val="14"/>
                <w:szCs w:val="14"/>
                <w:color w:val="auto"/>
              </w:rPr>
            </w:pPr>
          </w:p>
        </w:tc>
        <w:tc>
          <w:tcPr>
            <w:tcW w:w="6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810</w:t>
            </w:r>
          </w:p>
        </w:tc>
        <w:tc>
          <w:tcPr>
            <w:tcW w:w="8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46</w:t>
            </w:r>
          </w:p>
        </w:tc>
        <w:tc>
          <w:tcPr>
            <w:tcW w:w="88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966,974</w:t>
            </w:r>
          </w:p>
        </w:tc>
        <w:tc>
          <w:tcPr>
            <w:tcW w:w="220" w:type="dxa"/>
            <w:vAlign w:val="bottom"/>
            <w:tcBorders>
              <w:right w:val="single" w:sz="8" w:color="E8FFFA"/>
            </w:tcBorders>
            <w:shd w:val="clear" w:color="auto" w:fill="E8FFFA"/>
          </w:tcPr>
          <w:p>
            <w:pPr>
              <w:spacing w:after="0"/>
              <w:rPr>
                <w:sz w:val="14"/>
                <w:szCs w:val="14"/>
                <w:color w:val="auto"/>
              </w:rPr>
            </w:pPr>
          </w:p>
        </w:tc>
        <w:tc>
          <w:tcPr>
            <w:tcW w:w="5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10,160</w:t>
            </w:r>
          </w:p>
        </w:tc>
        <w:tc>
          <w:tcPr>
            <w:tcW w:w="220" w:type="dxa"/>
            <w:vAlign w:val="bottom"/>
            <w:tcBorders>
              <w:right w:val="single" w:sz="8" w:color="E8FFFA"/>
            </w:tcBorders>
            <w:shd w:val="clear" w:color="auto" w:fill="E8FFFA"/>
          </w:tcPr>
          <w:p>
            <w:pPr>
              <w:spacing w:after="0"/>
              <w:rPr>
                <w:sz w:val="14"/>
                <w:szCs w:val="14"/>
                <w:color w:val="auto"/>
              </w:rPr>
            </w:pPr>
          </w:p>
        </w:tc>
        <w:tc>
          <w:tcPr>
            <w:tcW w:w="760" w:type="dxa"/>
            <w:vAlign w:val="bottom"/>
            <w:tcBorders>
              <w:right w:val="single" w:sz="8" w:color="E8FFFA"/>
            </w:tcBorders>
            <w:gridSpan w:val="2"/>
            <w:shd w:val="clear" w:color="auto" w:fill="E8FFFA"/>
          </w:tcPr>
          <w:p>
            <w:pPr>
              <w:jc w:val="right"/>
              <w:ind w:right="180"/>
              <w:spacing w:after="0"/>
              <w:rPr>
                <w:sz w:val="20"/>
                <w:szCs w:val="20"/>
                <w:color w:val="auto"/>
              </w:rPr>
            </w:pPr>
            <w:r>
              <w:rPr>
                <w:rFonts w:ascii="Arial" w:cs="Arial" w:eastAsia="Arial" w:hAnsi="Arial"/>
                <w:sz w:val="14"/>
                <w:szCs w:val="14"/>
                <w:b w:val="1"/>
                <w:bCs w:val="1"/>
                <w:color w:val="auto"/>
              </w:rPr>
              <w:t>(10,861)</w:t>
            </w:r>
          </w:p>
        </w:tc>
        <w:tc>
          <w:tcPr>
            <w:tcW w:w="960" w:type="dxa"/>
            <w:vAlign w:val="bottom"/>
            <w:tcBorders>
              <w:right w:val="single" w:sz="8" w:color="E8FFFA"/>
            </w:tcBorders>
            <w:gridSpan w:val="2"/>
            <w:shd w:val="clear" w:color="auto" w:fill="E8FFFA"/>
          </w:tcPr>
          <w:p>
            <w:pPr>
              <w:jc w:val="right"/>
              <w:ind w:right="160"/>
              <w:spacing w:after="0"/>
              <w:rPr>
                <w:sz w:val="20"/>
                <w:szCs w:val="20"/>
                <w:color w:val="auto"/>
              </w:rPr>
            </w:pPr>
            <w:r>
              <w:rPr>
                <w:rFonts w:ascii="Arial" w:cs="Arial" w:eastAsia="Arial" w:hAnsi="Arial"/>
                <w:sz w:val="14"/>
                <w:szCs w:val="14"/>
                <w:b w:val="1"/>
                <w:bCs w:val="1"/>
                <w:color w:val="auto"/>
              </w:rPr>
              <w:t>(21,486)</w:t>
            </w:r>
          </w:p>
        </w:tc>
        <w:tc>
          <w:tcPr>
            <w:tcW w:w="7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945,643</w:t>
            </w:r>
          </w:p>
        </w:tc>
        <w:tc>
          <w:tcPr>
            <w:tcW w:w="220" w:type="dxa"/>
            <w:vAlign w:val="bottom"/>
            <w:tcBorders>
              <w:right w:val="single" w:sz="8" w:color="E8FFFA"/>
            </w:tcBorders>
            <w:shd w:val="clear" w:color="auto" w:fill="E8FFFA"/>
          </w:tcPr>
          <w:p>
            <w:pPr>
              <w:spacing w:after="0"/>
              <w:rPr>
                <w:sz w:val="14"/>
                <w:szCs w:val="14"/>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564,039</w:t>
            </w:r>
          </w:p>
        </w:tc>
        <w:tc>
          <w:tcPr>
            <w:tcW w:w="220" w:type="dxa"/>
            <w:vAlign w:val="bottom"/>
            <w:tcBorders>
              <w:right w:val="single" w:sz="8" w:color="E8FFFA"/>
            </w:tcBorders>
            <w:shd w:val="clear" w:color="auto" w:fill="E8FFFA"/>
          </w:tcPr>
          <w:p>
            <w:pPr>
              <w:spacing w:after="0"/>
              <w:rPr>
                <w:sz w:val="14"/>
                <w:szCs w:val="14"/>
                <w:color w:val="auto"/>
              </w:rPr>
            </w:pPr>
          </w:p>
        </w:tc>
        <w:tc>
          <w:tcPr>
            <w:tcW w:w="54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80"/>
              </w:rPr>
              <w:t>1,509,682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840" w:type="dxa"/>
            <w:vAlign w:val="bottom"/>
            <w:gridSpan w:val="3"/>
          </w:tcPr>
          <w:p>
            <w:pPr>
              <w:spacing w:after="0" w:line="131" w:lineRule="exact"/>
              <w:rPr>
                <w:sz w:val="20"/>
                <w:szCs w:val="20"/>
                <w:color w:val="auto"/>
              </w:rPr>
            </w:pPr>
            <w:r>
              <w:rPr>
                <w:rFonts w:ascii="Arial" w:cs="Arial" w:eastAsia="Arial" w:hAnsi="Arial"/>
                <w:sz w:val="14"/>
                <w:szCs w:val="14"/>
                <w:color w:val="auto"/>
              </w:rPr>
              <w:t>Net proceeds from GasLog</w:t>
            </w: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Partners' public offering</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225,776</w:t>
            </w:r>
          </w:p>
        </w:tc>
        <w:tc>
          <w:tcPr>
            <w:tcW w:w="2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8"/>
              </w:rPr>
              <w:t>225,776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Dividend declared (common</w:t>
            </w:r>
          </w:p>
        </w:tc>
        <w:tc>
          <w:tcPr>
            <w:tcW w:w="60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shd w:val="clear" w:color="auto" w:fill="E8FFFA"/>
          </w:tcPr>
          <w:p>
            <w:pPr>
              <w:ind w:left="120"/>
              <w:spacing w:after="0" w:line="159" w:lineRule="exact"/>
              <w:rPr>
                <w:sz w:val="20"/>
                <w:szCs w:val="20"/>
                <w:color w:val="auto"/>
              </w:rPr>
            </w:pPr>
            <w:r>
              <w:rPr>
                <w:rFonts w:ascii="Arial" w:cs="Arial" w:eastAsia="Arial" w:hAnsi="Arial"/>
                <w:sz w:val="14"/>
                <w:szCs w:val="14"/>
                <w:color w:val="auto"/>
              </w:rPr>
              <w:t>and preference shares)</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E8FFFA"/>
            </w:tcBorders>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E8FFFA"/>
            </w:tcBorders>
            <w:gridSpan w:val="3"/>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(27,597)</w:t>
            </w:r>
          </w:p>
        </w:tc>
        <w:tc>
          <w:tcPr>
            <w:tcW w:w="72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(27,597)</w:t>
            </w:r>
          </w:p>
        </w:tc>
        <w:tc>
          <w:tcPr>
            <w:tcW w:w="84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(27,938)</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w w:val="99"/>
              </w:rPr>
              <w:t>(55,535)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Share-based compensation,</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net of accrued dividend</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2,023</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2,023</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Settlement of share-based</w:t>
            </w:r>
          </w:p>
        </w:tc>
        <w:tc>
          <w:tcPr>
            <w:tcW w:w="60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shd w:val="clear" w:color="auto" w:fill="E8FFFA"/>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E8FFFA"/>
            </w:tcBorders>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E8FFFA"/>
            </w:tcBorders>
            <w:shd w:val="clear" w:color="auto" w:fill="E8FFFA"/>
          </w:tcPr>
          <w:p>
            <w:pPr>
              <w:spacing w:after="0"/>
              <w:rPr>
                <w:sz w:val="13"/>
                <w:szCs w:val="13"/>
                <w:color w:val="auto"/>
              </w:rPr>
            </w:pPr>
          </w:p>
        </w:tc>
        <w:tc>
          <w:tcPr>
            <w:tcW w:w="88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(1,771)</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1,664</w:t>
            </w:r>
          </w:p>
        </w:tc>
        <w:tc>
          <w:tcPr>
            <w:tcW w:w="220" w:type="dxa"/>
            <w:vAlign w:val="bottom"/>
            <w:tcBorders>
              <w:right w:val="single" w:sz="8" w:color="E8FFFA"/>
            </w:tcBorders>
            <w:shd w:val="clear" w:color="auto" w:fill="E8FFFA"/>
          </w:tcPr>
          <w:p>
            <w:pPr>
              <w:spacing w:after="0"/>
              <w:rPr>
                <w:sz w:val="13"/>
                <w:szCs w:val="13"/>
                <w:color w:val="auto"/>
              </w:rPr>
            </w:pPr>
          </w:p>
        </w:tc>
        <w:tc>
          <w:tcPr>
            <w:tcW w:w="9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(107)</w:t>
            </w:r>
          </w:p>
        </w:tc>
        <w:tc>
          <w:tcPr>
            <w:tcW w:w="840" w:type="dxa"/>
            <w:vAlign w:val="bottom"/>
            <w:tcBorders>
              <w:right w:val="single" w:sz="8" w:color="E8FFFA"/>
            </w:tcBorders>
            <w:gridSpan w:val="2"/>
            <w:shd w:val="clear" w:color="auto" w:fill="E8FFFA"/>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Profit for the period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29,059</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w w:val="98"/>
              </w:rPr>
              <w:t>Other comprehensive income</w:t>
            </w:r>
          </w:p>
        </w:tc>
        <w:tc>
          <w:tcPr>
            <w:tcW w:w="60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shd w:val="clear" w:color="auto" w:fill="E8FFFA"/>
          </w:tcPr>
          <w:p>
            <w:pPr>
              <w:ind w:left="120"/>
              <w:spacing w:after="0" w:line="159" w:lineRule="exact"/>
              <w:rPr>
                <w:sz w:val="20"/>
                <w:szCs w:val="20"/>
                <w:color w:val="auto"/>
              </w:rPr>
            </w:pPr>
            <w:r>
              <w:rPr>
                <w:rFonts w:ascii="Arial" w:cs="Arial" w:eastAsia="Arial" w:hAnsi="Arial"/>
                <w:sz w:val="14"/>
                <w:szCs w:val="14"/>
                <w:color w:val="auto"/>
              </w:rPr>
              <w:t>for the period</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E8FFFA"/>
            </w:tcBorders>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E8FFFA"/>
            </w:tcBorders>
            <w:shd w:val="clear" w:color="auto" w:fill="E8FFFA"/>
          </w:tcPr>
          <w:p>
            <w:pPr>
              <w:spacing w:after="0"/>
              <w:rPr>
                <w:sz w:val="13"/>
                <w:szCs w:val="13"/>
                <w:color w:val="auto"/>
              </w:rPr>
            </w:pPr>
          </w:p>
        </w:tc>
        <w:tc>
          <w:tcPr>
            <w:tcW w:w="88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5,087</w:t>
            </w:r>
          </w:p>
        </w:tc>
        <w:tc>
          <w:tcPr>
            <w:tcW w:w="220" w:type="dxa"/>
            <w:vAlign w:val="bottom"/>
            <w:tcBorders>
              <w:right w:val="single" w:sz="8" w:color="E8FFFA"/>
            </w:tcBorders>
            <w:shd w:val="clear" w:color="auto" w:fill="E8FFFA"/>
          </w:tcPr>
          <w:p>
            <w:pPr>
              <w:spacing w:after="0"/>
              <w:rPr>
                <w:sz w:val="13"/>
                <w:szCs w:val="13"/>
                <w:color w:val="auto"/>
              </w:rPr>
            </w:pPr>
          </w:p>
        </w:tc>
        <w:tc>
          <w:tcPr>
            <w:tcW w:w="7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5,087</w:t>
            </w:r>
          </w:p>
        </w:tc>
        <w:tc>
          <w:tcPr>
            <w:tcW w:w="220" w:type="dxa"/>
            <w:vAlign w:val="bottom"/>
            <w:tcBorders>
              <w:right w:val="single" w:sz="8" w:color="E8FFFA"/>
            </w:tcBorders>
            <w:shd w:val="clear" w:color="auto" w:fill="E8FFFA"/>
          </w:tcPr>
          <w:p>
            <w:pPr>
              <w:spacing w:after="0"/>
              <w:rPr>
                <w:sz w:val="13"/>
                <w:szCs w:val="13"/>
                <w:color w:val="auto"/>
              </w:rPr>
            </w:pPr>
          </w:p>
        </w:tc>
        <w:tc>
          <w:tcPr>
            <w:tcW w:w="840" w:type="dxa"/>
            <w:vAlign w:val="bottom"/>
            <w:tcBorders>
              <w:right w:val="single" w:sz="8" w:color="E8FFFA"/>
            </w:tcBorders>
            <w:gridSpan w:val="2"/>
            <w:shd w:val="clear" w:color="auto" w:fill="E8FFFA"/>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5,087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Total comprehensive income</w:t>
            </w: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 the period</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5,087</w:t>
            </w:r>
          </w:p>
        </w:tc>
        <w:tc>
          <w:tcPr>
            <w:tcW w:w="2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1,237</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6,324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29,059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35,383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gridSpan w:val="2"/>
            <w:shd w:val="clear" w:color="auto" w:fill="E8FFFA"/>
          </w:tcPr>
          <w:p>
            <w:pPr>
              <w:spacing w:after="0" w:line="142" w:lineRule="exact"/>
              <w:rPr>
                <w:sz w:val="20"/>
                <w:szCs w:val="20"/>
                <w:color w:val="auto"/>
              </w:rPr>
            </w:pPr>
            <w:r>
              <w:rPr>
                <w:rFonts w:ascii="Arial" w:cs="Arial" w:eastAsia="Arial" w:hAnsi="Arial"/>
                <w:sz w:val="14"/>
                <w:szCs w:val="14"/>
                <w:b w:val="1"/>
                <w:bCs w:val="1"/>
                <w:color w:val="auto"/>
                <w:w w:val="97"/>
              </w:rPr>
              <w:t>Balance as of June 30, 2017</w:t>
            </w:r>
          </w:p>
        </w:tc>
        <w:tc>
          <w:tcPr>
            <w:tcW w:w="60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200" w:type="dxa"/>
            <w:vAlign w:val="bottom"/>
            <w:tcBorders>
              <w:right w:val="single" w:sz="8" w:color="E8FFFA"/>
            </w:tcBorders>
            <w:shd w:val="clear" w:color="auto" w:fill="E8FFFA"/>
          </w:tcPr>
          <w:p>
            <w:pPr>
              <w:spacing w:after="0"/>
              <w:rPr>
                <w:sz w:val="12"/>
                <w:szCs w:val="12"/>
                <w:color w:val="auto"/>
              </w:rPr>
            </w:pPr>
          </w:p>
        </w:tc>
        <w:tc>
          <w:tcPr>
            <w:tcW w:w="62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20" w:type="dxa"/>
            <w:vAlign w:val="bottom"/>
            <w:tcBorders>
              <w:right w:val="single" w:sz="8" w:color="E8FFFA"/>
            </w:tcBorders>
            <w:shd w:val="clear" w:color="auto" w:fill="E8FFFA"/>
          </w:tcPr>
          <w:p>
            <w:pPr>
              <w:spacing w:after="0"/>
              <w:rPr>
                <w:sz w:val="12"/>
                <w:szCs w:val="12"/>
                <w:color w:val="auto"/>
              </w:rPr>
            </w:pPr>
          </w:p>
        </w:tc>
        <w:tc>
          <w:tcPr>
            <w:tcW w:w="66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939,377</w:t>
            </w:r>
          </w:p>
        </w:tc>
        <w:tc>
          <w:tcPr>
            <w:tcW w:w="220" w:type="dxa"/>
            <w:vAlign w:val="bottom"/>
            <w:tcBorders>
              <w:right w:val="single" w:sz="8" w:color="E8FFFA"/>
            </w:tcBorders>
            <w:shd w:val="clear" w:color="auto" w:fill="E8FFFA"/>
          </w:tcPr>
          <w:p>
            <w:pPr>
              <w:spacing w:after="0"/>
              <w:rPr>
                <w:sz w:val="12"/>
                <w:szCs w:val="12"/>
                <w:color w:val="auto"/>
              </w:rPr>
            </w:pPr>
          </w:p>
        </w:tc>
        <w:tc>
          <w:tcPr>
            <w:tcW w:w="50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15,499</w:t>
            </w:r>
          </w:p>
        </w:tc>
        <w:tc>
          <w:tcPr>
            <w:tcW w:w="220" w:type="dxa"/>
            <w:vAlign w:val="bottom"/>
            <w:tcBorders>
              <w:right w:val="single" w:sz="8" w:color="E8FFFA"/>
            </w:tcBorders>
            <w:shd w:val="clear" w:color="auto" w:fill="E8FFFA"/>
          </w:tcPr>
          <w:p>
            <w:pPr>
              <w:spacing w:after="0"/>
              <w:rPr>
                <w:sz w:val="12"/>
                <w:szCs w:val="12"/>
                <w:color w:val="auto"/>
              </w:rPr>
            </w:pPr>
          </w:p>
        </w:tc>
        <w:tc>
          <w:tcPr>
            <w:tcW w:w="54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(9,197)</w:t>
            </w:r>
          </w:p>
        </w:tc>
        <w:tc>
          <w:tcPr>
            <w:tcW w:w="220" w:type="dxa"/>
            <w:vAlign w:val="bottom"/>
            <w:tcBorders>
              <w:right w:val="single" w:sz="8" w:color="E8FFFA"/>
            </w:tcBorders>
            <w:shd w:val="clear" w:color="auto" w:fill="E8FFFA"/>
          </w:tcPr>
          <w:p>
            <w:pPr>
              <w:spacing w:after="0"/>
              <w:rPr>
                <w:sz w:val="12"/>
                <w:szCs w:val="12"/>
                <w:color w:val="auto"/>
              </w:rPr>
            </w:pPr>
          </w:p>
        </w:tc>
        <w:tc>
          <w:tcPr>
            <w:tcW w:w="76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(20,249)</w:t>
            </w:r>
          </w:p>
        </w:tc>
        <w:tc>
          <w:tcPr>
            <w:tcW w:w="200" w:type="dxa"/>
            <w:vAlign w:val="bottom"/>
            <w:tcBorders>
              <w:right w:val="single" w:sz="8" w:color="E8FFFA"/>
            </w:tcBorders>
            <w:shd w:val="clear" w:color="auto" w:fill="E8FFFA"/>
          </w:tcPr>
          <w:p>
            <w:pPr>
              <w:spacing w:after="0"/>
              <w:rPr>
                <w:sz w:val="12"/>
                <w:szCs w:val="12"/>
                <w:color w:val="auto"/>
              </w:rPr>
            </w:pPr>
          </w:p>
        </w:tc>
        <w:tc>
          <w:tcPr>
            <w:tcW w:w="70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926,286</w:t>
            </w:r>
          </w:p>
        </w:tc>
        <w:tc>
          <w:tcPr>
            <w:tcW w:w="220" w:type="dxa"/>
            <w:vAlign w:val="bottom"/>
            <w:tcBorders>
              <w:right w:val="single" w:sz="8" w:color="E8FFFA"/>
            </w:tcBorders>
            <w:shd w:val="clear" w:color="auto" w:fill="E8FFFA"/>
          </w:tcPr>
          <w:p>
            <w:pPr>
              <w:spacing w:after="0"/>
              <w:rPr>
                <w:sz w:val="12"/>
                <w:szCs w:val="12"/>
                <w:color w:val="auto"/>
              </w:rPr>
            </w:pPr>
          </w:p>
        </w:tc>
        <w:tc>
          <w:tcPr>
            <w:tcW w:w="62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790,936</w:t>
            </w:r>
          </w:p>
        </w:tc>
        <w:tc>
          <w:tcPr>
            <w:tcW w:w="220" w:type="dxa"/>
            <w:vAlign w:val="bottom"/>
            <w:tcBorders>
              <w:right w:val="single" w:sz="8" w:color="E8FFFA"/>
            </w:tcBorders>
            <w:shd w:val="clear" w:color="auto" w:fill="E8FFFA"/>
          </w:tcPr>
          <w:p>
            <w:pPr>
              <w:spacing w:after="0"/>
              <w:rPr>
                <w:sz w:val="12"/>
                <w:szCs w:val="12"/>
                <w:color w:val="auto"/>
              </w:rPr>
            </w:pPr>
          </w:p>
        </w:tc>
        <w:tc>
          <w:tcPr>
            <w:tcW w:w="54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w w:val="80"/>
              </w:rPr>
              <w:t>1,717,222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660" w:type="dxa"/>
            <w:vAlign w:val="bottom"/>
            <w:shd w:val="clear" w:color="auto" w:fill="E8FFFA"/>
          </w:tcPr>
          <w:p>
            <w:pPr>
              <w:spacing w:after="0" w:line="136" w:lineRule="exact"/>
              <w:rPr>
                <w:sz w:val="20"/>
                <w:szCs w:val="20"/>
                <w:color w:val="auto"/>
              </w:rPr>
            </w:pPr>
            <w:r>
              <w:rPr>
                <w:rFonts w:ascii="Arial" w:cs="Arial" w:eastAsia="Arial" w:hAnsi="Arial"/>
                <w:sz w:val="14"/>
                <w:szCs w:val="14"/>
                <w:b w:val="1"/>
                <w:bCs w:val="1"/>
                <w:color w:val="auto"/>
                <w:w w:val="88"/>
              </w:rPr>
              <w:t>Balance as of December 31,</w:t>
            </w:r>
          </w:p>
        </w:tc>
        <w:tc>
          <w:tcPr>
            <w:tcW w:w="16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shd w:val="clear" w:color="auto" w:fill="E8FFFA"/>
          </w:tcPr>
          <w:p>
            <w:pPr>
              <w:ind w:left="120"/>
              <w:spacing w:after="0"/>
              <w:rPr>
                <w:sz w:val="20"/>
                <w:szCs w:val="20"/>
                <w:color w:val="auto"/>
              </w:rPr>
            </w:pPr>
            <w:r>
              <w:rPr>
                <w:rFonts w:ascii="Arial" w:cs="Arial" w:eastAsia="Arial" w:hAnsi="Arial"/>
                <w:sz w:val="14"/>
                <w:szCs w:val="14"/>
                <w:b w:val="1"/>
                <w:bCs w:val="1"/>
                <w:color w:val="auto"/>
              </w:rPr>
              <w:t>2017</w:t>
            </w:r>
          </w:p>
        </w:tc>
        <w:tc>
          <w:tcPr>
            <w:tcW w:w="160" w:type="dxa"/>
            <w:vAlign w:val="bottom"/>
            <w:shd w:val="clear" w:color="auto" w:fill="E8FFFA"/>
          </w:tcPr>
          <w:p>
            <w:pPr>
              <w:spacing w:after="0"/>
              <w:rPr>
                <w:sz w:val="14"/>
                <w:szCs w:val="14"/>
                <w:color w:val="auto"/>
              </w:rPr>
            </w:pPr>
          </w:p>
        </w:tc>
        <w:tc>
          <w:tcPr>
            <w:tcW w:w="6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810</w:t>
            </w:r>
          </w:p>
        </w:tc>
        <w:tc>
          <w:tcPr>
            <w:tcW w:w="200" w:type="dxa"/>
            <w:vAlign w:val="bottom"/>
            <w:tcBorders>
              <w:right w:val="single" w:sz="8" w:color="E8FFFA"/>
            </w:tcBorders>
            <w:shd w:val="clear" w:color="auto" w:fill="E8FFFA"/>
          </w:tcPr>
          <w:p>
            <w:pPr>
              <w:spacing w:after="0"/>
              <w:rPr>
                <w:sz w:val="14"/>
                <w:szCs w:val="14"/>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46</w:t>
            </w:r>
          </w:p>
        </w:tc>
        <w:tc>
          <w:tcPr>
            <w:tcW w:w="220" w:type="dxa"/>
            <w:vAlign w:val="bottom"/>
            <w:tcBorders>
              <w:right w:val="single" w:sz="8" w:color="E8FFFA"/>
            </w:tcBorders>
            <w:shd w:val="clear" w:color="auto" w:fill="E8FFFA"/>
          </w:tcPr>
          <w:p>
            <w:pPr>
              <w:spacing w:after="0"/>
              <w:rPr>
                <w:sz w:val="14"/>
                <w:szCs w:val="14"/>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911,766</w:t>
            </w:r>
          </w:p>
        </w:tc>
        <w:tc>
          <w:tcPr>
            <w:tcW w:w="220" w:type="dxa"/>
            <w:vAlign w:val="bottom"/>
            <w:tcBorders>
              <w:right w:val="single" w:sz="8" w:color="E8FFFA"/>
            </w:tcBorders>
            <w:shd w:val="clear" w:color="auto" w:fill="E8FFFA"/>
          </w:tcPr>
          <w:p>
            <w:pPr>
              <w:spacing w:after="0"/>
              <w:rPr>
                <w:sz w:val="14"/>
                <w:szCs w:val="14"/>
                <w:color w:val="auto"/>
              </w:rPr>
            </w:pPr>
          </w:p>
        </w:tc>
        <w:tc>
          <w:tcPr>
            <w:tcW w:w="5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18,347</w:t>
            </w:r>
          </w:p>
        </w:tc>
        <w:tc>
          <w:tcPr>
            <w:tcW w:w="220" w:type="dxa"/>
            <w:vAlign w:val="bottom"/>
            <w:tcBorders>
              <w:right w:val="single" w:sz="8" w:color="E8FFFA"/>
            </w:tcBorders>
            <w:shd w:val="clear" w:color="auto" w:fill="E8FFFA"/>
          </w:tcPr>
          <w:p>
            <w:pPr>
              <w:spacing w:after="0"/>
              <w:rPr>
                <w:sz w:val="14"/>
                <w:szCs w:val="14"/>
                <w:color w:val="auto"/>
              </w:rPr>
            </w:pPr>
          </w:p>
        </w:tc>
        <w:tc>
          <w:tcPr>
            <w:tcW w:w="760" w:type="dxa"/>
            <w:vAlign w:val="bottom"/>
            <w:tcBorders>
              <w:right w:val="single" w:sz="8" w:color="E8FFFA"/>
            </w:tcBorders>
            <w:gridSpan w:val="2"/>
            <w:shd w:val="clear" w:color="auto" w:fill="E8FFFA"/>
          </w:tcPr>
          <w:p>
            <w:pPr>
              <w:jc w:val="right"/>
              <w:ind w:right="180"/>
              <w:spacing w:after="0"/>
              <w:rPr>
                <w:sz w:val="20"/>
                <w:szCs w:val="20"/>
                <w:color w:val="auto"/>
              </w:rPr>
            </w:pPr>
            <w:r>
              <w:rPr>
                <w:rFonts w:ascii="Arial" w:cs="Arial" w:eastAsia="Arial" w:hAnsi="Arial"/>
                <w:sz w:val="14"/>
                <w:szCs w:val="14"/>
                <w:b w:val="1"/>
                <w:bCs w:val="1"/>
                <w:color w:val="auto"/>
              </w:rPr>
              <w:t>(6,960)</w:t>
            </w:r>
          </w:p>
        </w:tc>
        <w:tc>
          <w:tcPr>
            <w:tcW w:w="960" w:type="dxa"/>
            <w:vAlign w:val="bottom"/>
            <w:tcBorders>
              <w:right w:val="single" w:sz="8" w:color="E8FFFA"/>
            </w:tcBorders>
            <w:gridSpan w:val="2"/>
            <w:shd w:val="clear" w:color="auto" w:fill="E8FFFA"/>
          </w:tcPr>
          <w:p>
            <w:pPr>
              <w:jc w:val="right"/>
              <w:ind w:right="160"/>
              <w:spacing w:after="0"/>
              <w:rPr>
                <w:sz w:val="20"/>
                <w:szCs w:val="20"/>
                <w:color w:val="auto"/>
              </w:rPr>
            </w:pPr>
            <w:r>
              <w:rPr>
                <w:rFonts w:ascii="Arial" w:cs="Arial" w:eastAsia="Arial" w:hAnsi="Arial"/>
                <w:sz w:val="14"/>
                <w:szCs w:val="14"/>
                <w:b w:val="1"/>
                <w:bCs w:val="1"/>
                <w:color w:val="auto"/>
              </w:rPr>
              <w:t>(5,980)</w:t>
            </w:r>
          </w:p>
        </w:tc>
        <w:tc>
          <w:tcPr>
            <w:tcW w:w="7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918,029</w:t>
            </w:r>
          </w:p>
        </w:tc>
        <w:tc>
          <w:tcPr>
            <w:tcW w:w="220" w:type="dxa"/>
            <w:vAlign w:val="bottom"/>
            <w:tcBorders>
              <w:right w:val="single" w:sz="8" w:color="E8FFFA"/>
            </w:tcBorders>
            <w:shd w:val="clear" w:color="auto" w:fill="E8FFFA"/>
          </w:tcPr>
          <w:p>
            <w:pPr>
              <w:spacing w:after="0"/>
              <w:rPr>
                <w:sz w:val="14"/>
                <w:szCs w:val="14"/>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845,105</w:t>
            </w:r>
          </w:p>
        </w:tc>
        <w:tc>
          <w:tcPr>
            <w:tcW w:w="220" w:type="dxa"/>
            <w:vAlign w:val="bottom"/>
            <w:tcBorders>
              <w:right w:val="single" w:sz="8" w:color="E8FFFA"/>
            </w:tcBorders>
            <w:shd w:val="clear" w:color="auto" w:fill="E8FFFA"/>
          </w:tcPr>
          <w:p>
            <w:pPr>
              <w:spacing w:after="0"/>
              <w:rPr>
                <w:sz w:val="14"/>
                <w:szCs w:val="14"/>
                <w:color w:val="auto"/>
              </w:rPr>
            </w:pPr>
          </w:p>
        </w:tc>
        <w:tc>
          <w:tcPr>
            <w:tcW w:w="54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80"/>
              </w:rPr>
              <w:t>1,763,134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E8FFFA"/>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8FFFA"/>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8FFFA"/>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8FFFA"/>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8FFFA"/>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E8FFFA"/>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8FFFA"/>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8FFFA"/>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660" w:type="dxa"/>
            <w:vAlign w:val="bottom"/>
          </w:tcPr>
          <w:p>
            <w:pPr>
              <w:spacing w:after="0" w:line="169" w:lineRule="exact"/>
              <w:rPr>
                <w:sz w:val="20"/>
                <w:szCs w:val="20"/>
                <w:color w:val="auto"/>
              </w:rPr>
            </w:pPr>
            <w:r>
              <w:rPr>
                <w:rFonts w:ascii="Arial" w:cs="Arial" w:eastAsia="Arial" w:hAnsi="Arial"/>
                <w:sz w:val="12"/>
                <w:szCs w:val="12"/>
                <w:color w:val="auto"/>
              </w:rPr>
              <w:t>Opening adjustment</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(436)</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190</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(246)</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Borders>
              <w:top w:val="single" w:sz="8" w:color="E8FFFA"/>
            </w:tcBorders>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Balance as of January 1,</w:t>
            </w:r>
          </w:p>
        </w:tc>
        <w:tc>
          <w:tcPr>
            <w:tcW w:w="160" w:type="dxa"/>
            <w:vAlign w:val="bottom"/>
            <w:tcBorders>
              <w:top w:val="single" w:sz="8" w:color="E8FFFA"/>
            </w:tcBorders>
            <w:shd w:val="clear" w:color="auto" w:fill="E8FFFA"/>
          </w:tcPr>
          <w:p>
            <w:pPr>
              <w:spacing w:after="0"/>
              <w:rPr>
                <w:sz w:val="11"/>
                <w:szCs w:val="11"/>
                <w:color w:val="auto"/>
              </w:rPr>
            </w:pPr>
          </w:p>
        </w:tc>
        <w:tc>
          <w:tcPr>
            <w:tcW w:w="600" w:type="dxa"/>
            <w:vAlign w:val="bottom"/>
            <w:tcBorders>
              <w:top w:val="single" w:sz="8" w:color="auto"/>
            </w:tcBorders>
            <w:shd w:val="clear" w:color="auto" w:fill="E8FFFA"/>
          </w:tcPr>
          <w:p>
            <w:pPr>
              <w:spacing w:after="0"/>
              <w:rPr>
                <w:sz w:val="11"/>
                <w:szCs w:val="11"/>
                <w:color w:val="auto"/>
              </w:rPr>
            </w:pPr>
          </w:p>
        </w:tc>
        <w:tc>
          <w:tcPr>
            <w:tcW w:w="200" w:type="dxa"/>
            <w:vAlign w:val="bottom"/>
            <w:tcBorders>
              <w:top w:val="single" w:sz="8" w:color="E8FFFA"/>
              <w:right w:val="single" w:sz="8" w:color="E8FFFA"/>
            </w:tcBorders>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50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760" w:type="dxa"/>
            <w:vAlign w:val="bottom"/>
            <w:tcBorders>
              <w:top w:val="single" w:sz="8" w:color="auto"/>
            </w:tcBorders>
            <w:shd w:val="clear" w:color="auto" w:fill="E8FFFA"/>
          </w:tcPr>
          <w:p>
            <w:pPr>
              <w:spacing w:after="0"/>
              <w:rPr>
                <w:sz w:val="11"/>
                <w:szCs w:val="11"/>
                <w:color w:val="auto"/>
              </w:rPr>
            </w:pPr>
          </w:p>
        </w:tc>
        <w:tc>
          <w:tcPr>
            <w:tcW w:w="200" w:type="dxa"/>
            <w:vAlign w:val="bottom"/>
            <w:tcBorders>
              <w:top w:val="single" w:sz="8" w:color="E8FFFA"/>
              <w:right w:val="single" w:sz="8" w:color="E8FFFA"/>
            </w:tcBorders>
            <w:shd w:val="clear" w:color="auto" w:fill="E8FFFA"/>
          </w:tcPr>
          <w:p>
            <w:pPr>
              <w:spacing w:after="0"/>
              <w:rPr>
                <w:sz w:val="11"/>
                <w:szCs w:val="11"/>
                <w:color w:val="auto"/>
              </w:rPr>
            </w:pPr>
          </w:p>
        </w:tc>
        <w:tc>
          <w:tcPr>
            <w:tcW w:w="70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Borders>
              <w:bottom w:val="single" w:sz="8" w:color="E8FFFA"/>
            </w:tcBorders>
            <w:shd w:val="clear" w:color="auto" w:fill="E8FFFA"/>
          </w:tcPr>
          <w:p>
            <w:pPr>
              <w:ind w:left="12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E8FFFA"/>
            </w:tcBorders>
            <w:shd w:val="clear" w:color="auto" w:fill="E8FFFA"/>
          </w:tcPr>
          <w:p>
            <w:pPr>
              <w:spacing w:after="0"/>
              <w:rPr>
                <w:sz w:val="14"/>
                <w:szCs w:val="14"/>
                <w:color w:val="auto"/>
              </w:rPr>
            </w:pPr>
          </w:p>
        </w:tc>
        <w:tc>
          <w:tcPr>
            <w:tcW w:w="6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810</w:t>
            </w:r>
          </w:p>
        </w:tc>
        <w:tc>
          <w:tcPr>
            <w:tcW w:w="200" w:type="dxa"/>
            <w:vAlign w:val="bottom"/>
            <w:tcBorders>
              <w:bottom w:val="single" w:sz="8" w:color="E8FFFA"/>
              <w:right w:val="single" w:sz="8" w:color="E8FFFA"/>
            </w:tcBorders>
            <w:shd w:val="clear" w:color="auto" w:fill="E8FFFA"/>
          </w:tcPr>
          <w:p>
            <w:pPr>
              <w:spacing w:after="0"/>
              <w:rPr>
                <w:sz w:val="14"/>
                <w:szCs w:val="14"/>
                <w:color w:val="auto"/>
              </w:rPr>
            </w:pPr>
          </w:p>
        </w:tc>
        <w:tc>
          <w:tcPr>
            <w:tcW w:w="6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46</w:t>
            </w:r>
          </w:p>
        </w:tc>
        <w:tc>
          <w:tcPr>
            <w:tcW w:w="220" w:type="dxa"/>
            <w:vAlign w:val="bottom"/>
            <w:tcBorders>
              <w:bottom w:val="single" w:sz="8" w:color="E8FFFA"/>
              <w:right w:val="single" w:sz="8" w:color="E8FFFA"/>
            </w:tcBorders>
            <w:shd w:val="clear" w:color="auto" w:fill="E8FFFA"/>
          </w:tcPr>
          <w:p>
            <w:pPr>
              <w:spacing w:after="0"/>
              <w:rPr>
                <w:sz w:val="14"/>
                <w:szCs w:val="14"/>
                <w:color w:val="auto"/>
              </w:rPr>
            </w:pPr>
          </w:p>
        </w:tc>
        <w:tc>
          <w:tcPr>
            <w:tcW w:w="6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911,766</w:t>
            </w:r>
          </w:p>
        </w:tc>
        <w:tc>
          <w:tcPr>
            <w:tcW w:w="220" w:type="dxa"/>
            <w:vAlign w:val="bottom"/>
            <w:tcBorders>
              <w:bottom w:val="single" w:sz="8" w:color="E8FFFA"/>
              <w:right w:val="single" w:sz="8" w:color="E8FFFA"/>
            </w:tcBorders>
            <w:shd w:val="clear" w:color="auto" w:fill="E8FFFA"/>
          </w:tcPr>
          <w:p>
            <w:pPr>
              <w:spacing w:after="0"/>
              <w:rPr>
                <w:sz w:val="14"/>
                <w:szCs w:val="14"/>
                <w:color w:val="auto"/>
              </w:rPr>
            </w:pPr>
          </w:p>
        </w:tc>
        <w:tc>
          <w:tcPr>
            <w:tcW w:w="5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17,911</w:t>
            </w:r>
          </w:p>
        </w:tc>
        <w:tc>
          <w:tcPr>
            <w:tcW w:w="220" w:type="dxa"/>
            <w:vAlign w:val="bottom"/>
            <w:tcBorders>
              <w:bottom w:val="single" w:sz="8" w:color="E8FFFA"/>
              <w:right w:val="single" w:sz="8" w:color="E8FFFA"/>
            </w:tcBorders>
            <w:shd w:val="clear" w:color="auto" w:fill="E8FFFA"/>
          </w:tcPr>
          <w:p>
            <w:pPr>
              <w:spacing w:after="0"/>
              <w:rPr>
                <w:sz w:val="14"/>
                <w:szCs w:val="14"/>
                <w:color w:val="auto"/>
              </w:rPr>
            </w:pPr>
          </w:p>
        </w:tc>
        <w:tc>
          <w:tcPr>
            <w:tcW w:w="5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(6,960)</w:t>
            </w:r>
          </w:p>
        </w:tc>
        <w:tc>
          <w:tcPr>
            <w:tcW w:w="220" w:type="dxa"/>
            <w:vAlign w:val="bottom"/>
            <w:tcBorders>
              <w:bottom w:val="single" w:sz="8" w:color="E8FFFA"/>
              <w:right w:val="single" w:sz="8" w:color="E8FFFA"/>
            </w:tcBorders>
            <w:shd w:val="clear" w:color="auto" w:fill="E8FFFA"/>
          </w:tcPr>
          <w:p>
            <w:pPr>
              <w:spacing w:after="0"/>
              <w:rPr>
                <w:sz w:val="14"/>
                <w:szCs w:val="14"/>
                <w:color w:val="auto"/>
              </w:rPr>
            </w:pPr>
          </w:p>
        </w:tc>
        <w:tc>
          <w:tcPr>
            <w:tcW w:w="7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(5,790)</w:t>
            </w:r>
          </w:p>
        </w:tc>
        <w:tc>
          <w:tcPr>
            <w:tcW w:w="200" w:type="dxa"/>
            <w:vAlign w:val="bottom"/>
            <w:tcBorders>
              <w:bottom w:val="single" w:sz="8" w:color="E8FFFA"/>
              <w:right w:val="single" w:sz="8" w:color="E8FFFA"/>
            </w:tcBorders>
            <w:shd w:val="clear" w:color="auto" w:fill="E8FFFA"/>
          </w:tcPr>
          <w:p>
            <w:pPr>
              <w:spacing w:after="0"/>
              <w:rPr>
                <w:sz w:val="14"/>
                <w:szCs w:val="14"/>
                <w:color w:val="auto"/>
              </w:rPr>
            </w:pPr>
          </w:p>
        </w:tc>
        <w:tc>
          <w:tcPr>
            <w:tcW w:w="7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917,783</w:t>
            </w:r>
          </w:p>
        </w:tc>
        <w:tc>
          <w:tcPr>
            <w:tcW w:w="220" w:type="dxa"/>
            <w:vAlign w:val="bottom"/>
            <w:tcBorders>
              <w:bottom w:val="single" w:sz="8" w:color="E8FFFA"/>
              <w:right w:val="single" w:sz="8" w:color="E8FFFA"/>
            </w:tcBorders>
            <w:shd w:val="clear" w:color="auto" w:fill="E8FFFA"/>
          </w:tcPr>
          <w:p>
            <w:pPr>
              <w:spacing w:after="0"/>
              <w:rPr>
                <w:sz w:val="14"/>
                <w:szCs w:val="14"/>
                <w:color w:val="auto"/>
              </w:rPr>
            </w:pPr>
          </w:p>
        </w:tc>
        <w:tc>
          <w:tcPr>
            <w:tcW w:w="6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845,105</w:t>
            </w:r>
          </w:p>
        </w:tc>
        <w:tc>
          <w:tcPr>
            <w:tcW w:w="220" w:type="dxa"/>
            <w:vAlign w:val="bottom"/>
            <w:tcBorders>
              <w:bottom w:val="single" w:sz="8" w:color="E8FFFA"/>
              <w:right w:val="single" w:sz="8" w:color="E8FFFA"/>
            </w:tcBorders>
            <w:shd w:val="clear" w:color="auto" w:fill="E8FFFA"/>
          </w:tcPr>
          <w:p>
            <w:pPr>
              <w:spacing w:after="0"/>
              <w:rPr>
                <w:sz w:val="14"/>
                <w:szCs w:val="14"/>
                <w:color w:val="auto"/>
              </w:rPr>
            </w:pPr>
          </w:p>
        </w:tc>
        <w:tc>
          <w:tcPr>
            <w:tcW w:w="5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w w:val="80"/>
              </w:rPr>
              <w:t>1,762,888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spacing w:after="0" w:line="131" w:lineRule="exact"/>
              <w:rPr>
                <w:sz w:val="20"/>
                <w:szCs w:val="20"/>
                <w:color w:val="auto"/>
              </w:rPr>
            </w:pPr>
            <w:r>
              <w:rPr>
                <w:rFonts w:ascii="Arial" w:cs="Arial" w:eastAsia="Arial" w:hAnsi="Arial"/>
                <w:sz w:val="14"/>
                <w:szCs w:val="14"/>
                <w:color w:val="auto"/>
                <w:w w:val="97"/>
              </w:rPr>
              <w:t>Net proceeds from GasLog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Partners' public offerings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(Note 3)</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111,184</w:t>
            </w:r>
          </w:p>
        </w:tc>
        <w:tc>
          <w:tcPr>
            <w:tcW w:w="2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8"/>
              </w:rPr>
              <w:t>111,184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Dividend declared (common</w:t>
            </w:r>
          </w:p>
        </w:tc>
        <w:tc>
          <w:tcPr>
            <w:tcW w:w="60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rPr>
              <w:t>and preference shares)</w:t>
            </w:r>
          </w:p>
        </w:tc>
        <w:tc>
          <w:tcPr>
            <w:tcW w:w="600" w:type="dxa"/>
            <w:vAlign w:val="bottom"/>
            <w:shd w:val="clear" w:color="auto" w:fill="E8FFFA"/>
          </w:tcPr>
          <w:p>
            <w:pPr>
              <w:spacing w:after="0"/>
              <w:rPr>
                <w:sz w:val="12"/>
                <w:szCs w:val="12"/>
                <w:color w:val="auto"/>
              </w:rPr>
            </w:pPr>
          </w:p>
        </w:tc>
        <w:tc>
          <w:tcPr>
            <w:tcW w:w="200" w:type="dxa"/>
            <w:vAlign w:val="bottom"/>
            <w:tcBorders>
              <w:right w:val="single" w:sz="8" w:color="E8FFFA"/>
            </w:tcBorders>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20" w:type="dxa"/>
            <w:vAlign w:val="bottom"/>
            <w:tcBorders>
              <w:right w:val="single" w:sz="8" w:color="E8FFFA"/>
            </w:tcBorders>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220" w:type="dxa"/>
            <w:vAlign w:val="bottom"/>
            <w:tcBorders>
              <w:right w:val="single" w:sz="8" w:color="E8FFFA"/>
            </w:tcBorders>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220" w:type="dxa"/>
            <w:vAlign w:val="bottom"/>
            <w:tcBorders>
              <w:right w:val="single" w:sz="8" w:color="E8FFFA"/>
            </w:tcBorders>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220" w:type="dxa"/>
            <w:vAlign w:val="bottom"/>
            <w:tcBorders>
              <w:right w:val="single" w:sz="8" w:color="E8FFFA"/>
            </w:tcBorders>
            <w:shd w:val="clear" w:color="auto" w:fill="E8FFFA"/>
          </w:tcPr>
          <w:p>
            <w:pPr>
              <w:spacing w:after="0"/>
              <w:rPr>
                <w:sz w:val="12"/>
                <w:szCs w:val="12"/>
                <w:color w:val="auto"/>
              </w:rPr>
            </w:pPr>
          </w:p>
        </w:tc>
        <w:tc>
          <w:tcPr>
            <w:tcW w:w="760" w:type="dxa"/>
            <w:vAlign w:val="bottom"/>
            <w:shd w:val="clear" w:color="auto" w:fill="E8FFFA"/>
          </w:tcPr>
          <w:p>
            <w:pPr>
              <w:spacing w:after="0"/>
              <w:rPr>
                <w:sz w:val="12"/>
                <w:szCs w:val="12"/>
                <w:color w:val="auto"/>
              </w:rPr>
            </w:pPr>
          </w:p>
        </w:tc>
        <w:tc>
          <w:tcPr>
            <w:tcW w:w="200" w:type="dxa"/>
            <w:vAlign w:val="bottom"/>
            <w:tcBorders>
              <w:right w:val="single" w:sz="8" w:color="E8FFFA"/>
            </w:tcBorders>
            <w:shd w:val="clear" w:color="auto" w:fill="E8FFFA"/>
          </w:tcPr>
          <w:p>
            <w:pPr>
              <w:spacing w:after="0"/>
              <w:rPr>
                <w:sz w:val="12"/>
                <w:szCs w:val="12"/>
                <w:color w:val="auto"/>
              </w:rPr>
            </w:pPr>
          </w:p>
        </w:tc>
        <w:tc>
          <w:tcPr>
            <w:tcW w:w="700" w:type="dxa"/>
            <w:vAlign w:val="bottom"/>
            <w:shd w:val="clear" w:color="auto" w:fill="E8FFFA"/>
          </w:tcPr>
          <w:p>
            <w:pPr>
              <w:spacing w:after="0"/>
              <w:rPr>
                <w:sz w:val="12"/>
                <w:szCs w:val="12"/>
                <w:color w:val="auto"/>
              </w:rPr>
            </w:pPr>
          </w:p>
        </w:tc>
        <w:tc>
          <w:tcPr>
            <w:tcW w:w="220" w:type="dxa"/>
            <w:vAlign w:val="bottom"/>
            <w:tcBorders>
              <w:right w:val="single" w:sz="8" w:color="E8FFFA"/>
            </w:tcBorders>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20" w:type="dxa"/>
            <w:vAlign w:val="bottom"/>
            <w:tcBorders>
              <w:right w:val="single" w:sz="8" w:color="E8FFFA"/>
            </w:tcBorders>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shd w:val="clear" w:color="auto" w:fill="E8FFFA"/>
          </w:tcPr>
          <w:p>
            <w:pPr>
              <w:ind w:left="120"/>
              <w:spacing w:after="0" w:line="159" w:lineRule="exact"/>
              <w:rPr>
                <w:sz w:val="20"/>
                <w:szCs w:val="20"/>
                <w:color w:val="auto"/>
              </w:rPr>
            </w:pPr>
            <w:r>
              <w:rPr>
                <w:rFonts w:ascii="Arial" w:cs="Arial" w:eastAsia="Arial" w:hAnsi="Arial"/>
                <w:sz w:val="14"/>
                <w:szCs w:val="14"/>
                <w:color w:val="auto"/>
              </w:rPr>
              <w:t>(Note 12)</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E8FFFA"/>
            </w:tcBorders>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E8FFFA"/>
            </w:tcBorders>
            <w:gridSpan w:val="3"/>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(28,452)</w:t>
            </w:r>
          </w:p>
        </w:tc>
        <w:tc>
          <w:tcPr>
            <w:tcW w:w="72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(28,452)</w:t>
            </w:r>
          </w:p>
        </w:tc>
        <w:tc>
          <w:tcPr>
            <w:tcW w:w="84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(42,771)</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w w:val="99"/>
              </w:rPr>
              <w:t>(71,223)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Share-based compensation,</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of accrued dividend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(Note 17)</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2,233</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2,233</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2,233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Settlement of share-based</w:t>
            </w:r>
          </w:p>
        </w:tc>
        <w:tc>
          <w:tcPr>
            <w:tcW w:w="60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760" w:type="dxa"/>
            <w:vAlign w:val="bottom"/>
            <w:shd w:val="clear" w:color="auto" w:fill="E8FFFA"/>
          </w:tcPr>
          <w:p>
            <w:pPr>
              <w:spacing w:after="0"/>
              <w:rPr>
                <w:sz w:val="11"/>
                <w:szCs w:val="11"/>
                <w:color w:val="auto"/>
              </w:rPr>
            </w:pPr>
          </w:p>
        </w:tc>
        <w:tc>
          <w:tcPr>
            <w:tcW w:w="200" w:type="dxa"/>
            <w:vAlign w:val="bottom"/>
            <w:tcBorders>
              <w:right w:val="single" w:sz="8" w:color="E8FFFA"/>
            </w:tcBorders>
            <w:shd w:val="clear" w:color="auto" w:fill="E8FFFA"/>
          </w:tcPr>
          <w:p>
            <w:pPr>
              <w:spacing w:after="0"/>
              <w:rPr>
                <w:sz w:val="11"/>
                <w:szCs w:val="11"/>
                <w:color w:val="auto"/>
              </w:rPr>
            </w:pPr>
          </w:p>
        </w:tc>
        <w:tc>
          <w:tcPr>
            <w:tcW w:w="70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20" w:type="dxa"/>
            <w:vAlign w:val="bottom"/>
            <w:tcBorders>
              <w:right w:val="single" w:sz="8" w:color="E8FFFA"/>
            </w:tcBorders>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shd w:val="clear" w:color="auto" w:fill="E8FFFA"/>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E8FFFA"/>
            </w:tcBorders>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E8FFFA"/>
            </w:tcBorders>
            <w:shd w:val="clear" w:color="auto" w:fill="E8FFFA"/>
          </w:tcPr>
          <w:p>
            <w:pPr>
              <w:spacing w:after="0"/>
              <w:rPr>
                <w:sz w:val="13"/>
                <w:szCs w:val="13"/>
                <w:color w:val="auto"/>
              </w:rPr>
            </w:pPr>
          </w:p>
        </w:tc>
        <w:tc>
          <w:tcPr>
            <w:tcW w:w="88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E8FFFA"/>
            </w:tcBorders>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(2,464)</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2,550</w:t>
            </w:r>
          </w:p>
        </w:tc>
        <w:tc>
          <w:tcPr>
            <w:tcW w:w="220" w:type="dxa"/>
            <w:vAlign w:val="bottom"/>
            <w:tcBorders>
              <w:right w:val="single" w:sz="8" w:color="E8FFFA"/>
            </w:tcBorders>
            <w:shd w:val="clear" w:color="auto" w:fill="E8FFFA"/>
          </w:tcPr>
          <w:p>
            <w:pPr>
              <w:spacing w:after="0"/>
              <w:rPr>
                <w:sz w:val="13"/>
                <w:szCs w:val="13"/>
                <w:color w:val="auto"/>
              </w:rPr>
            </w:pPr>
          </w:p>
        </w:tc>
        <w:tc>
          <w:tcPr>
            <w:tcW w:w="960" w:type="dxa"/>
            <w:vAlign w:val="bottom"/>
            <w:tcBorders>
              <w:right w:val="single" w:sz="8" w:color="E8FFFA"/>
            </w:tcBorders>
            <w:gridSpan w:val="2"/>
            <w:shd w:val="clear" w:color="auto" w:fill="E8FFFA"/>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86</w:t>
            </w:r>
          </w:p>
        </w:tc>
        <w:tc>
          <w:tcPr>
            <w:tcW w:w="220" w:type="dxa"/>
            <w:vAlign w:val="bottom"/>
            <w:tcBorders>
              <w:right w:val="single" w:sz="8" w:color="E8FFFA"/>
            </w:tcBorders>
            <w:shd w:val="clear" w:color="auto" w:fill="E8FFFA"/>
          </w:tcPr>
          <w:p>
            <w:pPr>
              <w:spacing w:after="0"/>
              <w:rPr>
                <w:sz w:val="13"/>
                <w:szCs w:val="13"/>
                <w:color w:val="auto"/>
              </w:rPr>
            </w:pPr>
          </w:p>
        </w:tc>
        <w:tc>
          <w:tcPr>
            <w:tcW w:w="840" w:type="dxa"/>
            <w:vAlign w:val="bottom"/>
            <w:tcBorders>
              <w:right w:val="single" w:sz="8" w:color="E8FFFA"/>
            </w:tcBorders>
            <w:gridSpan w:val="2"/>
            <w:shd w:val="clear" w:color="auto" w:fill="E8FFFA"/>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Treasury shares, net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Profit for the period</w:t>
            </w:r>
          </w:p>
        </w:tc>
        <w:tc>
          <w:tcPr>
            <w:tcW w:w="6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E8FFFA"/>
            </w:tcBorders>
            <w:shd w:val="clear" w:color="auto" w:fill="E8FFFA"/>
          </w:tcPr>
          <w:p>
            <w:pPr>
              <w:spacing w:after="0"/>
              <w:rPr>
                <w:sz w:val="12"/>
                <w:szCs w:val="12"/>
                <w:color w:val="auto"/>
              </w:rPr>
            </w:pPr>
          </w:p>
        </w:tc>
        <w:tc>
          <w:tcPr>
            <w:tcW w:w="6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E8FFFA"/>
            </w:tcBorders>
            <w:shd w:val="clear" w:color="auto" w:fill="E8FFFA"/>
          </w:tcPr>
          <w:p>
            <w:pPr>
              <w:spacing w:after="0"/>
              <w:rPr>
                <w:sz w:val="12"/>
                <w:szCs w:val="12"/>
                <w:color w:val="auto"/>
              </w:rPr>
            </w:pPr>
          </w:p>
        </w:tc>
        <w:tc>
          <w:tcPr>
            <w:tcW w:w="880" w:type="dxa"/>
            <w:vAlign w:val="bottom"/>
            <w:tcBorders>
              <w:right w:val="single" w:sz="8" w:color="E8FFFA"/>
            </w:tcBorders>
            <w:gridSpan w:val="2"/>
            <w:shd w:val="clear" w:color="auto" w:fill="E8FFFA"/>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E8FFFA"/>
            </w:tcBorders>
            <w:gridSpan w:val="2"/>
            <w:shd w:val="clear" w:color="auto" w:fill="E8FFFA"/>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8FFFA"/>
            </w:tcBorders>
            <w:gridSpan w:val="2"/>
            <w:shd w:val="clear" w:color="auto" w:fill="E8FFFA"/>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15,684</w:t>
            </w:r>
          </w:p>
        </w:tc>
        <w:tc>
          <w:tcPr>
            <w:tcW w:w="200" w:type="dxa"/>
            <w:vAlign w:val="bottom"/>
            <w:tcBorders>
              <w:right w:val="single" w:sz="8" w:color="E8FFFA"/>
            </w:tcBorders>
            <w:shd w:val="clear" w:color="auto" w:fill="E8FFFA"/>
          </w:tcPr>
          <w:p>
            <w:pPr>
              <w:spacing w:after="0"/>
              <w:rPr>
                <w:sz w:val="12"/>
                <w:szCs w:val="12"/>
                <w:color w:val="auto"/>
              </w:rPr>
            </w:pPr>
          </w:p>
        </w:tc>
        <w:tc>
          <w:tcPr>
            <w:tcW w:w="7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15,684</w:t>
            </w:r>
          </w:p>
        </w:tc>
        <w:tc>
          <w:tcPr>
            <w:tcW w:w="220" w:type="dxa"/>
            <w:vAlign w:val="bottom"/>
            <w:tcBorders>
              <w:right w:val="single" w:sz="8" w:color="E8FFFA"/>
            </w:tcBorders>
            <w:shd w:val="clear" w:color="auto" w:fill="E8FFFA"/>
          </w:tcPr>
          <w:p>
            <w:pPr>
              <w:spacing w:after="0"/>
              <w:rPr>
                <w:sz w:val="12"/>
                <w:szCs w:val="12"/>
                <w:color w:val="auto"/>
              </w:rPr>
            </w:pPr>
          </w:p>
        </w:tc>
        <w:tc>
          <w:tcPr>
            <w:tcW w:w="6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41,069</w:t>
            </w:r>
          </w:p>
        </w:tc>
        <w:tc>
          <w:tcPr>
            <w:tcW w:w="220" w:type="dxa"/>
            <w:vAlign w:val="bottom"/>
            <w:tcBorders>
              <w:right w:val="single" w:sz="8" w:color="E8FFFA"/>
            </w:tcBorders>
            <w:shd w:val="clear" w:color="auto" w:fill="E8FFFA"/>
          </w:tcPr>
          <w:p>
            <w:pPr>
              <w:spacing w:after="0"/>
              <w:rPr>
                <w:sz w:val="12"/>
                <w:szCs w:val="12"/>
                <w:color w:val="auto"/>
              </w:rPr>
            </w:pPr>
          </w:p>
        </w:tc>
        <w:tc>
          <w:tcPr>
            <w:tcW w:w="54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56,753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w w:val="98"/>
              </w:rPr>
              <w:t>Other comprehensive income</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for the period</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1,210</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1,210</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1,210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Borders>
              <w:top w:val="single" w:sz="8" w:color="E8FFFA"/>
            </w:tcBorders>
            <w:shd w:val="clear" w:color="auto" w:fill="E8FFFA"/>
          </w:tcPr>
          <w:p>
            <w:pPr>
              <w:spacing w:after="0" w:line="129" w:lineRule="exact"/>
              <w:rPr>
                <w:sz w:val="20"/>
                <w:szCs w:val="20"/>
                <w:color w:val="auto"/>
              </w:rPr>
            </w:pPr>
            <w:r>
              <w:rPr>
                <w:rFonts w:ascii="Arial" w:cs="Arial" w:eastAsia="Arial" w:hAnsi="Arial"/>
                <w:sz w:val="14"/>
                <w:szCs w:val="14"/>
                <w:b w:val="1"/>
                <w:bCs w:val="1"/>
                <w:color w:val="auto"/>
                <w:w w:val="84"/>
              </w:rPr>
              <w:t>Total comprehensive income</w:t>
            </w:r>
          </w:p>
        </w:tc>
        <w:tc>
          <w:tcPr>
            <w:tcW w:w="160" w:type="dxa"/>
            <w:vAlign w:val="bottom"/>
            <w:tcBorders>
              <w:top w:val="single" w:sz="8" w:color="E8FFFA"/>
            </w:tcBorders>
            <w:shd w:val="clear" w:color="auto" w:fill="E8FFFA"/>
          </w:tcPr>
          <w:p>
            <w:pPr>
              <w:spacing w:after="0"/>
              <w:rPr>
                <w:sz w:val="11"/>
                <w:szCs w:val="11"/>
                <w:color w:val="auto"/>
              </w:rPr>
            </w:pPr>
          </w:p>
        </w:tc>
        <w:tc>
          <w:tcPr>
            <w:tcW w:w="600" w:type="dxa"/>
            <w:vAlign w:val="bottom"/>
            <w:tcBorders>
              <w:top w:val="single" w:sz="8" w:color="auto"/>
            </w:tcBorders>
            <w:shd w:val="clear" w:color="auto" w:fill="E8FFFA"/>
          </w:tcPr>
          <w:p>
            <w:pPr>
              <w:spacing w:after="0"/>
              <w:rPr>
                <w:sz w:val="11"/>
                <w:szCs w:val="11"/>
                <w:color w:val="auto"/>
              </w:rPr>
            </w:pPr>
          </w:p>
        </w:tc>
        <w:tc>
          <w:tcPr>
            <w:tcW w:w="200" w:type="dxa"/>
            <w:vAlign w:val="bottom"/>
            <w:tcBorders>
              <w:top w:val="single" w:sz="8" w:color="E8FFFA"/>
              <w:right w:val="single" w:sz="8" w:color="E8FFFA"/>
            </w:tcBorders>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50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760" w:type="dxa"/>
            <w:vAlign w:val="bottom"/>
            <w:tcBorders>
              <w:top w:val="single" w:sz="8" w:color="auto"/>
            </w:tcBorders>
            <w:shd w:val="clear" w:color="auto" w:fill="E8FFFA"/>
          </w:tcPr>
          <w:p>
            <w:pPr>
              <w:spacing w:after="0"/>
              <w:rPr>
                <w:sz w:val="11"/>
                <w:szCs w:val="11"/>
                <w:color w:val="auto"/>
              </w:rPr>
            </w:pPr>
          </w:p>
        </w:tc>
        <w:tc>
          <w:tcPr>
            <w:tcW w:w="200" w:type="dxa"/>
            <w:vAlign w:val="bottom"/>
            <w:tcBorders>
              <w:top w:val="single" w:sz="8" w:color="E8FFFA"/>
              <w:right w:val="single" w:sz="8" w:color="E8FFFA"/>
            </w:tcBorders>
            <w:shd w:val="clear" w:color="auto" w:fill="E8FFFA"/>
          </w:tcPr>
          <w:p>
            <w:pPr>
              <w:spacing w:after="0"/>
              <w:rPr>
                <w:sz w:val="11"/>
                <w:szCs w:val="11"/>
                <w:color w:val="auto"/>
              </w:rPr>
            </w:pPr>
          </w:p>
        </w:tc>
        <w:tc>
          <w:tcPr>
            <w:tcW w:w="70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20" w:type="dxa"/>
            <w:vAlign w:val="bottom"/>
            <w:tcBorders>
              <w:top w:val="single" w:sz="8" w:color="E8FFFA"/>
              <w:right w:val="single" w:sz="8" w:color="E8FFFA"/>
            </w:tcBorders>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shd w:val="clear" w:color="auto" w:fill="E8FFFA"/>
          </w:tcPr>
          <w:p>
            <w:pPr>
              <w:ind w:left="120"/>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shd w:val="clear" w:color="auto" w:fill="E8FFFA"/>
          </w:tcPr>
          <w:p>
            <w:pPr>
              <w:spacing w:after="0"/>
              <w:rPr>
                <w:sz w:val="14"/>
                <w:szCs w:val="14"/>
                <w:color w:val="auto"/>
              </w:rPr>
            </w:pPr>
          </w:p>
        </w:tc>
        <w:tc>
          <w:tcPr>
            <w:tcW w:w="6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E8FFFA"/>
            </w:tcBorders>
            <w:shd w:val="clear" w:color="auto" w:fill="E8FFFA"/>
          </w:tcPr>
          <w:p>
            <w:pPr>
              <w:spacing w:after="0"/>
              <w:rPr>
                <w:sz w:val="14"/>
                <w:szCs w:val="14"/>
                <w:color w:val="auto"/>
              </w:rPr>
            </w:pPr>
          </w:p>
        </w:tc>
        <w:tc>
          <w:tcPr>
            <w:tcW w:w="6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right w:val="single" w:sz="8" w:color="E8FFFA"/>
            </w:tcBorders>
            <w:shd w:val="clear" w:color="auto" w:fill="E8FFFA"/>
          </w:tcPr>
          <w:p>
            <w:pPr>
              <w:spacing w:after="0"/>
              <w:rPr>
                <w:sz w:val="14"/>
                <w:szCs w:val="14"/>
                <w:color w:val="auto"/>
              </w:rPr>
            </w:pPr>
          </w:p>
        </w:tc>
        <w:tc>
          <w:tcPr>
            <w:tcW w:w="6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right w:val="single" w:sz="8" w:color="E8FFFA"/>
            </w:tcBorders>
            <w:shd w:val="clear" w:color="auto" w:fill="E8FFFA"/>
          </w:tcPr>
          <w:p>
            <w:pPr>
              <w:spacing w:after="0"/>
              <w:rPr>
                <w:sz w:val="14"/>
                <w:szCs w:val="14"/>
                <w:color w:val="auto"/>
              </w:rPr>
            </w:pPr>
          </w:p>
        </w:tc>
        <w:tc>
          <w:tcPr>
            <w:tcW w:w="5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1,210</w:t>
            </w:r>
          </w:p>
        </w:tc>
        <w:tc>
          <w:tcPr>
            <w:tcW w:w="220" w:type="dxa"/>
            <w:vAlign w:val="bottom"/>
            <w:tcBorders>
              <w:right w:val="single" w:sz="8" w:color="E8FFFA"/>
            </w:tcBorders>
            <w:shd w:val="clear" w:color="auto" w:fill="E8FFFA"/>
          </w:tcPr>
          <w:p>
            <w:pPr>
              <w:spacing w:after="0"/>
              <w:rPr>
                <w:sz w:val="14"/>
                <w:szCs w:val="14"/>
                <w:color w:val="auto"/>
              </w:rPr>
            </w:pPr>
          </w:p>
        </w:tc>
        <w:tc>
          <w:tcPr>
            <w:tcW w:w="5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right w:val="single" w:sz="8" w:color="E8FFFA"/>
            </w:tcBorders>
            <w:shd w:val="clear" w:color="auto" w:fill="E8FFFA"/>
          </w:tcPr>
          <w:p>
            <w:pPr>
              <w:spacing w:after="0"/>
              <w:rPr>
                <w:sz w:val="14"/>
                <w:szCs w:val="14"/>
                <w:color w:val="auto"/>
              </w:rPr>
            </w:pPr>
          </w:p>
        </w:tc>
        <w:tc>
          <w:tcPr>
            <w:tcW w:w="7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15,684</w:t>
            </w:r>
          </w:p>
        </w:tc>
        <w:tc>
          <w:tcPr>
            <w:tcW w:w="200" w:type="dxa"/>
            <w:vAlign w:val="bottom"/>
            <w:tcBorders>
              <w:right w:val="single" w:sz="8" w:color="E8FFFA"/>
            </w:tcBorders>
            <w:shd w:val="clear" w:color="auto" w:fill="E8FFFA"/>
          </w:tcPr>
          <w:p>
            <w:pPr>
              <w:spacing w:after="0"/>
              <w:rPr>
                <w:sz w:val="14"/>
                <w:szCs w:val="14"/>
                <w:color w:val="auto"/>
              </w:rPr>
            </w:pPr>
          </w:p>
        </w:tc>
        <w:tc>
          <w:tcPr>
            <w:tcW w:w="7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16,894</w:t>
            </w:r>
          </w:p>
        </w:tc>
        <w:tc>
          <w:tcPr>
            <w:tcW w:w="220" w:type="dxa"/>
            <w:vAlign w:val="bottom"/>
            <w:tcBorders>
              <w:right w:val="single" w:sz="8" w:color="E8FFFA"/>
            </w:tcBorders>
            <w:shd w:val="clear" w:color="auto" w:fill="E8FFFA"/>
          </w:tcPr>
          <w:p>
            <w:pPr>
              <w:spacing w:after="0"/>
              <w:rPr>
                <w:sz w:val="14"/>
                <w:szCs w:val="14"/>
                <w:color w:val="auto"/>
              </w:rPr>
            </w:pPr>
          </w:p>
        </w:tc>
        <w:tc>
          <w:tcPr>
            <w:tcW w:w="6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41,069</w:t>
            </w:r>
          </w:p>
        </w:tc>
        <w:tc>
          <w:tcPr>
            <w:tcW w:w="220" w:type="dxa"/>
            <w:vAlign w:val="bottom"/>
            <w:tcBorders>
              <w:right w:val="single" w:sz="8" w:color="E8FFFA"/>
            </w:tcBorders>
            <w:shd w:val="clear" w:color="auto" w:fill="E8FFFA"/>
          </w:tcPr>
          <w:p>
            <w:pPr>
              <w:spacing w:after="0"/>
              <w:rPr>
                <w:sz w:val="14"/>
                <w:szCs w:val="14"/>
                <w:color w:val="auto"/>
              </w:rPr>
            </w:pPr>
          </w:p>
        </w:tc>
        <w:tc>
          <w:tcPr>
            <w:tcW w:w="5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4"/>
                <w:szCs w:val="14"/>
                <w:b w:val="1"/>
                <w:bCs w:val="1"/>
                <w:color w:val="auto"/>
              </w:rPr>
              <w:t>57,963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Balance as of June 30, 2018</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883,314</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18,890</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(4,472)</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9,894</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908,482</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954,587</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1,863,069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 xml:space="preserve">Adjusted so as to reflect certain amendments introduced due to the adoption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which became effective on January 1, 2018 (Note 2).</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38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June 30, 2017</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top w:val="single" w:sz="8" w:color="auto"/>
            </w:tcBorders>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100" w:type="dxa"/>
            <w:vAlign w:val="bottom"/>
            <w:tcBorders>
              <w:top w:val="single" w:sz="8" w:color="auto"/>
            </w:tcBorders>
            <w:shd w:val="clear" w:color="auto" w:fill="E8FFFA"/>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Profit for the period</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30,296</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56,753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Adjustments for:</w:t>
            </w:r>
          </w:p>
        </w:tc>
        <w:tc>
          <w:tcPr>
            <w:tcW w:w="10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68,159</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74,342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Share of profit of associates</w:t>
            </w:r>
          </w:p>
        </w:tc>
        <w:tc>
          <w:tcPr>
            <w:tcW w:w="124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(847)</w:t>
            </w: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(827)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(1,135)</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Financial costs</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69,602</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78,597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Unrealized foreign exchange (gain)/loss on cash and cash equivalents</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(538)</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w w:val="94"/>
              </w:rPr>
              <w:t>Unrealized loss/(gain) on derivative financial instruments held for trading, including ineffective portion of cash flow</w:t>
            </w:r>
          </w:p>
        </w:tc>
        <w:tc>
          <w:tcPr>
            <w:tcW w:w="108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100" w:type="dxa"/>
            <w:vAlign w:val="bottom"/>
            <w:shd w:val="clear" w:color="auto" w:fill="E8FFFA"/>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rPr>
              <w:t>hedges (Note 15)</w:t>
            </w:r>
          </w:p>
        </w:tc>
        <w:tc>
          <w:tcPr>
            <w:tcW w:w="108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1,172</w:t>
            </w:r>
          </w:p>
        </w:tc>
        <w:tc>
          <w:tcPr>
            <w:tcW w:w="160" w:type="dxa"/>
            <w:vAlign w:val="bottom"/>
            <w:shd w:val="clear" w:color="auto" w:fill="E8FFFA"/>
          </w:tcPr>
          <w:p>
            <w:pPr>
              <w:spacing w:after="0"/>
              <w:rPr>
                <w:sz w:val="13"/>
                <w:szCs w:val="13"/>
                <w:color w:val="auto"/>
              </w:rPr>
            </w:pPr>
          </w:p>
        </w:tc>
        <w:tc>
          <w:tcPr>
            <w:tcW w:w="11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(16,705)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Recycled loss of cash flow hedges reclassified to profit or loss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4,368</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Share-based compensation (Note 17)</w:t>
            </w:r>
          </w:p>
        </w:tc>
        <w:tc>
          <w:tcPr>
            <w:tcW w:w="108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2,235</w:t>
            </w:r>
          </w:p>
        </w:tc>
        <w:tc>
          <w:tcPr>
            <w:tcW w:w="160" w:type="dxa"/>
            <w:vAlign w:val="bottom"/>
            <w:shd w:val="clear" w:color="auto" w:fill="E8FFFA"/>
          </w:tcPr>
          <w:p>
            <w:pPr>
              <w:spacing w:after="0"/>
              <w:rPr>
                <w:sz w:val="12"/>
                <w:szCs w:val="12"/>
                <w:color w:val="auto"/>
              </w:rPr>
            </w:pPr>
          </w:p>
        </w:tc>
        <w:tc>
          <w:tcPr>
            <w:tcW w:w="110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2,515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173,312</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Movements in working capital</w:t>
            </w:r>
          </w:p>
        </w:tc>
        <w:tc>
          <w:tcPr>
            <w:tcW w:w="108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(5,344)</w:t>
            </w:r>
          </w:p>
        </w:tc>
        <w:tc>
          <w:tcPr>
            <w:tcW w:w="160" w:type="dxa"/>
            <w:vAlign w:val="bottom"/>
            <w:shd w:val="clear" w:color="auto" w:fill="E8FFFA"/>
          </w:tcPr>
          <w:p>
            <w:pPr>
              <w:spacing w:after="0"/>
              <w:rPr>
                <w:sz w:val="12"/>
                <w:szCs w:val="12"/>
                <w:color w:val="auto"/>
              </w:rPr>
            </w:pPr>
          </w:p>
        </w:tc>
        <w:tc>
          <w:tcPr>
            <w:tcW w:w="110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(1,712)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provided by operations</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167,968</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190,716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Interest paid</w:t>
            </w:r>
          </w:p>
        </w:tc>
        <w:tc>
          <w:tcPr>
            <w:tcW w:w="108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(63,853)</w:t>
            </w:r>
          </w:p>
        </w:tc>
        <w:tc>
          <w:tcPr>
            <w:tcW w:w="160" w:type="dxa"/>
            <w:vAlign w:val="bottom"/>
            <w:shd w:val="clear" w:color="auto" w:fill="E8FFFA"/>
          </w:tcPr>
          <w:p>
            <w:pPr>
              <w:spacing w:after="0"/>
              <w:rPr>
                <w:sz w:val="12"/>
                <w:szCs w:val="12"/>
                <w:color w:val="auto"/>
              </w:rPr>
            </w:pPr>
          </w:p>
        </w:tc>
        <w:tc>
          <w:tcPr>
            <w:tcW w:w="110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(63,914)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104,115</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126,802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Payments for tangible fixed assets, vessels under construction and vessel held under finance leaze</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(63,010)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(588,929)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Dividends received from associate</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1,043</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Return of contributed capital from associate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Other investments</w:t>
            </w:r>
          </w:p>
        </w:tc>
        <w:tc>
          <w:tcPr>
            <w:tcW w:w="124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(13,944)</w:t>
            </w: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Purchase of short-term investments</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Maturity of short-term investments</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28,000</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(2,321)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Financial income received</w:t>
            </w:r>
          </w:p>
        </w:tc>
        <w:tc>
          <w:tcPr>
            <w:tcW w:w="108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1,126</w:t>
            </w:r>
          </w:p>
        </w:tc>
        <w:tc>
          <w:tcPr>
            <w:tcW w:w="160" w:type="dxa"/>
            <w:vAlign w:val="bottom"/>
            <w:shd w:val="clear" w:color="auto" w:fill="E8FFFA"/>
          </w:tcPr>
          <w:p>
            <w:pPr>
              <w:spacing w:after="0"/>
              <w:rPr>
                <w:sz w:val="12"/>
                <w:szCs w:val="12"/>
                <w:color w:val="auto"/>
              </w:rPr>
            </w:pPr>
          </w:p>
        </w:tc>
        <w:tc>
          <w:tcPr>
            <w:tcW w:w="1100" w:type="dxa"/>
            <w:vAlign w:val="bottom"/>
            <w:tcBorders>
              <w:bottom w:val="single" w:sz="8" w:color="auto"/>
            </w:tcBorders>
            <w:shd w:val="clear" w:color="auto" w:fill="E8FFFA"/>
          </w:tcPr>
          <w:p>
            <w:pPr>
              <w:jc w:val="right"/>
              <w:spacing w:after="0" w:line="149" w:lineRule="exact"/>
              <w:rPr>
                <w:sz w:val="20"/>
                <w:szCs w:val="20"/>
                <w:color w:val="auto"/>
              </w:rPr>
            </w:pPr>
            <w:r>
              <w:rPr>
                <w:rFonts w:ascii="Arial" w:cs="Arial" w:eastAsia="Arial" w:hAnsi="Arial"/>
                <w:sz w:val="14"/>
                <w:szCs w:val="14"/>
                <w:color w:val="auto"/>
              </w:rPr>
              <w:t>2,124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(66,726)</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(614,626)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Proceeds from bank loans and bonds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498,225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Bank loans and bonds repayments</w:t>
            </w:r>
          </w:p>
        </w:tc>
        <w:tc>
          <w:tcPr>
            <w:tcW w:w="124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(276,158)</w:t>
            </w: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(108,958)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Payment of loan issuance costs</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(6,234)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(7,295)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w w:val="95"/>
              </w:rPr>
              <w:t>Proceeds from GasLog Partners' public common unit offerings (net of underwriting discounts and commissions)</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87,840</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Proceeds from GasLog Partners' preference unit offering (net of underwriting discounts and commissions)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139,222</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111,544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Payment of equity raising costs</w:t>
            </w:r>
          </w:p>
        </w:tc>
        <w:tc>
          <w:tcPr>
            <w:tcW w:w="124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(336)</w:t>
            </w: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(660)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Payment for NOK bond repurchase at a premium</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Payment for cross currency swaps' termination</w:t>
            </w:r>
          </w:p>
        </w:tc>
        <w:tc>
          <w:tcPr>
            <w:tcW w:w="124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(20,603)</w:t>
            </w: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Purchase of treasury shares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Proceeds from stock options' exercise</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137</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(53,019)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(71,223)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Payments for finance lease liability</w:t>
            </w:r>
          </w:p>
        </w:tc>
        <w:tc>
          <w:tcPr>
            <w:tcW w:w="1240" w:type="dxa"/>
            <w:vAlign w:val="bottom"/>
            <w:gridSpan w:val="2"/>
            <w:shd w:val="clear" w:color="auto" w:fill="E8FFFA"/>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(3,588)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149,377</w:t>
            </w:r>
          </w:p>
        </w:tc>
        <w:tc>
          <w:tcPr>
            <w:tcW w:w="1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418,164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Effects of exchange rate changes on cash and cash equivalents</w:t>
            </w:r>
          </w:p>
        </w:tc>
        <w:tc>
          <w:tcPr>
            <w:tcW w:w="108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538</w:t>
            </w:r>
          </w:p>
        </w:tc>
        <w:tc>
          <w:tcPr>
            <w:tcW w:w="160" w:type="dxa"/>
            <w:vAlign w:val="bottom"/>
            <w:shd w:val="clear" w:color="auto" w:fill="E8FFFA"/>
          </w:tcPr>
          <w:p>
            <w:pPr>
              <w:spacing w:after="0"/>
              <w:rPr>
                <w:sz w:val="12"/>
                <w:szCs w:val="12"/>
                <w:color w:val="auto"/>
              </w:rPr>
            </w:pPr>
          </w:p>
        </w:tc>
        <w:tc>
          <w:tcPr>
            <w:tcW w:w="110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Increase/(decrease) in cash and cash equivalents</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187,304</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(69,723)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Cash and cash equivalents, beginning of the period</w:t>
            </w:r>
          </w:p>
        </w:tc>
        <w:tc>
          <w:tcPr>
            <w:tcW w:w="108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227,024</w:t>
            </w:r>
          </w:p>
        </w:tc>
        <w:tc>
          <w:tcPr>
            <w:tcW w:w="160" w:type="dxa"/>
            <w:vAlign w:val="bottom"/>
            <w:shd w:val="clear" w:color="auto" w:fill="E8FFFA"/>
          </w:tcPr>
          <w:p>
            <w:pPr>
              <w:spacing w:after="0"/>
              <w:rPr>
                <w:sz w:val="12"/>
                <w:szCs w:val="12"/>
                <w:color w:val="auto"/>
              </w:rPr>
            </w:pPr>
          </w:p>
        </w:tc>
        <w:tc>
          <w:tcPr>
            <w:tcW w:w="110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384,092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the period</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414,328</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314,369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shd w:val="clear" w:color="auto" w:fill="E8FFFA"/>
          </w:tcPr>
          <w:p>
            <w:pPr>
              <w:spacing w:after="0"/>
              <w:rPr>
                <w:sz w:val="12"/>
                <w:szCs w:val="12"/>
                <w:color w:val="auto"/>
              </w:rPr>
            </w:pPr>
          </w:p>
        </w:tc>
        <w:tc>
          <w:tcPr>
            <w:tcW w:w="10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Capital expenditures – net payable at the end of the period</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4,805</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15,426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Equity raising costs included in liabilities at the end of the period</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955</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Loan issuance costs included in liabilities at the end of the period</w:t>
            </w:r>
          </w:p>
        </w:tc>
        <w:tc>
          <w:tcPr>
            <w:tcW w:w="108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Dividend declared included in liabilities at the end of the period</w:t>
            </w:r>
          </w:p>
        </w:tc>
        <w:tc>
          <w:tcPr>
            <w:tcW w:w="1080" w:type="dxa"/>
            <w:vAlign w:val="bottom"/>
          </w:tcPr>
          <w:p>
            <w:pPr>
              <w:jc w:val="right"/>
              <w:spacing w:after="0"/>
              <w:rPr>
                <w:sz w:val="20"/>
                <w:szCs w:val="20"/>
                <w:color w:val="auto"/>
              </w:rPr>
            </w:pPr>
            <w:r>
              <w:rPr>
                <w:rFonts w:ascii="Arial" w:cs="Arial" w:eastAsia="Arial" w:hAnsi="Arial"/>
                <w:sz w:val="14"/>
                <w:szCs w:val="14"/>
                <w:color w:val="auto"/>
              </w:rPr>
              <w:t>2,516</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June 30, 2018, entities controlled by members of the Livanos family, including GasLog's chairman, are deemed to beneficially own approximately 40.11% of GasLog's issued and outstanding common shares. As a result of his ownership of GasLog's common shares, Mr. Livanos can effectively control the outcome of most matters on which GasLog's shareholders are entitled to vote.</w:t>
      </w:r>
    </w:p>
    <w:p>
      <w:pPr>
        <w:spacing w:after="0" w:line="172"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As of June 30, 2018, GasLog held a 29.1%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97"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As of June 30, 2018, the Group's structure is as follows: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Place of</w:t>
            </w:r>
          </w:p>
        </w:tc>
        <w:tc>
          <w:tcPr>
            <w:tcW w:w="120" w:type="dxa"/>
            <w:vAlign w:val="bottom"/>
          </w:tcPr>
          <w:p>
            <w:pPr>
              <w:spacing w:after="0"/>
              <w:rPr>
                <w:sz w:val="12"/>
                <w:szCs w:val="12"/>
                <w:color w:val="auto"/>
              </w:rPr>
            </w:pPr>
          </w:p>
        </w:tc>
        <w:tc>
          <w:tcPr>
            <w:tcW w:w="8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Date of</w:t>
            </w:r>
          </w:p>
        </w:tc>
        <w:tc>
          <w:tcPr>
            <w:tcW w:w="100" w:type="dxa"/>
            <w:vAlign w:val="bottom"/>
          </w:tcPr>
          <w:p>
            <w:pPr>
              <w:spacing w:after="0"/>
              <w:rPr>
                <w:sz w:val="12"/>
                <w:szCs w:val="12"/>
                <w:color w:val="auto"/>
              </w:rPr>
            </w:pPr>
          </w:p>
        </w:tc>
        <w:tc>
          <w:tcPr>
            <w:tcW w:w="15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Principal</w:t>
            </w:r>
          </w:p>
        </w:tc>
        <w:tc>
          <w:tcPr>
            <w:tcW w:w="6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capacity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Delivery</w:t>
            </w: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8"/>
              </w:rPr>
              <w:t>incorporation</w:t>
            </w:r>
          </w:p>
        </w:tc>
        <w:tc>
          <w:tcPr>
            <w:tcW w:w="100" w:type="dxa"/>
            <w:vAlign w:val="bottom"/>
          </w:tcPr>
          <w:p>
            <w:pPr>
              <w:spacing w:after="0"/>
              <w:rPr>
                <w:sz w:val="14"/>
                <w:szCs w:val="14"/>
                <w:color w:val="auto"/>
              </w:rPr>
            </w:pPr>
          </w:p>
        </w:tc>
        <w:tc>
          <w:tcPr>
            <w:tcW w:w="1560" w:type="dxa"/>
            <w:vAlign w:val="bottom"/>
          </w:tcPr>
          <w:p>
            <w:pPr>
              <w:ind w:left="52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20" w:type="dxa"/>
            <w:vAlign w:val="bottom"/>
          </w:tcPr>
          <w:p>
            <w:pPr>
              <w:spacing w:after="0"/>
              <w:rPr>
                <w:sz w:val="14"/>
                <w:szCs w:val="14"/>
                <w:color w:val="auto"/>
              </w:rPr>
            </w:pP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Vessel</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 Investments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BVI</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July 2003</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Holding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w w:val="95"/>
              </w:rPr>
              <w:t>GasLog Carriers Ltd. ("GasLog Carriers")</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0"/>
              </w:rPr>
              <w:t>February 2008</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Holding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6"/>
              </w:rPr>
              <w:t>January 2006</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Holding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GasLog Partners GP LLC</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6"/>
              </w:rPr>
              <w:t>Marshall Islands</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January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Holding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GasLog Cyprus Investments Ltd.</w:t>
            </w:r>
          </w:p>
        </w:tc>
        <w:tc>
          <w:tcPr>
            <w:tcW w:w="1180" w:type="dxa"/>
            <w:vAlign w:val="bottom"/>
            <w:gridSpan w:val="2"/>
            <w:shd w:val="clear" w:color="auto" w:fill="E8FFFA"/>
          </w:tcPr>
          <w:p>
            <w:pPr>
              <w:ind w:left="180"/>
              <w:spacing w:after="0" w:line="138" w:lineRule="exact"/>
              <w:rPr>
                <w:sz w:val="20"/>
                <w:szCs w:val="20"/>
                <w:color w:val="auto"/>
              </w:rPr>
            </w:pPr>
            <w:r>
              <w:rPr>
                <w:rFonts w:ascii="Arial" w:cs="Arial" w:eastAsia="Arial" w:hAnsi="Arial"/>
                <w:sz w:val="14"/>
                <w:szCs w:val="14"/>
                <w:color w:val="auto"/>
              </w:rPr>
              <w:t>Cyprus</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December</w:t>
            </w:r>
          </w:p>
        </w:tc>
        <w:tc>
          <w:tcPr>
            <w:tcW w:w="16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Holding company</w:t>
            </w:r>
          </w:p>
        </w:tc>
        <w:tc>
          <w:tcPr>
            <w:tcW w:w="600" w:type="dxa"/>
            <w:vAlign w:val="bottom"/>
            <w:gridSpan w:val="2"/>
            <w:shd w:val="clear" w:color="auto" w:fill="E8FFFA"/>
          </w:tcPr>
          <w:p>
            <w:pPr>
              <w:ind w:left="12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E8FFFA"/>
          </w:tcPr>
          <w:p>
            <w:pPr>
              <w:spacing w:after="0"/>
              <w:rPr>
                <w:sz w:val="13"/>
                <w:szCs w:val="13"/>
                <w:color w:val="auto"/>
              </w:rPr>
            </w:pPr>
          </w:p>
        </w:tc>
        <w:tc>
          <w:tcPr>
            <w:tcW w:w="2120" w:type="dxa"/>
            <w:vAlign w:val="bottom"/>
            <w:shd w:val="clear" w:color="auto" w:fill="E8FFFA"/>
          </w:tcPr>
          <w:p>
            <w:pPr>
              <w:spacing w:after="0"/>
              <w:rPr>
                <w:sz w:val="13"/>
                <w:szCs w:val="13"/>
                <w:color w:val="auto"/>
              </w:rPr>
            </w:pPr>
          </w:p>
        </w:tc>
        <w:tc>
          <w:tcPr>
            <w:tcW w:w="200" w:type="dxa"/>
            <w:vAlign w:val="bottom"/>
            <w:shd w:val="clear" w:color="auto" w:fill="E8FFFA"/>
          </w:tcPr>
          <w:p>
            <w:pPr>
              <w:spacing w:after="0"/>
              <w:rPr>
                <w:sz w:val="13"/>
                <w:szCs w:val="13"/>
                <w:color w:val="auto"/>
              </w:rPr>
            </w:pPr>
          </w:p>
        </w:tc>
        <w:tc>
          <w:tcPr>
            <w:tcW w:w="980" w:type="dxa"/>
            <w:vAlign w:val="bottom"/>
            <w:shd w:val="clear" w:color="auto" w:fill="E8FFFA"/>
          </w:tcPr>
          <w:p>
            <w:pPr>
              <w:spacing w:after="0"/>
              <w:rPr>
                <w:sz w:val="13"/>
                <w:szCs w:val="13"/>
                <w:color w:val="auto"/>
              </w:rPr>
            </w:pPr>
          </w:p>
        </w:tc>
        <w:tc>
          <w:tcPr>
            <w:tcW w:w="940" w:type="dxa"/>
            <w:vAlign w:val="bottom"/>
            <w:gridSpan w:val="2"/>
            <w:shd w:val="clear" w:color="auto" w:fill="E8FFFA"/>
          </w:tcPr>
          <w:p>
            <w:pPr>
              <w:ind w:left="100"/>
              <w:spacing w:after="0" w:line="159" w:lineRule="exact"/>
              <w:rPr>
                <w:sz w:val="20"/>
                <w:szCs w:val="20"/>
                <w:color w:val="auto"/>
              </w:rPr>
            </w:pPr>
            <w:r>
              <w:rPr>
                <w:rFonts w:ascii="Arial" w:cs="Arial" w:eastAsia="Arial" w:hAnsi="Arial"/>
                <w:sz w:val="14"/>
                <w:szCs w:val="14"/>
                <w:color w:val="auto"/>
              </w:rPr>
              <w:t>2016</w:t>
            </w:r>
          </w:p>
        </w:tc>
        <w:tc>
          <w:tcPr>
            <w:tcW w:w="100" w:type="dxa"/>
            <w:vAlign w:val="bottom"/>
            <w:shd w:val="clear" w:color="auto" w:fill="E8FFFA"/>
          </w:tcPr>
          <w:p>
            <w:pPr>
              <w:spacing w:after="0"/>
              <w:rPr>
                <w:sz w:val="13"/>
                <w:szCs w:val="13"/>
                <w:color w:val="auto"/>
              </w:rPr>
            </w:pPr>
          </w:p>
        </w:tc>
        <w:tc>
          <w:tcPr>
            <w:tcW w:w="156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48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1340" w:type="dxa"/>
            <w:vAlign w:val="bottom"/>
            <w:shd w:val="clear" w:color="auto" w:fill="E8FFFA"/>
          </w:tcPr>
          <w:p>
            <w:pPr>
              <w:spacing w:after="0"/>
              <w:rPr>
                <w:sz w:val="13"/>
                <w:szCs w:val="13"/>
                <w:color w:val="auto"/>
              </w:rPr>
            </w:pPr>
          </w:p>
        </w:tc>
        <w:tc>
          <w:tcPr>
            <w:tcW w:w="100" w:type="dxa"/>
            <w:vAlign w:val="bottom"/>
            <w:shd w:val="clear" w:color="auto" w:fill="E8FFFA"/>
          </w:tcPr>
          <w:p>
            <w:pPr>
              <w:spacing w:after="0"/>
              <w:rPr>
                <w:sz w:val="13"/>
                <w:szCs w:val="13"/>
                <w:color w:val="auto"/>
              </w:rPr>
            </w:pPr>
          </w:p>
        </w:tc>
        <w:tc>
          <w:tcPr>
            <w:tcW w:w="840" w:type="dxa"/>
            <w:vAlign w:val="bottom"/>
            <w:shd w:val="clear" w:color="auto" w:fill="E8FFFA"/>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2"/>
          </w:tcPr>
          <w:p>
            <w:pPr>
              <w:spacing w:after="0" w:line="138" w:lineRule="exact"/>
              <w:rPr>
                <w:sz w:val="20"/>
                <w:szCs w:val="20"/>
                <w:color w:val="auto"/>
              </w:rPr>
            </w:pPr>
            <w:r>
              <w:rPr>
                <w:rFonts w:ascii="Arial" w:cs="Arial" w:eastAsia="Arial" w:hAnsi="Arial"/>
                <w:sz w:val="14"/>
                <w:szCs w:val="14"/>
                <w:color w:val="auto"/>
              </w:rPr>
              <w:t>GasLog Services UK Ltd.</w:t>
            </w:r>
          </w:p>
        </w:tc>
        <w:tc>
          <w:tcPr>
            <w:tcW w:w="1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England and</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May 2014</w:t>
            </w:r>
          </w:p>
        </w:tc>
        <w:tc>
          <w:tcPr>
            <w:tcW w:w="16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Service company</w:t>
            </w:r>
          </w:p>
        </w:tc>
        <w:tc>
          <w:tcPr>
            <w:tcW w:w="60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Wales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 Services US Inc.</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Delaware</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May 2014</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Service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GasLog Asia Pte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Singapore</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May 2015</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 LNG Services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August 2004</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84"/>
              </w:rPr>
              <w:t>Vessel management services</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GasLog Monaco S.A.M.</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Monaco</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0"/>
              </w:rPr>
              <w:t>February 2010</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GAS-one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0"/>
              </w:rPr>
              <w:t>February 2008</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Savannah</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May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GAS-two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0"/>
              </w:rPr>
              <w:t>February 2008</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GasLog Singapore</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July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GAS-six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0"/>
              </w:rPr>
              <w:t>February 2011</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Skagen</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July 2013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2"/>
          </w:tcPr>
          <w:p>
            <w:pPr>
              <w:spacing w:after="0" w:line="138" w:lineRule="exact"/>
              <w:rPr>
                <w:sz w:val="20"/>
                <w:szCs w:val="20"/>
                <w:color w:val="auto"/>
              </w:rPr>
            </w:pPr>
            <w:r>
              <w:rPr>
                <w:rFonts w:ascii="Arial" w:cs="Arial" w:eastAsia="Arial" w:hAnsi="Arial"/>
                <w:sz w:val="14"/>
                <w:szCs w:val="14"/>
                <w:color w:val="auto"/>
              </w:rPr>
              <w:t>GAS-nine Ltd.</w:t>
            </w:r>
          </w:p>
        </w:tc>
        <w:tc>
          <w:tcPr>
            <w:tcW w:w="1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June 2011</w:t>
            </w:r>
          </w:p>
        </w:tc>
        <w:tc>
          <w:tcPr>
            <w:tcW w:w="16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0"/>
              </w:rPr>
              <w:t>155,000</w:t>
            </w:r>
          </w:p>
        </w:tc>
        <w:tc>
          <w:tcPr>
            <w:tcW w:w="1460" w:type="dxa"/>
            <w:vAlign w:val="bottom"/>
            <w:gridSpan w:val="2"/>
          </w:tcPr>
          <w:p>
            <w:pPr>
              <w:ind w:left="100"/>
              <w:spacing w:after="0" w:line="138" w:lineRule="exact"/>
              <w:rPr>
                <w:sz w:val="20"/>
                <w:szCs w:val="20"/>
                <w:color w:val="auto"/>
              </w:rPr>
            </w:pPr>
            <w:r>
              <w:rPr>
                <w:rFonts w:ascii="Arial" w:cs="Arial" w:eastAsia="Arial" w:hAnsi="Arial"/>
                <w:sz w:val="14"/>
                <w:szCs w:val="14"/>
                <w:i w:val="1"/>
                <w:iCs w:val="1"/>
                <w:color w:val="auto"/>
              </w:rPr>
              <w:t>GasLog Saratoga</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December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GAS-ten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June 2011</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Salem</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April 2015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2"/>
          </w:tcPr>
          <w:p>
            <w:pPr>
              <w:spacing w:after="0" w:line="138" w:lineRule="exact"/>
              <w:rPr>
                <w:sz w:val="20"/>
                <w:szCs w:val="20"/>
                <w:color w:val="auto"/>
              </w:rPr>
            </w:pPr>
            <w:r>
              <w:rPr>
                <w:rFonts w:ascii="Arial" w:cs="Arial" w:eastAsia="Arial" w:hAnsi="Arial"/>
                <w:sz w:val="14"/>
                <w:szCs w:val="14"/>
                <w:color w:val="auto"/>
              </w:rPr>
              <w:t>GAS-twelve Ltd.</w:t>
            </w:r>
          </w:p>
        </w:tc>
        <w:tc>
          <w:tcPr>
            <w:tcW w:w="1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December</w:t>
            </w:r>
          </w:p>
        </w:tc>
        <w:tc>
          <w:tcPr>
            <w:tcW w:w="16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0"/>
              </w:rPr>
              <w:t>174,000</w:t>
            </w:r>
          </w:p>
        </w:tc>
        <w:tc>
          <w:tcPr>
            <w:tcW w:w="1460" w:type="dxa"/>
            <w:vAlign w:val="bottom"/>
            <w:gridSpan w:val="2"/>
          </w:tcPr>
          <w:p>
            <w:pPr>
              <w:ind w:left="100"/>
              <w:spacing w:after="0" w:line="138" w:lineRule="exact"/>
              <w:rPr>
                <w:sz w:val="20"/>
                <w:szCs w:val="20"/>
                <w:color w:val="auto"/>
              </w:rPr>
            </w:pPr>
            <w:r>
              <w:rPr>
                <w:rFonts w:ascii="Arial" w:cs="Arial" w:eastAsia="Arial" w:hAnsi="Arial"/>
                <w:sz w:val="14"/>
                <w:szCs w:val="14"/>
                <w:i w:val="1"/>
                <w:iCs w:val="1"/>
                <w:color w:val="auto"/>
              </w:rPr>
              <w:t>GasLog Glasgow</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June 2016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GAS-fifteen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August 2013</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153,600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Chelsea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6"/>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GAS-eighteen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January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145,000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w w:val="93"/>
              </w:rPr>
              <w:t>Methane Lydon Volney</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GAS-twenty two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May 2014</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174,000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Genoa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March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color w:val="auto"/>
              </w:rPr>
              <w:t>GAS-twenty three Ltd.</w:t>
            </w: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May 2014</w:t>
            </w:r>
          </w:p>
        </w:tc>
        <w:tc>
          <w:tcPr>
            <w:tcW w:w="1660" w:type="dxa"/>
            <w:vAlign w:val="bottom"/>
            <w:gridSpan w:val="2"/>
          </w:tcPr>
          <w:p>
            <w:pPr>
              <w:ind w:left="100"/>
              <w:spacing w:after="0"/>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rPr>
                <w:sz w:val="20"/>
                <w:szCs w:val="20"/>
                <w:color w:val="auto"/>
              </w:rPr>
            </w:pPr>
            <w:r>
              <w:rPr>
                <w:rFonts w:ascii="Arial" w:cs="Arial" w:eastAsia="Arial" w:hAnsi="Arial"/>
                <w:sz w:val="14"/>
                <w:szCs w:val="14"/>
                <w:color w:val="auto"/>
                <w:w w:val="90"/>
              </w:rPr>
              <w:t>174,000</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Hull No. 2131</w:t>
            </w:r>
          </w:p>
        </w:tc>
        <w:tc>
          <w:tcPr>
            <w:tcW w:w="940" w:type="dxa"/>
            <w:vAlign w:val="bottom"/>
            <w:gridSpan w:val="2"/>
          </w:tcPr>
          <w:p>
            <w:pPr>
              <w:ind w:left="100"/>
              <w:spacing w:after="0" w:line="176" w:lineRule="exact"/>
              <w:rPr>
                <w:sz w:val="20"/>
                <w:szCs w:val="20"/>
                <w:color w:val="auto"/>
              </w:rPr>
            </w:pPr>
            <w:r>
              <w:rPr>
                <w:rFonts w:ascii="Arial" w:cs="Arial" w:eastAsia="Arial" w:hAnsi="Arial"/>
                <w:sz w:val="13"/>
                <w:szCs w:val="13"/>
                <w:color w:val="auto"/>
              </w:rPr>
              <w:t>Q1 2019</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GAS-twenty four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June 2014</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174,000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Houston</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6"/>
              </w:rPr>
              <w:t>January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GAS-twenty five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June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174,000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GasLog Hong Kong</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March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gridSpan w:val="2"/>
            <w:shd w:val="clear" w:color="auto" w:fill="E8FFFA"/>
          </w:tcPr>
          <w:p>
            <w:pPr>
              <w:spacing w:after="0" w:line="133" w:lineRule="exact"/>
              <w:rPr>
                <w:sz w:val="20"/>
                <w:szCs w:val="20"/>
                <w:color w:val="auto"/>
              </w:rPr>
            </w:pPr>
            <w:r>
              <w:rPr>
                <w:rFonts w:ascii="Arial" w:cs="Arial" w:eastAsia="Arial" w:hAnsi="Arial"/>
                <w:sz w:val="14"/>
                <w:szCs w:val="14"/>
                <w:color w:val="auto"/>
              </w:rPr>
              <w:t>GAS-twenty six Ltd.</w:t>
            </w:r>
          </w:p>
        </w:tc>
        <w:tc>
          <w:tcPr>
            <w:tcW w:w="1180" w:type="dxa"/>
            <w:vAlign w:val="bottom"/>
            <w:gridSpan w:val="2"/>
            <w:shd w:val="clear" w:color="auto" w:fill="E8FFFA"/>
          </w:tcPr>
          <w:p>
            <w:pPr>
              <w:ind w:left="180"/>
              <w:spacing w:after="0" w:line="133"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33" w:lineRule="exact"/>
              <w:rPr>
                <w:sz w:val="20"/>
                <w:szCs w:val="20"/>
                <w:color w:val="auto"/>
              </w:rPr>
            </w:pPr>
            <w:r>
              <w:rPr>
                <w:rFonts w:ascii="Arial" w:cs="Arial" w:eastAsia="Arial" w:hAnsi="Arial"/>
                <w:sz w:val="14"/>
                <w:szCs w:val="14"/>
                <w:color w:val="auto"/>
                <w:w w:val="96"/>
              </w:rPr>
              <w:t>January 2015</w:t>
            </w:r>
          </w:p>
        </w:tc>
        <w:tc>
          <w:tcPr>
            <w:tcW w:w="1660" w:type="dxa"/>
            <w:vAlign w:val="bottom"/>
            <w:gridSpan w:val="2"/>
            <w:shd w:val="clear" w:color="auto" w:fill="E8FFFA"/>
          </w:tcPr>
          <w:p>
            <w:pPr>
              <w:ind w:left="100"/>
              <w:spacing w:after="0" w:line="133" w:lineRule="exact"/>
              <w:rPr>
                <w:sz w:val="20"/>
                <w:szCs w:val="20"/>
                <w:color w:val="auto"/>
              </w:rPr>
            </w:pPr>
            <w:r>
              <w:rPr>
                <w:rFonts w:ascii="Arial" w:cs="Arial" w:eastAsia="Arial" w:hAnsi="Arial"/>
                <w:sz w:val="14"/>
                <w:szCs w:val="14"/>
                <w:color w:val="auto"/>
              </w:rPr>
              <w:t>Finance lease asset</w:t>
            </w:r>
          </w:p>
        </w:tc>
        <w:tc>
          <w:tcPr>
            <w:tcW w:w="600" w:type="dxa"/>
            <w:vAlign w:val="bottom"/>
            <w:gridSpan w:val="2"/>
            <w:shd w:val="clear" w:color="auto" w:fill="E8FFFA"/>
          </w:tcPr>
          <w:p>
            <w:pPr>
              <w:ind w:left="120"/>
              <w:spacing w:after="0" w:line="133" w:lineRule="exact"/>
              <w:rPr>
                <w:sz w:val="20"/>
                <w:szCs w:val="20"/>
                <w:color w:val="auto"/>
              </w:rPr>
            </w:pPr>
            <w:r>
              <w:rPr>
                <w:rFonts w:ascii="Arial" w:cs="Arial" w:eastAsia="Arial" w:hAnsi="Arial"/>
                <w:sz w:val="14"/>
                <w:szCs w:val="14"/>
                <w:color w:val="auto"/>
                <w:w w:val="90"/>
              </w:rPr>
              <w:t>170,000</w:t>
            </w:r>
          </w:p>
        </w:tc>
        <w:tc>
          <w:tcPr>
            <w:tcW w:w="1460" w:type="dxa"/>
            <w:vAlign w:val="bottom"/>
            <w:gridSpan w:val="2"/>
            <w:shd w:val="clear" w:color="auto" w:fill="E8FFFA"/>
          </w:tcPr>
          <w:p>
            <w:pPr>
              <w:ind w:left="100"/>
              <w:spacing w:after="0" w:line="133" w:lineRule="exact"/>
              <w:rPr>
                <w:sz w:val="20"/>
                <w:szCs w:val="20"/>
                <w:color w:val="auto"/>
              </w:rPr>
            </w:pPr>
            <w:r>
              <w:rPr>
                <w:rFonts w:ascii="Arial" w:cs="Arial" w:eastAsia="Arial" w:hAnsi="Arial"/>
                <w:sz w:val="14"/>
                <w:szCs w:val="14"/>
                <w:i w:val="1"/>
                <w:iCs w:val="1"/>
                <w:color w:val="auto"/>
              </w:rPr>
              <w:t>Methane Julia Louise</w:t>
            </w:r>
          </w:p>
        </w:tc>
        <w:tc>
          <w:tcPr>
            <w:tcW w:w="940" w:type="dxa"/>
            <w:vAlign w:val="bottom"/>
            <w:gridSpan w:val="2"/>
            <w:shd w:val="clear" w:color="auto" w:fill="E8FFFA"/>
          </w:tcPr>
          <w:p>
            <w:pPr>
              <w:ind w:left="100"/>
              <w:spacing w:after="0" w:line="133" w:lineRule="exact"/>
              <w:rPr>
                <w:sz w:val="20"/>
                <w:szCs w:val="20"/>
                <w:color w:val="auto"/>
              </w:rPr>
            </w:pPr>
            <w:r>
              <w:rPr>
                <w:rFonts w:ascii="Arial" w:cs="Arial" w:eastAsia="Arial" w:hAnsi="Arial"/>
                <w:sz w:val="14"/>
                <w:szCs w:val="14"/>
                <w:color w:val="auto"/>
              </w:rPr>
              <w:t>March 2015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shd w:val="clear" w:color="auto" w:fill="E8FFFA"/>
          </w:tcPr>
          <w:p>
            <w:pPr>
              <w:spacing w:after="0"/>
              <w:rPr>
                <w:sz w:val="16"/>
                <w:szCs w:val="16"/>
                <w:color w:val="auto"/>
              </w:rPr>
            </w:pPr>
          </w:p>
        </w:tc>
        <w:tc>
          <w:tcPr>
            <w:tcW w:w="2120" w:type="dxa"/>
            <w:vAlign w:val="bottom"/>
            <w:shd w:val="clear" w:color="auto" w:fill="E8FFFA"/>
          </w:tcPr>
          <w:p>
            <w:pPr>
              <w:spacing w:after="0"/>
              <w:rPr>
                <w:sz w:val="16"/>
                <w:szCs w:val="16"/>
                <w:color w:val="auto"/>
              </w:rPr>
            </w:pPr>
          </w:p>
        </w:tc>
        <w:tc>
          <w:tcPr>
            <w:tcW w:w="200" w:type="dxa"/>
            <w:vAlign w:val="bottom"/>
            <w:shd w:val="clear" w:color="auto" w:fill="E8FFFA"/>
          </w:tcPr>
          <w:p>
            <w:pPr>
              <w:spacing w:after="0"/>
              <w:rPr>
                <w:sz w:val="16"/>
                <w:szCs w:val="16"/>
                <w:color w:val="auto"/>
              </w:rPr>
            </w:pPr>
          </w:p>
        </w:tc>
        <w:tc>
          <w:tcPr>
            <w:tcW w:w="980" w:type="dxa"/>
            <w:vAlign w:val="bottom"/>
            <w:shd w:val="clear" w:color="auto" w:fill="E8FFFA"/>
          </w:tcPr>
          <w:p>
            <w:pPr>
              <w:spacing w:after="0"/>
              <w:rPr>
                <w:sz w:val="16"/>
                <w:szCs w:val="16"/>
                <w:color w:val="auto"/>
              </w:rPr>
            </w:pPr>
          </w:p>
        </w:tc>
        <w:tc>
          <w:tcPr>
            <w:tcW w:w="120" w:type="dxa"/>
            <w:vAlign w:val="bottom"/>
            <w:shd w:val="clear" w:color="auto" w:fill="E8FFFA"/>
          </w:tcPr>
          <w:p>
            <w:pPr>
              <w:spacing w:after="0"/>
              <w:rPr>
                <w:sz w:val="16"/>
                <w:szCs w:val="16"/>
                <w:color w:val="auto"/>
              </w:rPr>
            </w:pPr>
          </w:p>
        </w:tc>
        <w:tc>
          <w:tcPr>
            <w:tcW w:w="820" w:type="dxa"/>
            <w:vAlign w:val="bottom"/>
            <w:shd w:val="clear" w:color="auto" w:fill="E8FFFA"/>
          </w:tcPr>
          <w:p>
            <w:pPr>
              <w:spacing w:after="0"/>
              <w:rPr>
                <w:sz w:val="16"/>
                <w:szCs w:val="16"/>
                <w:color w:val="auto"/>
              </w:rPr>
            </w:pPr>
          </w:p>
        </w:tc>
        <w:tc>
          <w:tcPr>
            <w:tcW w:w="1660" w:type="dxa"/>
            <w:vAlign w:val="bottom"/>
            <w:gridSpan w:val="2"/>
            <w:shd w:val="clear" w:color="auto" w:fill="E8FFFA"/>
          </w:tcPr>
          <w:p>
            <w:pPr>
              <w:ind w:left="100"/>
              <w:spacing w:after="0" w:line="191" w:lineRule="exact"/>
              <w:rPr>
                <w:sz w:val="20"/>
                <w:szCs w:val="20"/>
                <w:color w:val="auto"/>
              </w:rPr>
            </w:pPr>
            <w:r>
              <w:rPr>
                <w:rFonts w:ascii="Arial" w:cs="Arial" w:eastAsia="Arial" w:hAnsi="Arial"/>
                <w:sz w:val="14"/>
                <w:szCs w:val="14"/>
                <w:color w:val="auto"/>
              </w:rPr>
              <w:t>company</w:t>
            </w:r>
            <w:r>
              <w:rPr>
                <w:rFonts w:ascii="Arial" w:cs="Arial" w:eastAsia="Arial" w:hAnsi="Arial"/>
                <w:sz w:val="22"/>
                <w:szCs w:val="22"/>
                <w:color w:val="auto"/>
                <w:vertAlign w:val="superscript"/>
              </w:rPr>
              <w:t>(2)</w:t>
            </w:r>
          </w:p>
        </w:tc>
        <w:tc>
          <w:tcPr>
            <w:tcW w:w="120" w:type="dxa"/>
            <w:vAlign w:val="bottom"/>
            <w:shd w:val="clear" w:color="auto" w:fill="E8FFFA"/>
          </w:tcPr>
          <w:p>
            <w:pPr>
              <w:spacing w:after="0"/>
              <w:rPr>
                <w:sz w:val="16"/>
                <w:szCs w:val="16"/>
                <w:color w:val="auto"/>
              </w:rPr>
            </w:pPr>
          </w:p>
        </w:tc>
        <w:tc>
          <w:tcPr>
            <w:tcW w:w="480" w:type="dxa"/>
            <w:vAlign w:val="bottom"/>
            <w:shd w:val="clear" w:color="auto" w:fill="E8FFFA"/>
          </w:tcPr>
          <w:p>
            <w:pPr>
              <w:spacing w:after="0"/>
              <w:rPr>
                <w:sz w:val="16"/>
                <w:szCs w:val="16"/>
                <w:color w:val="auto"/>
              </w:rPr>
            </w:pPr>
          </w:p>
        </w:tc>
        <w:tc>
          <w:tcPr>
            <w:tcW w:w="120" w:type="dxa"/>
            <w:vAlign w:val="bottom"/>
            <w:shd w:val="clear" w:color="auto" w:fill="E8FFFA"/>
          </w:tcPr>
          <w:p>
            <w:pPr>
              <w:spacing w:after="0"/>
              <w:rPr>
                <w:sz w:val="16"/>
                <w:szCs w:val="16"/>
                <w:color w:val="auto"/>
              </w:rPr>
            </w:pPr>
          </w:p>
        </w:tc>
        <w:tc>
          <w:tcPr>
            <w:tcW w:w="1340" w:type="dxa"/>
            <w:vAlign w:val="bottom"/>
            <w:shd w:val="clear" w:color="auto" w:fill="E8FFFA"/>
          </w:tcPr>
          <w:p>
            <w:pPr>
              <w:spacing w:after="0"/>
              <w:rPr>
                <w:sz w:val="16"/>
                <w:szCs w:val="16"/>
                <w:color w:val="auto"/>
              </w:rPr>
            </w:pPr>
          </w:p>
        </w:tc>
        <w:tc>
          <w:tcPr>
            <w:tcW w:w="100" w:type="dxa"/>
            <w:vAlign w:val="bottom"/>
            <w:shd w:val="clear" w:color="auto" w:fill="E8FFFA"/>
          </w:tcPr>
          <w:p>
            <w:pPr>
              <w:spacing w:after="0"/>
              <w:rPr>
                <w:sz w:val="16"/>
                <w:szCs w:val="16"/>
                <w:color w:val="auto"/>
              </w:rPr>
            </w:pPr>
          </w:p>
        </w:tc>
        <w:tc>
          <w:tcPr>
            <w:tcW w:w="840" w:type="dxa"/>
            <w:vAlign w:val="bottom"/>
            <w:shd w:val="clear" w:color="auto" w:fill="E8FFFA"/>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GAS-twenty seven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January 2015</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170,000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Methane Becki Anne</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March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GAS-twenty eight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September</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180,000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1"/>
                <w:szCs w:val="11"/>
                <w:color w:val="auto"/>
              </w:rPr>
              <w:t>Hull No. 2213</w:t>
            </w:r>
            <w:r>
              <w:rPr>
                <w:rFonts w:ascii="Arial" w:cs="Arial" w:eastAsia="Arial" w:hAnsi="Arial"/>
                <w:sz w:val="17"/>
                <w:szCs w:val="17"/>
                <w:color w:val="auto"/>
                <w:vertAlign w:val="superscript"/>
              </w:rPr>
              <w:t>(4)</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1"/>
                <w:szCs w:val="11"/>
                <w:color w:val="auto"/>
              </w:rPr>
              <w:t>Q2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E8FFFA"/>
          </w:tcPr>
          <w:p>
            <w:pPr>
              <w:spacing w:after="0"/>
              <w:rPr>
                <w:sz w:val="12"/>
                <w:szCs w:val="12"/>
                <w:color w:val="auto"/>
              </w:rPr>
            </w:pPr>
          </w:p>
        </w:tc>
        <w:tc>
          <w:tcPr>
            <w:tcW w:w="2120" w:type="dxa"/>
            <w:vAlign w:val="bottom"/>
            <w:shd w:val="clear" w:color="auto" w:fill="E8FFFA"/>
          </w:tcPr>
          <w:p>
            <w:pPr>
              <w:spacing w:after="0"/>
              <w:rPr>
                <w:sz w:val="12"/>
                <w:szCs w:val="12"/>
                <w:color w:val="auto"/>
              </w:rPr>
            </w:pPr>
          </w:p>
        </w:tc>
        <w:tc>
          <w:tcPr>
            <w:tcW w:w="20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2016</w:t>
            </w: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GAS-twenty nine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September</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180,000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Hull No. 2212</w:t>
            </w:r>
          </w:p>
        </w:tc>
        <w:tc>
          <w:tcPr>
            <w:tcW w:w="94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Q3 2019</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GAS-thirty Ltd.</w:t>
            </w:r>
          </w:p>
        </w:tc>
        <w:tc>
          <w:tcPr>
            <w:tcW w:w="1180" w:type="dxa"/>
            <w:vAlign w:val="bottom"/>
            <w:gridSpan w:val="2"/>
            <w:shd w:val="clear" w:color="auto" w:fill="E8FFFA"/>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December</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180,000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Hull No. 2262</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1"/>
                <w:szCs w:val="11"/>
                <w:color w:val="auto"/>
              </w:rPr>
              <w:t>Q3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E8FFFA"/>
          </w:tcPr>
          <w:p>
            <w:pPr>
              <w:spacing w:after="0"/>
              <w:rPr>
                <w:sz w:val="12"/>
                <w:szCs w:val="12"/>
                <w:color w:val="auto"/>
              </w:rPr>
            </w:pPr>
          </w:p>
        </w:tc>
        <w:tc>
          <w:tcPr>
            <w:tcW w:w="2120" w:type="dxa"/>
            <w:vAlign w:val="bottom"/>
            <w:shd w:val="clear" w:color="auto" w:fill="E8FFFA"/>
          </w:tcPr>
          <w:p>
            <w:pPr>
              <w:spacing w:after="0"/>
              <w:rPr>
                <w:sz w:val="12"/>
                <w:szCs w:val="12"/>
                <w:color w:val="auto"/>
              </w:rPr>
            </w:pPr>
          </w:p>
        </w:tc>
        <w:tc>
          <w:tcPr>
            <w:tcW w:w="20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2017</w:t>
            </w: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GAS-thirty one Ltd.</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180,000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Hull No. 2274</w:t>
            </w:r>
          </w:p>
        </w:tc>
        <w:tc>
          <w:tcPr>
            <w:tcW w:w="94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Q2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GAS-thirty two Ltd.</w:t>
            </w:r>
          </w:p>
        </w:tc>
        <w:tc>
          <w:tcPr>
            <w:tcW w:w="1180" w:type="dxa"/>
            <w:vAlign w:val="bottom"/>
            <w:gridSpan w:val="2"/>
            <w:shd w:val="clear" w:color="auto" w:fill="E8FFFA"/>
          </w:tcPr>
          <w:p>
            <w:pPr>
              <w:ind w:left="18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December</w:t>
            </w:r>
          </w:p>
        </w:tc>
        <w:tc>
          <w:tcPr>
            <w:tcW w:w="16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Dormant</w:t>
            </w:r>
          </w:p>
        </w:tc>
        <w:tc>
          <w:tcPr>
            <w:tcW w:w="600" w:type="dxa"/>
            <w:vAlign w:val="bottom"/>
            <w:gridSpan w:val="2"/>
            <w:shd w:val="clear" w:color="auto" w:fill="E8FFFA"/>
          </w:tcPr>
          <w:p>
            <w:pPr>
              <w:ind w:left="12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E8FFFA"/>
          </w:tcPr>
          <w:p>
            <w:pPr>
              <w:spacing w:after="0"/>
              <w:rPr>
                <w:sz w:val="13"/>
                <w:szCs w:val="13"/>
                <w:color w:val="auto"/>
              </w:rPr>
            </w:pPr>
          </w:p>
        </w:tc>
        <w:tc>
          <w:tcPr>
            <w:tcW w:w="2120" w:type="dxa"/>
            <w:vAlign w:val="bottom"/>
            <w:shd w:val="clear" w:color="auto" w:fill="E8FFFA"/>
          </w:tcPr>
          <w:p>
            <w:pPr>
              <w:spacing w:after="0"/>
              <w:rPr>
                <w:sz w:val="13"/>
                <w:szCs w:val="13"/>
                <w:color w:val="auto"/>
              </w:rPr>
            </w:pPr>
          </w:p>
        </w:tc>
        <w:tc>
          <w:tcPr>
            <w:tcW w:w="200" w:type="dxa"/>
            <w:vAlign w:val="bottom"/>
            <w:shd w:val="clear" w:color="auto" w:fill="E8FFFA"/>
          </w:tcPr>
          <w:p>
            <w:pPr>
              <w:spacing w:after="0"/>
              <w:rPr>
                <w:sz w:val="13"/>
                <w:szCs w:val="13"/>
                <w:color w:val="auto"/>
              </w:rPr>
            </w:pPr>
          </w:p>
        </w:tc>
        <w:tc>
          <w:tcPr>
            <w:tcW w:w="980" w:type="dxa"/>
            <w:vAlign w:val="bottom"/>
            <w:shd w:val="clear" w:color="auto" w:fill="E8FFFA"/>
          </w:tcPr>
          <w:p>
            <w:pPr>
              <w:spacing w:after="0"/>
              <w:rPr>
                <w:sz w:val="13"/>
                <w:szCs w:val="13"/>
                <w:color w:val="auto"/>
              </w:rPr>
            </w:pPr>
          </w:p>
        </w:tc>
        <w:tc>
          <w:tcPr>
            <w:tcW w:w="940" w:type="dxa"/>
            <w:vAlign w:val="bottom"/>
            <w:gridSpan w:val="2"/>
            <w:shd w:val="clear" w:color="auto" w:fill="E8FFFA"/>
          </w:tcPr>
          <w:p>
            <w:pPr>
              <w:ind w:left="100"/>
              <w:spacing w:after="0" w:line="159" w:lineRule="exact"/>
              <w:rPr>
                <w:sz w:val="20"/>
                <w:szCs w:val="20"/>
                <w:color w:val="auto"/>
              </w:rPr>
            </w:pPr>
            <w:r>
              <w:rPr>
                <w:rFonts w:ascii="Arial" w:cs="Arial" w:eastAsia="Arial" w:hAnsi="Arial"/>
                <w:sz w:val="14"/>
                <w:szCs w:val="14"/>
                <w:color w:val="auto"/>
              </w:rPr>
              <w:t>2017</w:t>
            </w:r>
          </w:p>
        </w:tc>
        <w:tc>
          <w:tcPr>
            <w:tcW w:w="100" w:type="dxa"/>
            <w:vAlign w:val="bottom"/>
            <w:shd w:val="clear" w:color="auto" w:fill="E8FFFA"/>
          </w:tcPr>
          <w:p>
            <w:pPr>
              <w:spacing w:after="0"/>
              <w:rPr>
                <w:sz w:val="13"/>
                <w:szCs w:val="13"/>
                <w:color w:val="auto"/>
              </w:rPr>
            </w:pPr>
          </w:p>
        </w:tc>
        <w:tc>
          <w:tcPr>
            <w:tcW w:w="156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48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1340" w:type="dxa"/>
            <w:vAlign w:val="bottom"/>
            <w:shd w:val="clear" w:color="auto" w:fill="E8FFFA"/>
          </w:tcPr>
          <w:p>
            <w:pPr>
              <w:spacing w:after="0"/>
              <w:rPr>
                <w:sz w:val="13"/>
                <w:szCs w:val="13"/>
                <w:color w:val="auto"/>
              </w:rPr>
            </w:pPr>
          </w:p>
        </w:tc>
        <w:tc>
          <w:tcPr>
            <w:tcW w:w="100" w:type="dxa"/>
            <w:vAlign w:val="bottom"/>
            <w:shd w:val="clear" w:color="auto" w:fill="E8FFFA"/>
          </w:tcPr>
          <w:p>
            <w:pPr>
              <w:spacing w:after="0"/>
              <w:rPr>
                <w:sz w:val="13"/>
                <w:szCs w:val="13"/>
                <w:color w:val="auto"/>
              </w:rPr>
            </w:pPr>
          </w:p>
        </w:tc>
        <w:tc>
          <w:tcPr>
            <w:tcW w:w="840" w:type="dxa"/>
            <w:vAlign w:val="bottom"/>
            <w:shd w:val="clear" w:color="auto" w:fill="E8FFFA"/>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Arial" w:cs="Arial" w:eastAsia="Arial" w:hAnsi="Arial"/>
                <w:sz w:val="14"/>
                <w:szCs w:val="14"/>
                <w:color w:val="auto"/>
              </w:rPr>
              <w:t>GAS-thirty three Ltd.</w:t>
            </w: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May 2018</w:t>
            </w:r>
          </w:p>
        </w:tc>
        <w:tc>
          <w:tcPr>
            <w:tcW w:w="1660" w:type="dxa"/>
            <w:vAlign w:val="bottom"/>
            <w:gridSpan w:val="2"/>
          </w:tcPr>
          <w:p>
            <w:pPr>
              <w:ind w:left="100"/>
              <w:spacing w:after="0"/>
              <w:rPr>
                <w:sz w:val="20"/>
                <w:szCs w:val="20"/>
                <w:color w:val="auto"/>
              </w:rPr>
            </w:pPr>
            <w:r>
              <w:rPr>
                <w:rFonts w:ascii="Arial" w:cs="Arial" w:eastAsia="Arial" w:hAnsi="Arial"/>
                <w:sz w:val="14"/>
                <w:szCs w:val="14"/>
                <w:color w:val="auto"/>
              </w:rPr>
              <w:t>Dormant</w:t>
            </w:r>
          </w:p>
        </w:tc>
        <w:tc>
          <w:tcPr>
            <w:tcW w:w="6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Place of</w:t>
            </w:r>
          </w:p>
        </w:tc>
        <w:tc>
          <w:tcPr>
            <w:tcW w:w="120" w:type="dxa"/>
            <w:vAlign w:val="bottom"/>
          </w:tcPr>
          <w:p>
            <w:pPr>
              <w:spacing w:after="0"/>
              <w:rPr>
                <w:sz w:val="12"/>
                <w:szCs w:val="12"/>
                <w:color w:val="auto"/>
              </w:rPr>
            </w:pPr>
          </w:p>
        </w:tc>
        <w:tc>
          <w:tcPr>
            <w:tcW w:w="8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Date of</w:t>
            </w:r>
          </w:p>
        </w:tc>
        <w:tc>
          <w:tcPr>
            <w:tcW w:w="100" w:type="dxa"/>
            <w:vAlign w:val="bottom"/>
          </w:tcPr>
          <w:p>
            <w:pPr>
              <w:spacing w:after="0"/>
              <w:rPr>
                <w:sz w:val="12"/>
                <w:szCs w:val="12"/>
                <w:color w:val="auto"/>
              </w:rPr>
            </w:pPr>
          </w:p>
        </w:tc>
        <w:tc>
          <w:tcPr>
            <w:tcW w:w="15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Principal</w:t>
            </w:r>
          </w:p>
        </w:tc>
        <w:tc>
          <w:tcPr>
            <w:tcW w:w="6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capacity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Delivery</w:t>
            </w:r>
          </w:p>
        </w:tc>
        <w:tc>
          <w:tcPr>
            <w:tcW w:w="0" w:type="dxa"/>
            <w:vAlign w:val="bottom"/>
          </w:tcPr>
          <w:p>
            <w:pPr>
              <w:spacing w:after="0"/>
              <w:rPr>
                <w:sz w:val="1"/>
                <w:szCs w:val="1"/>
                <w:color w:val="auto"/>
              </w:rPr>
            </w:pPr>
          </w:p>
        </w:tc>
      </w:tr>
      <w:tr>
        <w:trPr>
          <w:trHeight w:val="161"/>
        </w:trPr>
        <w:tc>
          <w:tcPr>
            <w:tcW w:w="25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8"/>
              </w:rPr>
              <w:t>incorporation</w:t>
            </w:r>
          </w:p>
        </w:tc>
        <w:tc>
          <w:tcPr>
            <w:tcW w:w="100" w:type="dxa"/>
            <w:vAlign w:val="bottom"/>
          </w:tcPr>
          <w:p>
            <w:pPr>
              <w:spacing w:after="0"/>
              <w:rPr>
                <w:sz w:val="14"/>
                <w:szCs w:val="14"/>
                <w:color w:val="auto"/>
              </w:rPr>
            </w:pPr>
          </w:p>
        </w:tc>
        <w:tc>
          <w:tcPr>
            <w:tcW w:w="1560" w:type="dxa"/>
            <w:vAlign w:val="bottom"/>
          </w:tcPr>
          <w:p>
            <w:pPr>
              <w:ind w:left="52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20" w:type="dxa"/>
            <w:vAlign w:val="bottom"/>
          </w:tcPr>
          <w:p>
            <w:pPr>
              <w:spacing w:after="0"/>
              <w:rPr>
                <w:sz w:val="14"/>
                <w:szCs w:val="14"/>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Vessel</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00" w:type="dxa"/>
            <w:vAlign w:val="bottom"/>
            <w:gridSpan w:val="3"/>
            <w:shd w:val="clear" w:color="auto" w:fill="E8FFFA"/>
          </w:tcPr>
          <w:p>
            <w:pPr>
              <w:spacing w:after="0" w:line="142" w:lineRule="exact"/>
              <w:rPr>
                <w:sz w:val="20"/>
                <w:szCs w:val="20"/>
                <w:color w:val="auto"/>
              </w:rPr>
            </w:pPr>
            <w:r>
              <w:rPr>
                <w:rFonts w:ascii="Arial" w:cs="Arial" w:eastAsia="Arial" w:hAnsi="Arial"/>
                <w:sz w:val="14"/>
                <w:szCs w:val="14"/>
                <w:color w:val="auto"/>
              </w:rPr>
              <w:t>GAS-thirty four Ltd.</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Bermuda</w:t>
            </w:r>
          </w:p>
        </w:tc>
        <w:tc>
          <w:tcPr>
            <w:tcW w:w="120" w:type="dxa"/>
            <w:vAlign w:val="bottom"/>
            <w:shd w:val="clear" w:color="auto" w:fill="E8FFFA"/>
          </w:tcPr>
          <w:p>
            <w:pPr>
              <w:spacing w:after="0"/>
              <w:rPr>
                <w:sz w:val="12"/>
                <w:szCs w:val="12"/>
                <w:color w:val="auto"/>
              </w:rPr>
            </w:pPr>
          </w:p>
        </w:tc>
        <w:tc>
          <w:tcPr>
            <w:tcW w:w="82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May 2018</w:t>
            </w: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Dormant</w:t>
            </w: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jc w:val="right"/>
              <w:ind w:right="1152"/>
              <w:spacing w:after="0" w:line="142" w:lineRule="exact"/>
              <w:rPr>
                <w:sz w:val="20"/>
                <w:szCs w:val="20"/>
                <w:color w:val="auto"/>
              </w:rPr>
            </w:pPr>
            <w:r>
              <w:rPr>
                <w:rFonts w:ascii="Arial" w:cs="Arial" w:eastAsia="Arial" w:hAnsi="Arial"/>
                <w:sz w:val="14"/>
                <w:szCs w:val="14"/>
                <w:color w:val="auto"/>
                <w:w w:val="71"/>
              </w:rPr>
              <w:t>—</w:t>
            </w: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GasLog Shipping Limited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BVI</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July 2003</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Dormant</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29.1% interest subsidiaries:</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8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GasLog Partners LP</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Marshall Islands</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January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Holding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140" w:type="dxa"/>
            <w:vAlign w:val="bottom"/>
            <w:gridSpan w:val="2"/>
            <w:shd w:val="clear" w:color="auto" w:fill="E8FFFA"/>
          </w:tcPr>
          <w:p>
            <w:pPr>
              <w:ind w:left="140"/>
              <w:spacing w:after="0" w:line="149" w:lineRule="exact"/>
              <w:rPr>
                <w:sz w:val="20"/>
                <w:szCs w:val="20"/>
                <w:color w:val="auto"/>
              </w:rPr>
            </w:pPr>
            <w:r>
              <w:rPr>
                <w:rFonts w:ascii="Arial" w:cs="Arial" w:eastAsia="Arial" w:hAnsi="Arial"/>
                <w:sz w:val="14"/>
                <w:szCs w:val="14"/>
                <w:color w:val="auto"/>
                <w:w w:val="96"/>
              </w:rPr>
              <w:t>Marshall Islands</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April 2014</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Holding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8FFFA"/>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GAS-three Ltd.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April 2010</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GasLog Shanghai</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color w:val="auto"/>
              </w:rPr>
              <w:t>GAS-four Ltd.</w:t>
            </w:r>
          </w:p>
        </w:tc>
        <w:tc>
          <w:tcPr>
            <w:tcW w:w="1140" w:type="dxa"/>
            <w:vAlign w:val="bottom"/>
            <w:gridSpan w:val="2"/>
            <w:shd w:val="clear" w:color="auto" w:fill="E8FFFA"/>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April 2010</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Santiago</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GAS-five Ltd.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0"/>
              </w:rPr>
              <w:t>February 2011</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GasLog Sydney</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May 2013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3"/>
            <w:shd w:val="clear" w:color="auto" w:fill="E8FFFA"/>
          </w:tcPr>
          <w:p>
            <w:pPr>
              <w:spacing w:after="0" w:line="138" w:lineRule="exact"/>
              <w:rPr>
                <w:sz w:val="20"/>
                <w:szCs w:val="20"/>
                <w:color w:val="auto"/>
              </w:rPr>
            </w:pPr>
            <w:r>
              <w:rPr>
                <w:rFonts w:ascii="Arial" w:cs="Arial" w:eastAsia="Arial" w:hAnsi="Arial"/>
                <w:sz w:val="14"/>
                <w:szCs w:val="14"/>
                <w:color w:val="auto"/>
              </w:rPr>
              <w:t>GAS-seven Ltd.</w:t>
            </w:r>
          </w:p>
        </w:tc>
        <w:tc>
          <w:tcPr>
            <w:tcW w:w="1140" w:type="dxa"/>
            <w:vAlign w:val="bottom"/>
            <w:gridSpan w:val="2"/>
            <w:shd w:val="clear" w:color="auto" w:fill="E8FFFA"/>
          </w:tcPr>
          <w:p>
            <w:pPr>
              <w:ind w:left="14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March 2011</w:t>
            </w:r>
          </w:p>
        </w:tc>
        <w:tc>
          <w:tcPr>
            <w:tcW w:w="16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38" w:lineRule="exact"/>
              <w:rPr>
                <w:sz w:val="20"/>
                <w:szCs w:val="20"/>
                <w:color w:val="auto"/>
              </w:rPr>
            </w:pPr>
            <w:r>
              <w:rPr>
                <w:rFonts w:ascii="Arial" w:cs="Arial" w:eastAsia="Arial" w:hAnsi="Arial"/>
                <w:sz w:val="14"/>
                <w:szCs w:val="14"/>
                <w:color w:val="auto"/>
                <w:w w:val="90"/>
              </w:rPr>
              <w:t>155,000</w:t>
            </w:r>
          </w:p>
        </w:tc>
        <w:tc>
          <w:tcPr>
            <w:tcW w:w="14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i w:val="1"/>
                <w:iCs w:val="1"/>
                <w:color w:val="auto"/>
              </w:rPr>
              <w:t>GasLog Seattle</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December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E8FFFA"/>
          </w:tcPr>
          <w:p>
            <w:pPr>
              <w:spacing w:after="0"/>
              <w:rPr>
                <w:sz w:val="13"/>
                <w:szCs w:val="13"/>
                <w:color w:val="auto"/>
              </w:rPr>
            </w:pPr>
          </w:p>
        </w:tc>
        <w:tc>
          <w:tcPr>
            <w:tcW w:w="1280" w:type="dxa"/>
            <w:vAlign w:val="bottom"/>
            <w:shd w:val="clear" w:color="auto" w:fill="E8FFFA"/>
          </w:tcPr>
          <w:p>
            <w:pPr>
              <w:spacing w:after="0"/>
              <w:rPr>
                <w:sz w:val="13"/>
                <w:szCs w:val="13"/>
                <w:color w:val="auto"/>
              </w:rPr>
            </w:pPr>
          </w:p>
        </w:tc>
        <w:tc>
          <w:tcPr>
            <w:tcW w:w="880" w:type="dxa"/>
            <w:vAlign w:val="bottom"/>
            <w:shd w:val="clear" w:color="auto" w:fill="E8FFFA"/>
          </w:tcPr>
          <w:p>
            <w:pPr>
              <w:spacing w:after="0"/>
              <w:rPr>
                <w:sz w:val="13"/>
                <w:szCs w:val="13"/>
                <w:color w:val="auto"/>
              </w:rPr>
            </w:pPr>
          </w:p>
        </w:tc>
        <w:tc>
          <w:tcPr>
            <w:tcW w:w="160" w:type="dxa"/>
            <w:vAlign w:val="bottom"/>
            <w:shd w:val="clear" w:color="auto" w:fill="E8FFFA"/>
          </w:tcPr>
          <w:p>
            <w:pPr>
              <w:spacing w:after="0"/>
              <w:rPr>
                <w:sz w:val="13"/>
                <w:szCs w:val="13"/>
                <w:color w:val="auto"/>
              </w:rPr>
            </w:pPr>
          </w:p>
        </w:tc>
        <w:tc>
          <w:tcPr>
            <w:tcW w:w="98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820" w:type="dxa"/>
            <w:vAlign w:val="bottom"/>
            <w:shd w:val="clear" w:color="auto" w:fill="E8FFFA"/>
          </w:tcPr>
          <w:p>
            <w:pPr>
              <w:spacing w:after="0"/>
              <w:rPr>
                <w:sz w:val="13"/>
                <w:szCs w:val="13"/>
                <w:color w:val="auto"/>
              </w:rPr>
            </w:pPr>
          </w:p>
        </w:tc>
        <w:tc>
          <w:tcPr>
            <w:tcW w:w="100" w:type="dxa"/>
            <w:vAlign w:val="bottom"/>
            <w:shd w:val="clear" w:color="auto" w:fill="E8FFFA"/>
          </w:tcPr>
          <w:p>
            <w:pPr>
              <w:spacing w:after="0"/>
              <w:rPr>
                <w:sz w:val="13"/>
                <w:szCs w:val="13"/>
                <w:color w:val="auto"/>
              </w:rPr>
            </w:pPr>
          </w:p>
        </w:tc>
        <w:tc>
          <w:tcPr>
            <w:tcW w:w="156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48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1340" w:type="dxa"/>
            <w:vAlign w:val="bottom"/>
            <w:shd w:val="clear" w:color="auto" w:fill="E8FFFA"/>
          </w:tcPr>
          <w:p>
            <w:pPr>
              <w:spacing w:after="0"/>
              <w:rPr>
                <w:sz w:val="13"/>
                <w:szCs w:val="13"/>
                <w:color w:val="auto"/>
              </w:rPr>
            </w:pPr>
          </w:p>
        </w:tc>
        <w:tc>
          <w:tcPr>
            <w:tcW w:w="940" w:type="dxa"/>
            <w:vAlign w:val="bottom"/>
            <w:gridSpan w:val="2"/>
            <w:shd w:val="clear" w:color="auto" w:fill="E8FFFA"/>
          </w:tcPr>
          <w:p>
            <w:pPr>
              <w:ind w:left="100"/>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GAS-eight Ltd.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March 2011</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155,000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Solaris</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June 2014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3"/>
            <w:shd w:val="clear" w:color="auto" w:fill="E8FFFA"/>
          </w:tcPr>
          <w:p>
            <w:pPr>
              <w:spacing w:after="0" w:line="138" w:lineRule="exact"/>
              <w:rPr>
                <w:sz w:val="20"/>
                <w:szCs w:val="20"/>
                <w:color w:val="auto"/>
              </w:rPr>
            </w:pPr>
            <w:r>
              <w:rPr>
                <w:rFonts w:ascii="Arial" w:cs="Arial" w:eastAsia="Arial" w:hAnsi="Arial"/>
                <w:sz w:val="14"/>
                <w:szCs w:val="14"/>
                <w:color w:val="auto"/>
              </w:rPr>
              <w:t>GAS-eleven Ltd.</w:t>
            </w:r>
          </w:p>
        </w:tc>
        <w:tc>
          <w:tcPr>
            <w:tcW w:w="1140" w:type="dxa"/>
            <w:vAlign w:val="bottom"/>
            <w:gridSpan w:val="2"/>
            <w:shd w:val="clear" w:color="auto" w:fill="E8FFFA"/>
          </w:tcPr>
          <w:p>
            <w:pPr>
              <w:ind w:left="14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December</w:t>
            </w:r>
          </w:p>
        </w:tc>
        <w:tc>
          <w:tcPr>
            <w:tcW w:w="16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38" w:lineRule="exact"/>
              <w:rPr>
                <w:sz w:val="20"/>
                <w:szCs w:val="20"/>
                <w:color w:val="auto"/>
              </w:rPr>
            </w:pPr>
            <w:r>
              <w:rPr>
                <w:rFonts w:ascii="Arial" w:cs="Arial" w:eastAsia="Arial" w:hAnsi="Arial"/>
                <w:sz w:val="14"/>
                <w:szCs w:val="14"/>
                <w:color w:val="auto"/>
                <w:w w:val="90"/>
              </w:rPr>
              <w:t>174,000</w:t>
            </w:r>
          </w:p>
        </w:tc>
        <w:tc>
          <w:tcPr>
            <w:tcW w:w="14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i w:val="1"/>
                <w:iCs w:val="1"/>
                <w:color w:val="auto"/>
              </w:rPr>
              <w:t>GasLog Greece</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March 2016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E8FFFA"/>
          </w:tcPr>
          <w:p>
            <w:pPr>
              <w:spacing w:after="0"/>
              <w:rPr>
                <w:sz w:val="13"/>
                <w:szCs w:val="13"/>
                <w:color w:val="auto"/>
              </w:rPr>
            </w:pPr>
          </w:p>
        </w:tc>
        <w:tc>
          <w:tcPr>
            <w:tcW w:w="1280" w:type="dxa"/>
            <w:vAlign w:val="bottom"/>
            <w:shd w:val="clear" w:color="auto" w:fill="E8FFFA"/>
          </w:tcPr>
          <w:p>
            <w:pPr>
              <w:spacing w:after="0"/>
              <w:rPr>
                <w:sz w:val="13"/>
                <w:szCs w:val="13"/>
                <w:color w:val="auto"/>
              </w:rPr>
            </w:pPr>
          </w:p>
        </w:tc>
        <w:tc>
          <w:tcPr>
            <w:tcW w:w="880" w:type="dxa"/>
            <w:vAlign w:val="bottom"/>
            <w:shd w:val="clear" w:color="auto" w:fill="E8FFFA"/>
          </w:tcPr>
          <w:p>
            <w:pPr>
              <w:spacing w:after="0"/>
              <w:rPr>
                <w:sz w:val="13"/>
                <w:szCs w:val="13"/>
                <w:color w:val="auto"/>
              </w:rPr>
            </w:pPr>
          </w:p>
        </w:tc>
        <w:tc>
          <w:tcPr>
            <w:tcW w:w="160" w:type="dxa"/>
            <w:vAlign w:val="bottom"/>
            <w:shd w:val="clear" w:color="auto" w:fill="E8FFFA"/>
          </w:tcPr>
          <w:p>
            <w:pPr>
              <w:spacing w:after="0"/>
              <w:rPr>
                <w:sz w:val="13"/>
                <w:szCs w:val="13"/>
                <w:color w:val="auto"/>
              </w:rPr>
            </w:pPr>
          </w:p>
        </w:tc>
        <w:tc>
          <w:tcPr>
            <w:tcW w:w="980" w:type="dxa"/>
            <w:vAlign w:val="bottom"/>
            <w:shd w:val="clear" w:color="auto" w:fill="E8FFFA"/>
          </w:tcPr>
          <w:p>
            <w:pPr>
              <w:spacing w:after="0"/>
              <w:rPr>
                <w:sz w:val="13"/>
                <w:szCs w:val="13"/>
                <w:color w:val="auto"/>
              </w:rPr>
            </w:pPr>
          </w:p>
        </w:tc>
        <w:tc>
          <w:tcPr>
            <w:tcW w:w="940" w:type="dxa"/>
            <w:vAlign w:val="bottom"/>
            <w:gridSpan w:val="2"/>
            <w:shd w:val="clear" w:color="auto" w:fill="E8FFFA"/>
          </w:tcPr>
          <w:p>
            <w:pPr>
              <w:ind w:left="100"/>
              <w:spacing w:after="0" w:line="159" w:lineRule="exact"/>
              <w:rPr>
                <w:sz w:val="20"/>
                <w:szCs w:val="20"/>
                <w:color w:val="auto"/>
              </w:rPr>
            </w:pPr>
            <w:r>
              <w:rPr>
                <w:rFonts w:ascii="Arial" w:cs="Arial" w:eastAsia="Arial" w:hAnsi="Arial"/>
                <w:sz w:val="14"/>
                <w:szCs w:val="14"/>
                <w:color w:val="auto"/>
              </w:rPr>
              <w:t>2012</w:t>
            </w:r>
          </w:p>
        </w:tc>
        <w:tc>
          <w:tcPr>
            <w:tcW w:w="100" w:type="dxa"/>
            <w:vAlign w:val="bottom"/>
            <w:shd w:val="clear" w:color="auto" w:fill="E8FFFA"/>
          </w:tcPr>
          <w:p>
            <w:pPr>
              <w:spacing w:after="0"/>
              <w:rPr>
                <w:sz w:val="13"/>
                <w:szCs w:val="13"/>
                <w:color w:val="auto"/>
              </w:rPr>
            </w:pPr>
          </w:p>
        </w:tc>
        <w:tc>
          <w:tcPr>
            <w:tcW w:w="156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48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1340" w:type="dxa"/>
            <w:vAlign w:val="bottom"/>
            <w:shd w:val="clear" w:color="auto" w:fill="E8FFFA"/>
          </w:tcPr>
          <w:p>
            <w:pPr>
              <w:spacing w:after="0"/>
              <w:rPr>
                <w:sz w:val="13"/>
                <w:szCs w:val="13"/>
                <w:color w:val="auto"/>
              </w:rPr>
            </w:pPr>
          </w:p>
        </w:tc>
        <w:tc>
          <w:tcPr>
            <w:tcW w:w="100" w:type="dxa"/>
            <w:vAlign w:val="bottom"/>
            <w:shd w:val="clear" w:color="auto" w:fill="E8FFFA"/>
          </w:tcPr>
          <w:p>
            <w:pPr>
              <w:spacing w:after="0"/>
              <w:rPr>
                <w:sz w:val="13"/>
                <w:szCs w:val="13"/>
                <w:color w:val="auto"/>
              </w:rPr>
            </w:pPr>
          </w:p>
        </w:tc>
        <w:tc>
          <w:tcPr>
            <w:tcW w:w="840" w:type="dxa"/>
            <w:vAlign w:val="bottom"/>
            <w:shd w:val="clear" w:color="auto" w:fill="E8FFFA"/>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3"/>
          </w:tcPr>
          <w:p>
            <w:pPr>
              <w:spacing w:after="0" w:line="138" w:lineRule="exact"/>
              <w:rPr>
                <w:sz w:val="20"/>
                <w:szCs w:val="20"/>
                <w:color w:val="auto"/>
              </w:rPr>
            </w:pPr>
            <w:r>
              <w:rPr>
                <w:rFonts w:ascii="Arial" w:cs="Arial" w:eastAsia="Arial" w:hAnsi="Arial"/>
                <w:sz w:val="14"/>
                <w:szCs w:val="14"/>
                <w:color w:val="auto"/>
              </w:rPr>
              <w:t>GAS-thirteen Ltd.</w:t>
            </w:r>
          </w:p>
        </w:tc>
        <w:tc>
          <w:tcPr>
            <w:tcW w:w="11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July 2013</w:t>
            </w:r>
          </w:p>
        </w:tc>
        <w:tc>
          <w:tcPr>
            <w:tcW w:w="16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0"/>
              </w:rPr>
              <w:t>174,000</w:t>
            </w:r>
          </w:p>
        </w:tc>
        <w:tc>
          <w:tcPr>
            <w:tcW w:w="1460" w:type="dxa"/>
            <w:vAlign w:val="bottom"/>
            <w:gridSpan w:val="2"/>
          </w:tcPr>
          <w:p>
            <w:pPr>
              <w:ind w:left="100"/>
              <w:spacing w:after="0" w:line="138" w:lineRule="exact"/>
              <w:rPr>
                <w:sz w:val="20"/>
                <w:szCs w:val="20"/>
                <w:color w:val="auto"/>
              </w:rPr>
            </w:pPr>
            <w:r>
              <w:rPr>
                <w:rFonts w:ascii="Arial" w:cs="Arial" w:eastAsia="Arial" w:hAnsi="Arial"/>
                <w:sz w:val="14"/>
                <w:szCs w:val="14"/>
                <w:i w:val="1"/>
                <w:iCs w:val="1"/>
                <w:color w:val="auto"/>
              </w:rPr>
              <w:t>GasLog Geneva</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September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color w:val="auto"/>
              </w:rPr>
              <w:t>GAS-fourteen Ltd.</w:t>
            </w:r>
          </w:p>
        </w:tc>
        <w:tc>
          <w:tcPr>
            <w:tcW w:w="1140" w:type="dxa"/>
            <w:vAlign w:val="bottom"/>
            <w:gridSpan w:val="2"/>
            <w:shd w:val="clear" w:color="auto" w:fill="E8FFFA"/>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July 2013</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174,000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rPr>
              <w:t>GasLog Gibraltar</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6"/>
              </w:rPr>
              <w:t>October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GAS-sixteen Ltd.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January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145,000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Methane Rita Andrea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color w:val="auto"/>
              </w:rPr>
              <w:t>GAS-seventeen Ltd.</w:t>
            </w:r>
          </w:p>
        </w:tc>
        <w:tc>
          <w:tcPr>
            <w:tcW w:w="1140" w:type="dxa"/>
            <w:vAlign w:val="bottom"/>
            <w:gridSpan w:val="2"/>
            <w:shd w:val="clear" w:color="auto" w:fill="E8FFFA"/>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w w:val="96"/>
              </w:rPr>
              <w:t>January 2014</w:t>
            </w:r>
          </w:p>
        </w:tc>
        <w:tc>
          <w:tcPr>
            <w:tcW w:w="16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49" w:lineRule="exact"/>
              <w:rPr>
                <w:sz w:val="20"/>
                <w:szCs w:val="20"/>
                <w:color w:val="auto"/>
              </w:rPr>
            </w:pPr>
            <w:r>
              <w:rPr>
                <w:rFonts w:ascii="Arial" w:cs="Arial" w:eastAsia="Arial" w:hAnsi="Arial"/>
                <w:sz w:val="14"/>
                <w:szCs w:val="14"/>
                <w:color w:val="auto"/>
                <w:w w:val="90"/>
              </w:rPr>
              <w:t>145,000</w:t>
            </w:r>
          </w:p>
        </w:tc>
        <w:tc>
          <w:tcPr>
            <w:tcW w:w="146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i w:val="1"/>
                <w:iCs w:val="1"/>
                <w:color w:val="auto"/>
                <w:w w:val="89"/>
              </w:rPr>
              <w:t>Methane Jane Elizabeth</w:t>
            </w:r>
          </w:p>
        </w:tc>
        <w:tc>
          <w:tcPr>
            <w:tcW w:w="940" w:type="dxa"/>
            <w:vAlign w:val="bottom"/>
            <w:gridSpan w:val="2"/>
            <w:shd w:val="clear" w:color="auto" w:fill="E8FFFA"/>
          </w:tcPr>
          <w:p>
            <w:pPr>
              <w:ind w:left="100"/>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GAS-nineteen Ltd.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April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145,000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w w:val="91"/>
              </w:rPr>
              <w:t>Methane Alison Victoria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June 2014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3"/>
            <w:shd w:val="clear" w:color="auto" w:fill="E8FFFA"/>
          </w:tcPr>
          <w:p>
            <w:pPr>
              <w:spacing w:after="0" w:line="138" w:lineRule="exact"/>
              <w:rPr>
                <w:sz w:val="20"/>
                <w:szCs w:val="20"/>
                <w:color w:val="auto"/>
              </w:rPr>
            </w:pPr>
            <w:r>
              <w:rPr>
                <w:rFonts w:ascii="Arial" w:cs="Arial" w:eastAsia="Arial" w:hAnsi="Arial"/>
                <w:sz w:val="14"/>
                <w:szCs w:val="14"/>
                <w:color w:val="auto"/>
              </w:rPr>
              <w:t>GAS-twenty Ltd.</w:t>
            </w:r>
          </w:p>
        </w:tc>
        <w:tc>
          <w:tcPr>
            <w:tcW w:w="1140" w:type="dxa"/>
            <w:vAlign w:val="bottom"/>
            <w:gridSpan w:val="2"/>
            <w:shd w:val="clear" w:color="auto" w:fill="E8FFFA"/>
          </w:tcPr>
          <w:p>
            <w:pPr>
              <w:ind w:left="14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April 2014</w:t>
            </w:r>
          </w:p>
        </w:tc>
        <w:tc>
          <w:tcPr>
            <w:tcW w:w="16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shd w:val="clear" w:color="auto" w:fill="E8FFFA"/>
          </w:tcPr>
          <w:p>
            <w:pPr>
              <w:ind w:left="120"/>
              <w:spacing w:after="0" w:line="138" w:lineRule="exact"/>
              <w:rPr>
                <w:sz w:val="20"/>
                <w:szCs w:val="20"/>
                <w:color w:val="auto"/>
              </w:rPr>
            </w:pPr>
            <w:r>
              <w:rPr>
                <w:rFonts w:ascii="Arial" w:cs="Arial" w:eastAsia="Arial" w:hAnsi="Arial"/>
                <w:sz w:val="14"/>
                <w:szCs w:val="14"/>
                <w:color w:val="auto"/>
                <w:w w:val="90"/>
              </w:rPr>
              <w:t>145,000</w:t>
            </w:r>
          </w:p>
        </w:tc>
        <w:tc>
          <w:tcPr>
            <w:tcW w:w="146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i w:val="1"/>
                <w:iCs w:val="1"/>
                <w:color w:val="auto"/>
              </w:rPr>
              <w:t>Methane Shirley</w:t>
            </w:r>
          </w:p>
        </w:tc>
        <w:tc>
          <w:tcPr>
            <w:tcW w:w="940" w:type="dxa"/>
            <w:vAlign w:val="bottom"/>
            <w:gridSpan w:val="2"/>
            <w:shd w:val="clear" w:color="auto" w:fill="E8FFFA"/>
          </w:tcPr>
          <w:p>
            <w:pPr>
              <w:ind w:left="100"/>
              <w:spacing w:after="0" w:line="138" w:lineRule="exact"/>
              <w:rPr>
                <w:sz w:val="20"/>
                <w:szCs w:val="20"/>
                <w:color w:val="auto"/>
              </w:rPr>
            </w:pPr>
            <w:r>
              <w:rPr>
                <w:rFonts w:ascii="Arial" w:cs="Arial" w:eastAsia="Arial" w:hAnsi="Arial"/>
                <w:sz w:val="14"/>
                <w:szCs w:val="14"/>
                <w:color w:val="auto"/>
              </w:rPr>
              <w:t>June 2014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E8FFFA"/>
          </w:tcPr>
          <w:p>
            <w:pPr>
              <w:spacing w:after="0"/>
              <w:rPr>
                <w:sz w:val="13"/>
                <w:szCs w:val="13"/>
                <w:color w:val="auto"/>
              </w:rPr>
            </w:pPr>
          </w:p>
        </w:tc>
        <w:tc>
          <w:tcPr>
            <w:tcW w:w="1280" w:type="dxa"/>
            <w:vAlign w:val="bottom"/>
            <w:shd w:val="clear" w:color="auto" w:fill="E8FFFA"/>
          </w:tcPr>
          <w:p>
            <w:pPr>
              <w:spacing w:after="0"/>
              <w:rPr>
                <w:sz w:val="13"/>
                <w:szCs w:val="13"/>
                <w:color w:val="auto"/>
              </w:rPr>
            </w:pPr>
          </w:p>
        </w:tc>
        <w:tc>
          <w:tcPr>
            <w:tcW w:w="880" w:type="dxa"/>
            <w:vAlign w:val="bottom"/>
            <w:shd w:val="clear" w:color="auto" w:fill="E8FFFA"/>
          </w:tcPr>
          <w:p>
            <w:pPr>
              <w:spacing w:after="0"/>
              <w:rPr>
                <w:sz w:val="13"/>
                <w:szCs w:val="13"/>
                <w:color w:val="auto"/>
              </w:rPr>
            </w:pPr>
          </w:p>
        </w:tc>
        <w:tc>
          <w:tcPr>
            <w:tcW w:w="160" w:type="dxa"/>
            <w:vAlign w:val="bottom"/>
            <w:shd w:val="clear" w:color="auto" w:fill="E8FFFA"/>
          </w:tcPr>
          <w:p>
            <w:pPr>
              <w:spacing w:after="0"/>
              <w:rPr>
                <w:sz w:val="13"/>
                <w:szCs w:val="13"/>
                <w:color w:val="auto"/>
              </w:rPr>
            </w:pPr>
          </w:p>
        </w:tc>
        <w:tc>
          <w:tcPr>
            <w:tcW w:w="98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820" w:type="dxa"/>
            <w:vAlign w:val="bottom"/>
            <w:shd w:val="clear" w:color="auto" w:fill="E8FFFA"/>
          </w:tcPr>
          <w:p>
            <w:pPr>
              <w:spacing w:after="0"/>
              <w:rPr>
                <w:sz w:val="13"/>
                <w:szCs w:val="13"/>
                <w:color w:val="auto"/>
              </w:rPr>
            </w:pPr>
          </w:p>
        </w:tc>
        <w:tc>
          <w:tcPr>
            <w:tcW w:w="100" w:type="dxa"/>
            <w:vAlign w:val="bottom"/>
            <w:shd w:val="clear" w:color="auto" w:fill="E8FFFA"/>
          </w:tcPr>
          <w:p>
            <w:pPr>
              <w:spacing w:after="0"/>
              <w:rPr>
                <w:sz w:val="13"/>
                <w:szCs w:val="13"/>
                <w:color w:val="auto"/>
              </w:rPr>
            </w:pPr>
          </w:p>
        </w:tc>
        <w:tc>
          <w:tcPr>
            <w:tcW w:w="1560" w:type="dxa"/>
            <w:vAlign w:val="bottom"/>
            <w:shd w:val="clear" w:color="auto" w:fill="E8FFFA"/>
          </w:tcPr>
          <w:p>
            <w:pPr>
              <w:spacing w:after="0"/>
              <w:rPr>
                <w:sz w:val="13"/>
                <w:szCs w:val="13"/>
                <w:color w:val="auto"/>
              </w:rPr>
            </w:pPr>
          </w:p>
        </w:tc>
        <w:tc>
          <w:tcPr>
            <w:tcW w:w="120" w:type="dxa"/>
            <w:vAlign w:val="bottom"/>
            <w:shd w:val="clear" w:color="auto" w:fill="E8FFFA"/>
          </w:tcPr>
          <w:p>
            <w:pPr>
              <w:spacing w:after="0"/>
              <w:rPr>
                <w:sz w:val="13"/>
                <w:szCs w:val="13"/>
                <w:color w:val="auto"/>
              </w:rPr>
            </w:pPr>
          </w:p>
        </w:tc>
        <w:tc>
          <w:tcPr>
            <w:tcW w:w="480" w:type="dxa"/>
            <w:vAlign w:val="bottom"/>
            <w:shd w:val="clear" w:color="auto" w:fill="E8FFFA"/>
          </w:tcPr>
          <w:p>
            <w:pPr>
              <w:spacing w:after="0"/>
              <w:rPr>
                <w:sz w:val="13"/>
                <w:szCs w:val="13"/>
                <w:color w:val="auto"/>
              </w:rPr>
            </w:pPr>
          </w:p>
        </w:tc>
        <w:tc>
          <w:tcPr>
            <w:tcW w:w="1460" w:type="dxa"/>
            <w:vAlign w:val="bottom"/>
            <w:gridSpan w:val="2"/>
            <w:shd w:val="clear" w:color="auto" w:fill="E8FFFA"/>
          </w:tcPr>
          <w:p>
            <w:pPr>
              <w:ind w:left="100"/>
              <w:spacing w:after="0" w:line="159" w:lineRule="exact"/>
              <w:rPr>
                <w:sz w:val="20"/>
                <w:szCs w:val="20"/>
                <w:color w:val="auto"/>
              </w:rPr>
            </w:pPr>
            <w:r>
              <w:rPr>
                <w:rFonts w:ascii="Arial" w:cs="Arial" w:eastAsia="Arial" w:hAnsi="Arial"/>
                <w:sz w:val="14"/>
                <w:szCs w:val="14"/>
                <w:i w:val="1"/>
                <w:iCs w:val="1"/>
                <w:color w:val="auto"/>
              </w:rPr>
              <w:t>Elisabeth</w:t>
            </w:r>
          </w:p>
        </w:tc>
        <w:tc>
          <w:tcPr>
            <w:tcW w:w="100" w:type="dxa"/>
            <w:vAlign w:val="bottom"/>
            <w:shd w:val="clear" w:color="auto" w:fill="E8FFFA"/>
          </w:tcPr>
          <w:p>
            <w:pPr>
              <w:spacing w:after="0"/>
              <w:rPr>
                <w:sz w:val="13"/>
                <w:szCs w:val="13"/>
                <w:color w:val="auto"/>
              </w:rPr>
            </w:pPr>
          </w:p>
        </w:tc>
        <w:tc>
          <w:tcPr>
            <w:tcW w:w="840" w:type="dxa"/>
            <w:vAlign w:val="bottom"/>
            <w:shd w:val="clear" w:color="auto" w:fill="E8FFF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GAS-twenty one Ltd.</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April 2014</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145,000</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8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3"/>
          </w:tcPr>
          <w:p>
            <w:pPr>
              <w:spacing w:after="0" w:line="138" w:lineRule="exact"/>
              <w:rPr>
                <w:sz w:val="20"/>
                <w:szCs w:val="20"/>
                <w:color w:val="auto"/>
              </w:rPr>
            </w:pPr>
            <w:r>
              <w:rPr>
                <w:rFonts w:ascii="Arial" w:cs="Arial" w:eastAsia="Arial" w:hAnsi="Arial"/>
                <w:sz w:val="14"/>
                <w:szCs w:val="14"/>
                <w:color w:val="auto"/>
              </w:rPr>
              <w:t>Egypt LNG Shipping Ltd.</w:t>
            </w:r>
          </w:p>
        </w:tc>
        <w:tc>
          <w:tcPr>
            <w:tcW w:w="11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Bermuda</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May 2010</w:t>
            </w:r>
          </w:p>
        </w:tc>
        <w:tc>
          <w:tcPr>
            <w:tcW w:w="166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Vessel-owning company</w:t>
            </w:r>
          </w:p>
        </w:tc>
        <w:tc>
          <w:tcPr>
            <w:tcW w:w="60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0"/>
              </w:rPr>
              <w:t>145,000</w:t>
            </w:r>
          </w:p>
        </w:tc>
        <w:tc>
          <w:tcPr>
            <w:tcW w:w="1460" w:type="dxa"/>
            <w:vAlign w:val="bottom"/>
            <w:gridSpan w:val="2"/>
          </w:tcPr>
          <w:p>
            <w:pPr>
              <w:ind w:left="100"/>
              <w:spacing w:after="0" w:line="138" w:lineRule="exact"/>
              <w:rPr>
                <w:sz w:val="20"/>
                <w:szCs w:val="20"/>
                <w:color w:val="auto"/>
              </w:rPr>
            </w:pPr>
            <w:r>
              <w:rPr>
                <w:rFonts w:ascii="Arial" w:cs="Arial" w:eastAsia="Arial" w:hAnsi="Arial"/>
                <w:sz w:val="14"/>
                <w:szCs w:val="14"/>
                <w:i w:val="1"/>
                <w:iCs w:val="1"/>
                <w:color w:val="auto"/>
              </w:rPr>
              <w:t>Methane Nile Eagle</w:t>
            </w:r>
          </w:p>
        </w:tc>
        <w:tc>
          <w:tcPr>
            <w:tcW w:w="9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December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8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color w:val="auto"/>
              </w:rPr>
              <w:t>Gastrade S.A. ("Gastrade")</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Greece</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June 2010</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33.33% joint venture:</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8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156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480" w:type="dxa"/>
            <w:vAlign w:val="bottom"/>
            <w:shd w:val="clear" w:color="auto" w:fill="E8FFFA"/>
          </w:tcPr>
          <w:p>
            <w:pPr>
              <w:spacing w:after="0"/>
              <w:rPr>
                <w:sz w:val="12"/>
                <w:szCs w:val="12"/>
                <w:color w:val="auto"/>
              </w:rPr>
            </w:pPr>
          </w:p>
        </w:tc>
        <w:tc>
          <w:tcPr>
            <w:tcW w:w="120" w:type="dxa"/>
            <w:vAlign w:val="bottom"/>
            <w:shd w:val="clear" w:color="auto" w:fill="E8FFFA"/>
          </w:tcPr>
          <w:p>
            <w:pPr>
              <w:spacing w:after="0"/>
              <w:rPr>
                <w:sz w:val="12"/>
                <w:szCs w:val="12"/>
                <w:color w:val="auto"/>
              </w:rPr>
            </w:pPr>
          </w:p>
        </w:tc>
        <w:tc>
          <w:tcPr>
            <w:tcW w:w="134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1"/>
                <w:szCs w:val="11"/>
                <w:color w:val="auto"/>
              </w:rPr>
              <w:t>The Cool Pool Limited (the "Cool Pool")</w:t>
            </w:r>
            <w:r>
              <w:rPr>
                <w:rFonts w:ascii="Arial" w:cs="Arial" w:eastAsia="Arial" w:hAnsi="Arial"/>
                <w:sz w:val="17"/>
                <w:szCs w:val="17"/>
                <w:color w:val="auto"/>
                <w:vertAlign w:val="superscript"/>
              </w:rPr>
              <w:t>(3)</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Marshall Islands</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September</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 company</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80" w:hanging="531"/>
        <w:spacing w:after="0"/>
        <w:tabs>
          <w:tab w:leader="none" w:pos="1680" w:val="left"/>
        </w:tabs>
        <w:numPr>
          <w:ilvl w:val="1"/>
          <w:numId w:val="15"/>
        </w:numPr>
        <w:rPr>
          <w:rFonts w:ascii="Arial" w:cs="Arial" w:eastAsia="Arial" w:hAnsi="Arial"/>
          <w:sz w:val="11"/>
          <w:szCs w:val="11"/>
          <w:color w:val="auto"/>
        </w:rPr>
      </w:pPr>
      <w:r>
        <w:rPr>
          <w:rFonts w:ascii="Arial" w:cs="Arial" w:eastAsia="Arial" w:hAnsi="Arial"/>
          <w:sz w:val="14"/>
          <w:szCs w:val="14"/>
          <w:color w:val="auto"/>
        </w:rPr>
        <w:t>For newbuildings, expected delivery quarters as of June 30, 2018 are presented.</w:t>
      </w:r>
    </w:p>
    <w:p>
      <w:pPr>
        <w:ind w:left="1680" w:hanging="531"/>
        <w:spacing w:after="0" w:line="234" w:lineRule="auto"/>
        <w:tabs>
          <w:tab w:leader="none" w:pos="1680" w:val="left"/>
        </w:tabs>
        <w:numPr>
          <w:ilvl w:val="1"/>
          <w:numId w:val="15"/>
        </w:numPr>
        <w:rPr>
          <w:rFonts w:ascii="Arial" w:cs="Arial" w:eastAsia="Arial" w:hAnsi="Arial"/>
          <w:sz w:val="10"/>
          <w:szCs w:val="10"/>
          <w:color w:val="auto"/>
        </w:rPr>
      </w:pPr>
      <w:r>
        <w:rPr>
          <w:rFonts w:ascii="Arial" w:cs="Arial" w:eastAsia="Arial" w:hAnsi="Arial"/>
          <w:sz w:val="12"/>
          <w:szCs w:val="12"/>
          <w:color w:val="auto"/>
        </w:rPr>
        <w:t xml:space="preserve">On February 24, 2016,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a subsidiary of Mitsui Co. Ltd. ("Mitsui"). Refer to Note 6.</w:t>
      </w:r>
    </w:p>
    <w:p>
      <w:pPr>
        <w:ind w:left="1680" w:right="220" w:hanging="531"/>
        <w:spacing w:after="0" w:line="297" w:lineRule="auto"/>
        <w:tabs>
          <w:tab w:leader="none" w:pos="1680" w:val="left"/>
        </w:tabs>
        <w:numPr>
          <w:ilvl w:val="1"/>
          <w:numId w:val="15"/>
        </w:numPr>
        <w:rPr>
          <w:rFonts w:ascii="Arial" w:cs="Arial" w:eastAsia="Arial" w:hAnsi="Arial"/>
          <w:sz w:val="10"/>
          <w:szCs w:val="10"/>
          <w:color w:val="auto"/>
        </w:rPr>
      </w:pPr>
      <w:r>
        <w:rPr>
          <w:rFonts w:ascii="Arial" w:cs="Arial" w:eastAsia="Arial" w:hAnsi="Arial"/>
          <w:sz w:val="12"/>
          <w:szCs w:val="12"/>
          <w:color w:val="auto"/>
        </w:rPr>
        <w:t>On October 1, 2015, GasLog Carriers, Dynagas Ltd. ("Dynagas") and Golar LNG Limited ("Golar") ("Pool Owners") and The Cool Pool Limited signed a LNG carrier pooling agreement (the "LNG Carrier Pool" or "Pool Agreement") to market their vessels, which are currently operating in the LNG shipping spot market.</w:t>
      </w:r>
    </w:p>
    <w:p>
      <w:pPr>
        <w:spacing w:after="0" w:line="159" w:lineRule="exact"/>
        <w:rPr>
          <w:rFonts w:ascii="Arial" w:cs="Arial" w:eastAsia="Arial" w:hAnsi="Arial"/>
          <w:sz w:val="10"/>
          <w:szCs w:val="10"/>
          <w:color w:val="auto"/>
        </w:rPr>
      </w:pPr>
    </w:p>
    <w:p>
      <w:pPr>
        <w:ind w:left="1680" w:right="60"/>
        <w:spacing w:after="0" w:line="228" w:lineRule="auto"/>
        <w:rPr>
          <w:rFonts w:ascii="Arial" w:cs="Arial" w:eastAsia="Arial" w:hAnsi="Arial"/>
          <w:sz w:val="10"/>
          <w:szCs w:val="10"/>
          <w:color w:val="auto"/>
        </w:rPr>
      </w:pPr>
      <w:r>
        <w:rPr>
          <w:rFonts w:ascii="Arial" w:cs="Arial" w:eastAsia="Arial" w:hAnsi="Arial"/>
          <w:sz w:val="14"/>
          <w:szCs w:val="14"/>
          <w:color w:val="auto"/>
        </w:rPr>
        <w:t>As of June 30, 2018, the LNG Carrier Pool—named the "Cool Pool"—consists of 17 modern, high quality and essentially equivalent vessels powered by fuel efficient tri-fuel diesel electric ("TFDE") propulsion technology. The participation of the Pool Owners' vessels in the Cool Pool is as follows: Dynagas: one vessel; GasLog: six vessels; and Golar: ten vessels. Each vessel owner continues to be fully responsible for the staffing and technical management of their respective vessels. For the operation of the Cool Pool, a Marshall Islands service company named "The Cool Pool Limited" or the "Pool Manager", was incorporated in September 2015 acting as an agent. In June and July 2018, Dynagas Ltd. removed its three vessels from the Cool Pool.</w:t>
      </w:r>
    </w:p>
    <w:p>
      <w:pPr>
        <w:spacing w:after="0" w:line="180" w:lineRule="exact"/>
        <w:rPr>
          <w:rFonts w:ascii="Arial" w:cs="Arial" w:eastAsia="Arial" w:hAnsi="Arial"/>
          <w:sz w:val="10"/>
          <w:szCs w:val="10"/>
          <w:color w:val="auto"/>
        </w:rPr>
      </w:pPr>
    </w:p>
    <w:p>
      <w:pPr>
        <w:ind w:left="1680" w:right="20" w:hanging="531"/>
        <w:spacing w:after="0" w:line="230" w:lineRule="auto"/>
        <w:tabs>
          <w:tab w:leader="none" w:pos="1680" w:val="left"/>
        </w:tabs>
        <w:numPr>
          <w:ilvl w:val="1"/>
          <w:numId w:val="15"/>
        </w:numPr>
        <w:rPr>
          <w:rFonts w:ascii="Arial" w:cs="Arial" w:eastAsia="Arial" w:hAnsi="Arial"/>
          <w:sz w:val="11"/>
          <w:szCs w:val="11"/>
          <w:color w:val="auto"/>
        </w:rPr>
      </w:pPr>
      <w:r>
        <w:rPr>
          <w:rFonts w:ascii="Arial" w:cs="Arial" w:eastAsia="Arial" w:hAnsi="Arial"/>
          <w:sz w:val="14"/>
          <w:szCs w:val="14"/>
          <w:color w:val="auto"/>
        </w:rPr>
        <w:t>On January 12, 2018, GasLog entered into a shipbuilding contract with Samsung Heavy Industries Co. Ltd ("Samsung") for the construction of a 180,000 cbm GTT Mark III Flex LNG Carrier with LP-2S propulsion (Hull No. 2213) that is scheduled to be delivered in the second quarter of 2020. This vessel will be the vessel to be chartered to Centrica for an initial period of approximately seven years. The 180,000 cbm GTT Mark III Flex Plus LNG Carrier with LP-2S propulsion (Hull No. 2212) to be delivered in the third quarter of 2019 is currently without charter.</w:t>
      </w:r>
    </w:p>
    <w:p>
      <w:pPr>
        <w:spacing w:after="0" w:line="189" w:lineRule="exact"/>
        <w:rPr>
          <w:rFonts w:ascii="Arial" w:cs="Arial" w:eastAsia="Arial" w:hAnsi="Arial"/>
          <w:sz w:val="11"/>
          <w:szCs w:val="11"/>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Interim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as issued by the International Accounting Standards Board ("IASB"). Certain information and footnote disclosures required by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2017 filed with the SEC on February 28, 2018. On August 1, 2018 GasLog's board of directors authorized the unaudited condensed consolidated financial statements for issuance.</w:t>
      </w:r>
    </w:p>
    <w:p>
      <w:pPr>
        <w:spacing w:after="0" w:line="19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critical accounting judgments and key sources of estimation uncertainty were disclosed in the Company's annual consolidated financial statements for the year ended December 31, 2017 and remain unchanged.</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9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3" w:name="page44"/>
    <w:bookmarkEnd w:id="43"/>
    <w:p>
      <w:pPr>
        <w:spacing w:after="0" w:line="268" w:lineRule="auto"/>
        <w:rPr>
          <w:sz w:val="20"/>
          <w:szCs w:val="20"/>
          <w:color w:val="auto"/>
        </w:rPr>
      </w:pPr>
      <w:r>
        <w:rPr>
          <w:rFonts w:ascii="Arial" w:cs="Arial" w:eastAsia="Arial" w:hAnsi="Arial"/>
          <w:sz w:val="18"/>
          <w:szCs w:val="18"/>
          <w:color w:val="auto"/>
        </w:rPr>
        <w:t xml:space="preserve">statements for the year ended December 31, 2017, except for the changes resulting from the adoption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IFRS 15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 discussed below).</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comply with its financial covenants for at least twelve months from the end of the reporting period and therefore it is appropriate to prepare the financial statements on a going concern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was effective for annual periods beginning on or after January 1, 2018 and was applied by the Group using the modified retrospective approach. The adoption of the standard as of January 1, 2018 resulted in an increase of $246 on the Group's Accumulated deficit and an increase of the same amount on the Group's Other payables and accruals under the modified retrospective approach, as a result of the reassessment of the timing of the performance obligations in relation to positioning and repositioning fees and associated expenses.</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Group assessed that under a time charter arrangement, the hire rate per the charter agreement has two components: the lease component and the service component relating to the vessel operating costs. The revenue in relation to the lease component of the agreements is accounted for under the leases standard.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will be accounted for in accordance with the requirements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relation to short-term charters under the Cool Pool, management believes mobilization of a vessel from a previous port of discharge to a subsequent port of loading does not result in a separate benefit for charterers and that the activity is thus incapable of being distinct. This activity is considered to be a required set-up activity to fulfil the contract. On that basis, it was concluded that positioning and repositioning fees and associated expenses should be recognized over the period of the contract, and not at a certain point in time.</w:t>
      </w:r>
    </w:p>
    <w:p>
      <w:pPr>
        <w:spacing w:after="0" w:line="19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In July 2014, the IASB issued the complete version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w:t>
      </w:r>
    </w:p>
    <w:p>
      <w:pPr>
        <w:spacing w:after="0" w:line="198"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 xml:space="preserve">When an entity first applies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it may choose as its accounting policy to continue to apply the hedge accounting requirements of IAS 39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xml:space="preserve">, instead of the requirements in Chapter 6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 entity shall apply that policy to all of its hedging relationships. The Group has selected to apply hedge accounting under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w:t>
      </w:r>
    </w:p>
    <w:p>
      <w:pPr>
        <w:spacing w:after="0" w:line="16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 xml:space="preserve">The Group has elected to take the transition relief as provided by IFRS 9.7.2.15 which permits an entity not to restate prior periods on initial application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any adjustments to be made in the current year. The adoption of this standard as of January 1, 2018 resulted in a decrease of $436 on the Group's Accumulated deficit and an equal decrease on the Group's Reserves, as a result of the change in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accounting for the currency basis element of the cross-currency swaps ("CCS") to flow directly to the statement of profit or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the date of authorization of these unaudited condensed consolidated financial statements, the following standards and amendments relevant to the Group were in issue but not yet effective:</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related Interpretations. The standard is effective from January 1, 2019, with early adoption permitted only with concurrent adoption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Management has elected not to adopt early, and it anticipates that the implementation of this standard will not have a material impact on the Group's consolidated financial statements, since the changes for lessors are fairly minor and the Group's lessee obligations are not significant.</w:t>
      </w:r>
    </w:p>
    <w:p>
      <w:pPr>
        <w:spacing w:after="0" w:line="17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Group's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 in GasLog Partners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 per preference unit. The net proceeds from the offering, after deducting underwriting discounts, commissions and other offering expenses, were $111,194. The Partnership's Series B Preference Units are listed on the New York Stock Exchange under the symbol "GLOP PR B".</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profit allocation to non-controlling interests is based on the distribution policy for available cash stated in the Partnership Agreement and is illustrated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36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89"/>
              </w:rPr>
              <w:t>Marginal Percentage Interest in Distributions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196"/>
        </w:trPr>
        <w:tc>
          <w:tcPr>
            <w:tcW w:w="1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6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2"/>
              </w:rPr>
              <w:t>Total Quarterly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1"/>
              </w:rPr>
              <w:t>Distribution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General</w:t>
            </w:r>
          </w:p>
        </w:tc>
        <w:tc>
          <w:tcPr>
            <w:tcW w:w="206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7"/>
              </w:rPr>
              <w:t>Holders of</w:t>
            </w:r>
          </w:p>
        </w:tc>
      </w:tr>
      <w:tr>
        <w:trPr>
          <w:trHeight w:val="229"/>
        </w:trPr>
        <w:tc>
          <w:tcPr>
            <w:tcW w:w="16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9"/>
              </w:rPr>
              <w:t>Target Amount</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Unitholders</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1"/>
              </w:rPr>
              <w:t>Partner</w:t>
            </w:r>
          </w:p>
        </w:tc>
        <w:tc>
          <w:tcPr>
            <w:tcW w:w="100" w:type="dxa"/>
            <w:vAlign w:val="bottom"/>
          </w:tcPr>
          <w:p>
            <w:pPr>
              <w:spacing w:after="0"/>
              <w:rPr>
                <w:sz w:val="19"/>
                <w:szCs w:val="19"/>
                <w:color w:val="auto"/>
              </w:rPr>
            </w:pPr>
          </w:p>
        </w:tc>
        <w:tc>
          <w:tcPr>
            <w:tcW w:w="19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2"/>
              </w:rPr>
              <w:t>IDRs</w:t>
            </w:r>
          </w:p>
        </w:tc>
      </w:tr>
      <w:tr>
        <w:trPr>
          <w:trHeight w:val="211"/>
        </w:trPr>
        <w:tc>
          <w:tcPr>
            <w:tcW w:w="1620" w:type="dxa"/>
            <w:vAlign w:val="bottom"/>
          </w:tcPr>
          <w:p>
            <w:pPr>
              <w:spacing w:after="0"/>
              <w:rPr>
                <w:sz w:val="18"/>
                <w:szCs w:val="18"/>
                <w:color w:val="auto"/>
              </w:rPr>
            </w:pPr>
          </w:p>
        </w:tc>
        <w:tc>
          <w:tcPr>
            <w:tcW w:w="3380" w:type="dxa"/>
            <w:vAlign w:val="bottom"/>
            <w:shd w:val="clear" w:color="auto" w:fill="E8FFFA"/>
          </w:tcPr>
          <w:p>
            <w:pPr>
              <w:spacing w:after="0"/>
              <w:rPr>
                <w:sz w:val="20"/>
                <w:szCs w:val="20"/>
                <w:color w:val="auto"/>
              </w:rPr>
            </w:pPr>
            <w:r>
              <w:rPr>
                <w:rFonts w:ascii="Arial" w:cs="Arial" w:eastAsia="Arial" w:hAnsi="Arial"/>
                <w:sz w:val="18"/>
                <w:szCs w:val="18"/>
                <w:color w:val="auto"/>
              </w:rPr>
              <w:t>Minimum Quarterly Distribution</w:t>
            </w:r>
          </w:p>
        </w:tc>
        <w:tc>
          <w:tcPr>
            <w:tcW w:w="26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$0.375</w:t>
            </w:r>
          </w:p>
        </w:tc>
        <w:tc>
          <w:tcPr>
            <w:tcW w:w="100" w:type="dxa"/>
            <w:vAlign w:val="bottom"/>
            <w:shd w:val="clear" w:color="auto" w:fill="E8FFFA"/>
          </w:tcPr>
          <w:p>
            <w:pPr>
              <w:spacing w:after="0"/>
              <w:rPr>
                <w:sz w:val="18"/>
                <w:szCs w:val="18"/>
                <w:color w:val="auto"/>
              </w:rPr>
            </w:pPr>
          </w:p>
        </w:tc>
        <w:tc>
          <w:tcPr>
            <w:tcW w:w="90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90"/>
              </w:rPr>
              <w:t>98.0%</w:t>
            </w:r>
          </w:p>
        </w:tc>
        <w:tc>
          <w:tcPr>
            <w:tcW w:w="100" w:type="dxa"/>
            <w:vAlign w:val="bottom"/>
            <w:shd w:val="clear" w:color="auto" w:fill="E8FFFA"/>
          </w:tcPr>
          <w:p>
            <w:pPr>
              <w:spacing w:after="0"/>
              <w:rPr>
                <w:sz w:val="18"/>
                <w:szCs w:val="18"/>
                <w:color w:val="auto"/>
              </w:rPr>
            </w:pPr>
          </w:p>
        </w:tc>
        <w:tc>
          <w:tcPr>
            <w:tcW w:w="66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shd w:val="clear" w:color="auto" w:fill="E8FFFA"/>
          </w:tcPr>
          <w:p>
            <w:pPr>
              <w:spacing w:after="0"/>
              <w:rPr>
                <w:sz w:val="18"/>
                <w:szCs w:val="18"/>
                <w:color w:val="auto"/>
              </w:rPr>
            </w:pPr>
          </w:p>
        </w:tc>
        <w:tc>
          <w:tcPr>
            <w:tcW w:w="800" w:type="dxa"/>
            <w:vAlign w:val="bottom"/>
            <w:tcBorders>
              <w:top w:val="single" w:sz="8" w:color="auto"/>
            </w:tcBorders>
            <w:shd w:val="clear" w:color="auto" w:fill="E8FFFA"/>
          </w:tcPr>
          <w:p>
            <w:pPr>
              <w:jc w:val="right"/>
              <w:ind w:right="92"/>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60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0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98.0%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2.0%</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380" w:type="dxa"/>
            <w:vAlign w:val="bottom"/>
            <w:shd w:val="clear" w:color="auto" w:fill="E8FFFA"/>
          </w:tcPr>
          <w:p>
            <w:pPr>
              <w:spacing w:after="0"/>
              <w:rPr>
                <w:sz w:val="20"/>
                <w:szCs w:val="20"/>
                <w:color w:val="auto"/>
              </w:rPr>
            </w:pPr>
            <w:r>
              <w:rPr>
                <w:rFonts w:ascii="Arial" w:cs="Arial" w:eastAsia="Arial" w:hAnsi="Arial"/>
                <w:sz w:val="18"/>
                <w:szCs w:val="18"/>
                <w:color w:val="auto"/>
              </w:rPr>
              <w:t>Second Target Distribution</w:t>
            </w:r>
          </w:p>
        </w:tc>
        <w:tc>
          <w:tcPr>
            <w:tcW w:w="26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$0.43125 up to $0.46875</w:t>
            </w:r>
          </w:p>
        </w:tc>
        <w:tc>
          <w:tcPr>
            <w:tcW w:w="1000" w:type="dxa"/>
            <w:vAlign w:val="bottom"/>
            <w:gridSpan w:val="2"/>
            <w:shd w:val="clear" w:color="auto" w:fill="E8FFFA"/>
          </w:tcPr>
          <w:p>
            <w:pPr>
              <w:jc w:val="center"/>
              <w:ind w:left="12"/>
              <w:spacing w:after="0"/>
              <w:rPr>
                <w:sz w:val="20"/>
                <w:szCs w:val="20"/>
                <w:color w:val="auto"/>
              </w:rPr>
            </w:pPr>
            <w:r>
              <w:rPr>
                <w:rFonts w:ascii="Arial" w:cs="Arial" w:eastAsia="Arial" w:hAnsi="Arial"/>
                <w:sz w:val="18"/>
                <w:szCs w:val="18"/>
                <w:color w:val="auto"/>
                <w:w w:val="90"/>
              </w:rPr>
              <w:t>85.0%</w:t>
            </w:r>
          </w:p>
        </w:tc>
        <w:tc>
          <w:tcPr>
            <w:tcW w:w="760" w:type="dxa"/>
            <w:vAlign w:val="bottom"/>
            <w:gridSpan w:val="2"/>
            <w:shd w:val="clear" w:color="auto" w:fill="E8FFFA"/>
          </w:tcPr>
          <w:p>
            <w:pPr>
              <w:jc w:val="center"/>
              <w:spacing w:after="0"/>
              <w:rPr>
                <w:sz w:val="20"/>
                <w:szCs w:val="20"/>
                <w:color w:val="auto"/>
              </w:rPr>
            </w:pPr>
            <w:r>
              <w:rPr>
                <w:rFonts w:ascii="Arial" w:cs="Arial" w:eastAsia="Arial" w:hAnsi="Arial"/>
                <w:sz w:val="18"/>
                <w:szCs w:val="18"/>
                <w:color w:val="auto"/>
                <w:w w:val="87"/>
              </w:rPr>
              <w:t>2.0%</w:t>
            </w:r>
          </w:p>
        </w:tc>
        <w:tc>
          <w:tcPr>
            <w:tcW w:w="900" w:type="dxa"/>
            <w:vAlign w:val="bottom"/>
            <w:gridSpan w:val="2"/>
            <w:shd w:val="clear" w:color="auto" w:fill="E8FFFA"/>
          </w:tcPr>
          <w:p>
            <w:pPr>
              <w:jc w:val="right"/>
              <w:ind w:right="92"/>
              <w:spacing w:after="0"/>
              <w:rPr>
                <w:sz w:val="20"/>
                <w:szCs w:val="20"/>
                <w:color w:val="auto"/>
              </w:rPr>
            </w:pPr>
            <w:r>
              <w:rPr>
                <w:rFonts w:ascii="Arial" w:cs="Arial" w:eastAsia="Arial" w:hAnsi="Arial"/>
                <w:sz w:val="18"/>
                <w:szCs w:val="18"/>
                <w:color w:val="auto"/>
              </w:rPr>
              <w:t>13.0%</w:t>
            </w:r>
          </w:p>
        </w:tc>
        <w:tc>
          <w:tcPr>
            <w:tcW w:w="11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600" w:type="dxa"/>
            <w:vAlign w:val="bottom"/>
          </w:tcPr>
          <w:p>
            <w:pPr>
              <w:jc w:val="right"/>
              <w:spacing w:after="0"/>
              <w:rPr>
                <w:sz w:val="20"/>
                <w:szCs w:val="20"/>
                <w:color w:val="auto"/>
              </w:rPr>
            </w:pPr>
            <w:r>
              <w:rPr>
                <w:rFonts w:ascii="Arial" w:cs="Arial" w:eastAsia="Arial" w:hAnsi="Arial"/>
                <w:sz w:val="18"/>
                <w:szCs w:val="18"/>
                <w:color w:val="auto"/>
              </w:rPr>
              <w:t>$0.46875 up to $0.5625</w:t>
            </w:r>
          </w:p>
        </w:tc>
        <w:tc>
          <w:tcPr>
            <w:tcW w:w="10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75.0%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2.0%</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23.0%</w:t>
            </w:r>
          </w:p>
        </w:tc>
        <w:tc>
          <w:tcPr>
            <w:tcW w:w="11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380" w:type="dxa"/>
            <w:vAlign w:val="bottom"/>
            <w:shd w:val="clear" w:color="auto" w:fill="E8FFFA"/>
          </w:tcPr>
          <w:p>
            <w:pPr>
              <w:spacing w:after="0"/>
              <w:rPr>
                <w:sz w:val="20"/>
                <w:szCs w:val="20"/>
                <w:color w:val="auto"/>
              </w:rPr>
            </w:pPr>
            <w:r>
              <w:rPr>
                <w:rFonts w:ascii="Arial" w:cs="Arial" w:eastAsia="Arial" w:hAnsi="Arial"/>
                <w:sz w:val="18"/>
                <w:szCs w:val="18"/>
                <w:color w:val="auto"/>
              </w:rPr>
              <w:t>Thereafter</w:t>
            </w:r>
          </w:p>
        </w:tc>
        <w:tc>
          <w:tcPr>
            <w:tcW w:w="26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Above $0.5625</w:t>
            </w:r>
          </w:p>
        </w:tc>
        <w:tc>
          <w:tcPr>
            <w:tcW w:w="1000" w:type="dxa"/>
            <w:vAlign w:val="bottom"/>
            <w:gridSpan w:val="2"/>
            <w:shd w:val="clear" w:color="auto" w:fill="E8FFFA"/>
          </w:tcPr>
          <w:p>
            <w:pPr>
              <w:jc w:val="center"/>
              <w:ind w:left="12"/>
              <w:spacing w:after="0"/>
              <w:rPr>
                <w:sz w:val="20"/>
                <w:szCs w:val="20"/>
                <w:color w:val="auto"/>
              </w:rPr>
            </w:pPr>
            <w:r>
              <w:rPr>
                <w:rFonts w:ascii="Arial" w:cs="Arial" w:eastAsia="Arial" w:hAnsi="Arial"/>
                <w:sz w:val="18"/>
                <w:szCs w:val="18"/>
                <w:color w:val="auto"/>
                <w:w w:val="90"/>
              </w:rPr>
              <w:t>50.0%</w:t>
            </w:r>
          </w:p>
        </w:tc>
        <w:tc>
          <w:tcPr>
            <w:tcW w:w="760" w:type="dxa"/>
            <w:vAlign w:val="bottom"/>
            <w:gridSpan w:val="2"/>
            <w:shd w:val="clear" w:color="auto" w:fill="E8FFFA"/>
          </w:tcPr>
          <w:p>
            <w:pPr>
              <w:jc w:val="center"/>
              <w:spacing w:after="0"/>
              <w:rPr>
                <w:sz w:val="20"/>
                <w:szCs w:val="20"/>
                <w:color w:val="auto"/>
              </w:rPr>
            </w:pPr>
            <w:r>
              <w:rPr>
                <w:rFonts w:ascii="Arial" w:cs="Arial" w:eastAsia="Arial" w:hAnsi="Arial"/>
                <w:sz w:val="18"/>
                <w:szCs w:val="18"/>
                <w:color w:val="auto"/>
                <w:w w:val="87"/>
              </w:rPr>
              <w:t>2.0%</w:t>
            </w:r>
          </w:p>
        </w:tc>
        <w:tc>
          <w:tcPr>
            <w:tcW w:w="900" w:type="dxa"/>
            <w:vAlign w:val="bottom"/>
            <w:gridSpan w:val="2"/>
            <w:shd w:val="clear" w:color="auto" w:fill="E8FFFA"/>
          </w:tcPr>
          <w:p>
            <w:pPr>
              <w:jc w:val="right"/>
              <w:ind w:right="92"/>
              <w:spacing w:after="0"/>
              <w:rPr>
                <w:sz w:val="20"/>
                <w:szCs w:val="20"/>
                <w:color w:val="auto"/>
              </w:rPr>
            </w:pPr>
            <w:r>
              <w:rPr>
                <w:rFonts w:ascii="Arial" w:cs="Arial" w:eastAsia="Arial" w:hAnsi="Arial"/>
                <w:sz w:val="18"/>
                <w:szCs w:val="18"/>
                <w:color w:val="auto"/>
              </w:rPr>
              <w:t>48.0%</w:t>
            </w:r>
          </w:p>
        </w:tc>
        <w:tc>
          <w:tcPr>
            <w:tcW w:w="1160" w:type="dxa"/>
            <w:vAlign w:val="bottom"/>
          </w:tcPr>
          <w:p>
            <w:pPr>
              <w:spacing w:after="0"/>
              <w:rPr>
                <w:sz w:val="18"/>
                <w:szCs w:val="18"/>
                <w:color w:val="auto"/>
              </w:rPr>
            </w:pPr>
          </w:p>
        </w:tc>
      </w:tr>
      <w:tr>
        <w:trPr>
          <w:trHeight w:val="430"/>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0" w:type="dxa"/>
            <w:vAlign w:val="bottom"/>
          </w:tcPr>
          <w:p>
            <w:pPr>
              <w:jc w:val="right"/>
              <w:ind w:right="1632"/>
              <w:spacing w:after="0"/>
              <w:rPr>
                <w:sz w:val="20"/>
                <w:szCs w:val="20"/>
                <w:color w:val="auto"/>
              </w:rPr>
            </w:pPr>
            <w:r>
              <w:rPr>
                <w:rFonts w:ascii="Arial" w:cs="Arial" w:eastAsia="Arial" w:hAnsi="Arial"/>
                <w:sz w:val="18"/>
                <w:szCs w:val="18"/>
                <w:color w:val="auto"/>
              </w:rPr>
              <w:t>F-10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tbl>
      <w:tblPr>
        <w:tblLayout w:type="fixed"/>
        <w:tblInd w:w="1480" w:type="dxa"/>
        <w:tblCellMar>
          <w:top w:w="0" w:type="dxa"/>
          <w:left w:w="0" w:type="dxa"/>
          <w:bottom w:w="0" w:type="dxa"/>
          <w:right w:w="0" w:type="dxa"/>
        </w:tblCellMar>
      </w:tblPr>
      <w:tr>
        <w:trPr>
          <w:trHeight w:val="228"/>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Allocation of GasLog Partners' profit</w:t>
            </w:r>
            <w:r>
              <w:rPr>
                <w:rFonts w:ascii="Arial" w:cs="Arial" w:eastAsia="Arial" w:hAnsi="Arial"/>
                <w:sz w:val="29"/>
                <w:szCs w:val="29"/>
                <w:b w:val="1"/>
                <w:bCs w:val="1"/>
                <w:i w:val="1"/>
                <w:iCs w:val="1"/>
                <w:color w:val="auto"/>
                <w:vertAlign w:val="superscript"/>
              </w:rPr>
              <w:t>(*)</w:t>
            </w:r>
          </w:p>
        </w:tc>
        <w:tc>
          <w:tcPr>
            <w:tcW w:w="23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92"/>
              </w:rPr>
              <w:t>For the three months ended</w:t>
            </w:r>
          </w:p>
        </w:tc>
        <w:tc>
          <w:tcPr>
            <w:tcW w:w="100" w:type="dxa"/>
            <w:vAlign w:val="bottom"/>
          </w:tcPr>
          <w:p>
            <w:pPr>
              <w:spacing w:after="0"/>
              <w:rPr>
                <w:sz w:val="19"/>
                <w:szCs w:val="19"/>
                <w:color w:val="auto"/>
              </w:rPr>
            </w:pPr>
          </w:p>
        </w:tc>
        <w:tc>
          <w:tcPr>
            <w:tcW w:w="238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59"/>
        </w:trPr>
        <w:tc>
          <w:tcPr>
            <w:tcW w:w="3700" w:type="dxa"/>
            <w:vAlign w:val="bottom"/>
            <w:gridSpan w:val="3"/>
            <w:vMerge w:val="continue"/>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Partnership's profit attributable to:</w:t>
            </w:r>
          </w:p>
        </w:tc>
        <w:tc>
          <w:tcPr>
            <w:tcW w:w="820" w:type="dxa"/>
            <w:vAlign w:val="bottom"/>
            <w:shd w:val="clear" w:color="auto" w:fill="E8FFFA"/>
          </w:tcPr>
          <w:p>
            <w:pPr>
              <w:spacing w:after="0"/>
              <w:rPr>
                <w:sz w:val="18"/>
                <w:szCs w:val="18"/>
                <w:color w:val="auto"/>
              </w:rPr>
            </w:pPr>
          </w:p>
        </w:tc>
        <w:tc>
          <w:tcPr>
            <w:tcW w:w="1140" w:type="dxa"/>
            <w:vAlign w:val="bottom"/>
            <w:tcBorders>
              <w:top w:val="single" w:sz="8" w:color="auto"/>
            </w:tcBorders>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140" w:type="dxa"/>
            <w:vAlign w:val="bottom"/>
            <w:tcBorders>
              <w:top w:val="single" w:sz="8" w:color="auto"/>
            </w:tcBorders>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140" w:type="dxa"/>
            <w:vAlign w:val="bottom"/>
            <w:tcBorders>
              <w:top w:val="single" w:sz="8" w:color="auto"/>
            </w:tcBorders>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140" w:type="dxa"/>
            <w:vAlign w:val="bottom"/>
            <w:tcBorders>
              <w:top w:val="single" w:sz="8" w:color="auto"/>
            </w:tcBorders>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Common unitholders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17,349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17,095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32,073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Subordinated unitholders</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140" w:type="dxa"/>
            <w:vAlign w:val="bottom"/>
          </w:tcPr>
          <w:p>
            <w:pPr>
              <w:jc w:val="right"/>
              <w:spacing w:after="0"/>
              <w:rPr>
                <w:sz w:val="20"/>
                <w:szCs w:val="20"/>
                <w:color w:val="auto"/>
              </w:rPr>
            </w:pPr>
            <w:r>
              <w:rPr>
                <w:rFonts w:ascii="Arial" w:cs="Arial" w:eastAsia="Arial" w:hAnsi="Arial"/>
                <w:sz w:val="18"/>
                <w:szCs w:val="18"/>
                <w:color w:val="auto"/>
              </w:rPr>
              <w:t>357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Incentive distribution rights ("IDRs")</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E8FFFA"/>
          </w:tcPr>
          <w:p>
            <w:pPr>
              <w:spacing w:after="0"/>
              <w:rPr>
                <w:sz w:val="18"/>
                <w:szCs w:val="18"/>
                <w:color w:val="auto"/>
              </w:rPr>
            </w:pP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896</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5"/>
              </w:rPr>
              <w:t>Paid and accrued preference equity 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19,358</w:t>
            </w:r>
          </w:p>
        </w:tc>
        <w:tc>
          <w:tcPr>
            <w:tcW w:w="100" w:type="dxa"/>
            <w:vAlign w:val="bottom"/>
            <w:shd w:val="clear" w:color="auto" w:fill="E8FFFA"/>
          </w:tcPr>
          <w:p>
            <w:pPr>
              <w:spacing w:after="0"/>
              <w:rPr>
                <w:sz w:val="18"/>
                <w:szCs w:val="18"/>
                <w:color w:val="auto"/>
              </w:rPr>
            </w:pPr>
          </w:p>
        </w:tc>
        <w:tc>
          <w:tcPr>
            <w:tcW w:w="11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22,901</w:t>
            </w:r>
          </w:p>
        </w:tc>
        <w:tc>
          <w:tcPr>
            <w:tcW w:w="100" w:type="dxa"/>
            <w:vAlign w:val="bottom"/>
            <w:shd w:val="clear" w:color="auto" w:fill="E8FFFA"/>
          </w:tcPr>
          <w:p>
            <w:pPr>
              <w:spacing w:after="0"/>
              <w:rPr>
                <w:sz w:val="18"/>
                <w:szCs w:val="18"/>
                <w:color w:val="auto"/>
              </w:rPr>
            </w:pPr>
          </w:p>
        </w:tc>
        <w:tc>
          <w:tcPr>
            <w:tcW w:w="11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40,380</w:t>
            </w:r>
          </w:p>
        </w:tc>
        <w:tc>
          <w:tcPr>
            <w:tcW w:w="100" w:type="dxa"/>
            <w:vAlign w:val="bottom"/>
            <w:shd w:val="clear" w:color="auto" w:fill="E8FFFA"/>
          </w:tcPr>
          <w:p>
            <w:pPr>
              <w:spacing w:after="0"/>
              <w:rPr>
                <w:sz w:val="18"/>
                <w:szCs w:val="18"/>
                <w:color w:val="auto"/>
              </w:rPr>
            </w:pPr>
          </w:p>
        </w:tc>
        <w:tc>
          <w:tcPr>
            <w:tcW w:w="11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54,903</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color w:val="auto"/>
              </w:rPr>
              <w:t>Partnership's profit allocated to GasLog</w:t>
            </w:r>
          </w:p>
        </w:tc>
        <w:tc>
          <w:tcPr>
            <w:tcW w:w="1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3"/>
            <w:vMerge w:val="continue"/>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4,939</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5,069</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11,321</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shd w:val="clear" w:color="auto" w:fill="E8FFFA"/>
          </w:tcPr>
          <w:p>
            <w:pPr>
              <w:spacing w:after="0"/>
              <w:rPr>
                <w:sz w:val="20"/>
                <w:szCs w:val="20"/>
                <w:color w:val="auto"/>
              </w:rPr>
            </w:pPr>
            <w:r>
              <w:rPr>
                <w:rFonts w:ascii="Arial" w:cs="Arial" w:eastAsia="Arial" w:hAnsi="Arial"/>
                <w:sz w:val="18"/>
                <w:szCs w:val="18"/>
                <w:color w:val="auto"/>
                <w:w w:val="99"/>
              </w:rPr>
              <w:t>Partnership's profit allocated to non-controlling</w:t>
            </w:r>
          </w:p>
        </w:tc>
        <w:tc>
          <w:tcPr>
            <w:tcW w:w="114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14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140" w:type="dxa"/>
            <w:vAlign w:val="bottom"/>
            <w:shd w:val="clear" w:color="auto" w:fill="E8FFFA"/>
          </w:tcPr>
          <w:p>
            <w:pPr>
              <w:spacing w:after="0"/>
              <w:rPr>
                <w:sz w:val="18"/>
                <w:szCs w:val="18"/>
                <w:color w:val="auto"/>
              </w:rPr>
            </w:pPr>
          </w:p>
        </w:tc>
        <w:tc>
          <w:tcPr>
            <w:tcW w:w="100" w:type="dxa"/>
            <w:vAlign w:val="bottom"/>
            <w:shd w:val="clear" w:color="auto" w:fill="E8FFFA"/>
          </w:tcPr>
          <w:p>
            <w:pPr>
              <w:spacing w:after="0"/>
              <w:rPr>
                <w:sz w:val="18"/>
                <w:szCs w:val="18"/>
                <w:color w:val="auto"/>
              </w:rPr>
            </w:pPr>
          </w:p>
        </w:tc>
        <w:tc>
          <w:tcPr>
            <w:tcW w:w="114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gridSpan w:val="2"/>
            <w:shd w:val="clear" w:color="auto" w:fill="E8FFFA"/>
          </w:tcPr>
          <w:p>
            <w:pPr>
              <w:ind w:left="140"/>
              <w:spacing w:after="0"/>
              <w:rPr>
                <w:sz w:val="20"/>
                <w:szCs w:val="20"/>
                <w:color w:val="auto"/>
              </w:rPr>
            </w:pPr>
            <w:r>
              <w:rPr>
                <w:rFonts w:ascii="Arial" w:cs="Arial" w:eastAsia="Arial" w:hAnsi="Arial"/>
                <w:sz w:val="18"/>
                <w:szCs w:val="18"/>
                <w:color w:val="auto"/>
              </w:rPr>
              <w:t>interests</w:t>
            </w:r>
          </w:p>
        </w:tc>
        <w:tc>
          <w:tcPr>
            <w:tcW w:w="11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14,419</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17,832</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29,059</w:t>
            </w:r>
          </w:p>
        </w:tc>
        <w:tc>
          <w:tcPr>
            <w:tcW w:w="12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41,069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19,358</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22,901</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40,380</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profits of GAS-eleven Ltd., GAS-thirteen Ltd., GAS-eight Ltd. and GAS-fourteen Ltd. for the period prior to their transfers to the Partnership on May 3, 2017, July 3, 2017, October 20, 2017 and April 26, 2018, respectively.</w:t>
      </w:r>
    </w:p>
    <w:p>
      <w:pPr>
        <w:sectPr>
          <w:pgSz w:w="11900" w:h="16838" w:orient="portrait"/>
          <w:cols w:equalWidth="0" w:num="1">
            <w:col w:w="11380"/>
          </w:cols>
          <w:pgMar w:left="240" w:top="557" w:right="27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in Associates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movements in investment in associates are reported in the following table:</w:t>
      </w:r>
    </w:p>
    <w:p>
      <w:pPr>
        <w:spacing w:after="0" w:line="200" w:lineRule="exact"/>
        <w:rPr>
          <w:sz w:val="20"/>
          <w:szCs w:val="20"/>
          <w:color w:val="auto"/>
        </w:rPr>
      </w:pPr>
    </w:p>
    <w:p>
      <w:pPr>
        <w:spacing w:after="0" w:line="28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29145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91455"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Share of profit of associates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Dividend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29145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91455"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b w:val="1"/>
          <w:bCs w:val="1"/>
          <w:color w:val="auto"/>
        </w:rPr>
        <w:t>As of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29210</wp:posOffset>
            </wp:positionV>
            <wp:extent cx="746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2"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20,800</w:t>
      </w:r>
    </w:p>
    <w:p>
      <w:pPr>
        <w:spacing w:after="0" w:line="15"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827</w:t>
      </w:r>
    </w:p>
    <w:p>
      <w:pPr>
        <w:spacing w:after="0" w:line="9"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(1,138)</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20,489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-115570</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29210</wp:posOffset>
            </wp:positionV>
            <wp:extent cx="746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746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900" w:space="720"/>
            <w:col w:w="2760"/>
          </w:cols>
          <w:pgMar w:left="240" w:top="557" w:right="279" w:bottom="1440" w:gutter="0" w:footer="0" w:header="0"/>
          <w:type w:val="continuous"/>
        </w:sectPr>
      </w:pPr>
    </w:p>
    <w:p>
      <w:pPr>
        <w:spacing w:after="0" w:line="72"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On February 9, 2017, GasLog acquired a 20% shareholding in Gastrade, a private limited company licensed to develop an independent natural gas system offshore Alexandroupolis in Northern Greece utilizing a floating storage and regasification unit ("FSRU") along with other fixed infrastructure. GasLog, as well as being a shareholder, will provide operations and maintenance ("O&amp;M") services for the FSRU through an O&amp;M agreement which was signed on February 23, 2018.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5. Tangible Fixed Assets, Vessels Under Construction and Vessel Held Under Finance Lease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movements in tangible fixed assets, vessels under construction and vessel held under finance lease are reported in the following table:</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Office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property</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2"/>
              </w:rPr>
              <w:t>Vessel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and other</w:t>
            </w: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tangible fixed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Vessels under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under finance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Vessels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tangible assets</w:t>
            </w:r>
          </w:p>
        </w:tc>
        <w:tc>
          <w:tcPr>
            <w:tcW w:w="12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8"/>
              </w:rPr>
              <w:t>assets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construction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79"/>
              </w:rPr>
              <w:t>lease</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E8FFFA"/>
          </w:tcPr>
          <w:p>
            <w:pPr>
              <w:spacing w:after="0" w:line="171" w:lineRule="exact"/>
              <w:rPr>
                <w:sz w:val="20"/>
                <w:szCs w:val="20"/>
                <w:color w:val="auto"/>
              </w:rPr>
            </w:pPr>
            <w:r>
              <w:rPr>
                <w:rFonts w:ascii="Arial" w:cs="Arial" w:eastAsia="Arial" w:hAnsi="Arial"/>
                <w:sz w:val="18"/>
                <w:szCs w:val="18"/>
                <w:b w:val="1"/>
                <w:bCs w:val="1"/>
                <w:color w:val="auto"/>
                <w:w w:val="79"/>
              </w:rPr>
              <w:t>Cost</w:t>
            </w:r>
          </w:p>
        </w:tc>
        <w:tc>
          <w:tcPr>
            <w:tcW w:w="2880" w:type="dxa"/>
            <w:vAlign w:val="bottom"/>
            <w:tcBorders>
              <w:bottom w:val="single" w:sz="8" w:color="E8FFFA"/>
            </w:tcBorders>
            <w:gridSpan w:val="3"/>
            <w:shd w:val="clear" w:color="auto" w:fill="E8FFFA"/>
          </w:tcPr>
          <w:p>
            <w:pPr>
              <w:spacing w:after="0"/>
              <w:rPr>
                <w:sz w:val="16"/>
                <w:szCs w:val="16"/>
                <w:color w:val="auto"/>
              </w:rPr>
            </w:pPr>
          </w:p>
        </w:tc>
        <w:tc>
          <w:tcPr>
            <w:tcW w:w="820" w:type="dxa"/>
            <w:vAlign w:val="bottom"/>
            <w:tcBorders>
              <w:top w:val="single" w:sz="8" w:color="auto"/>
              <w:bottom w:val="single" w:sz="8" w:color="E8FFFA"/>
            </w:tcBorders>
            <w:shd w:val="clear" w:color="auto" w:fill="E8FFFA"/>
          </w:tcPr>
          <w:p>
            <w:pPr>
              <w:spacing w:after="0"/>
              <w:rPr>
                <w:sz w:val="16"/>
                <w:szCs w:val="16"/>
                <w:color w:val="auto"/>
              </w:rPr>
            </w:pPr>
          </w:p>
        </w:tc>
        <w:tc>
          <w:tcPr>
            <w:tcW w:w="120" w:type="dxa"/>
            <w:vAlign w:val="bottom"/>
            <w:tcBorders>
              <w:bottom w:val="single" w:sz="8" w:color="E8FFFA"/>
            </w:tcBorders>
            <w:shd w:val="clear" w:color="auto" w:fill="E8FFFA"/>
          </w:tcPr>
          <w:p>
            <w:pPr>
              <w:spacing w:after="0"/>
              <w:rPr>
                <w:sz w:val="16"/>
                <w:szCs w:val="16"/>
                <w:color w:val="auto"/>
              </w:rPr>
            </w:pPr>
          </w:p>
        </w:tc>
        <w:tc>
          <w:tcPr>
            <w:tcW w:w="1080" w:type="dxa"/>
            <w:vAlign w:val="bottom"/>
            <w:tcBorders>
              <w:top w:val="single" w:sz="8" w:color="auto"/>
              <w:bottom w:val="single" w:sz="8" w:color="E8FFFA"/>
            </w:tcBorders>
            <w:shd w:val="clear" w:color="auto" w:fill="E8FFFA"/>
          </w:tcPr>
          <w:p>
            <w:pPr>
              <w:spacing w:after="0"/>
              <w:rPr>
                <w:sz w:val="16"/>
                <w:szCs w:val="16"/>
                <w:color w:val="auto"/>
              </w:rPr>
            </w:pPr>
          </w:p>
        </w:tc>
        <w:tc>
          <w:tcPr>
            <w:tcW w:w="120" w:type="dxa"/>
            <w:vAlign w:val="bottom"/>
            <w:tcBorders>
              <w:bottom w:val="single" w:sz="8" w:color="E8FFFA"/>
            </w:tcBorders>
            <w:shd w:val="clear" w:color="auto" w:fill="E8FFFA"/>
          </w:tcPr>
          <w:p>
            <w:pPr>
              <w:spacing w:after="0"/>
              <w:rPr>
                <w:sz w:val="16"/>
                <w:szCs w:val="16"/>
                <w:color w:val="auto"/>
              </w:rPr>
            </w:pPr>
          </w:p>
        </w:tc>
        <w:tc>
          <w:tcPr>
            <w:tcW w:w="1020" w:type="dxa"/>
            <w:vAlign w:val="bottom"/>
            <w:tcBorders>
              <w:top w:val="single" w:sz="8" w:color="auto"/>
              <w:bottom w:val="single" w:sz="8" w:color="E8FFFA"/>
            </w:tcBorders>
            <w:shd w:val="clear" w:color="auto" w:fill="E8FFFA"/>
          </w:tcPr>
          <w:p>
            <w:pPr>
              <w:spacing w:after="0"/>
              <w:rPr>
                <w:sz w:val="16"/>
                <w:szCs w:val="16"/>
                <w:color w:val="auto"/>
              </w:rPr>
            </w:pPr>
          </w:p>
        </w:tc>
        <w:tc>
          <w:tcPr>
            <w:tcW w:w="120" w:type="dxa"/>
            <w:vAlign w:val="bottom"/>
            <w:tcBorders>
              <w:bottom w:val="single" w:sz="8" w:color="E8FFFA"/>
            </w:tcBorders>
            <w:shd w:val="clear" w:color="auto" w:fill="E8FFFA"/>
          </w:tcPr>
          <w:p>
            <w:pPr>
              <w:spacing w:after="0"/>
              <w:rPr>
                <w:sz w:val="16"/>
                <w:szCs w:val="16"/>
                <w:color w:val="auto"/>
              </w:rPr>
            </w:pPr>
          </w:p>
        </w:tc>
        <w:tc>
          <w:tcPr>
            <w:tcW w:w="1220" w:type="dxa"/>
            <w:vAlign w:val="bottom"/>
            <w:tcBorders>
              <w:top w:val="single" w:sz="8" w:color="auto"/>
              <w:bottom w:val="single" w:sz="8" w:color="E8FFFA"/>
            </w:tcBorders>
            <w:shd w:val="clear" w:color="auto" w:fill="E8FFFA"/>
          </w:tcPr>
          <w:p>
            <w:pPr>
              <w:spacing w:after="0"/>
              <w:rPr>
                <w:sz w:val="16"/>
                <w:szCs w:val="16"/>
                <w:color w:val="auto"/>
              </w:rPr>
            </w:pPr>
          </w:p>
        </w:tc>
        <w:tc>
          <w:tcPr>
            <w:tcW w:w="100" w:type="dxa"/>
            <w:vAlign w:val="bottom"/>
            <w:tcBorders>
              <w:bottom w:val="single" w:sz="8" w:color="E8FFFA"/>
            </w:tcBorders>
            <w:shd w:val="clear" w:color="auto" w:fill="E8FFFA"/>
          </w:tcPr>
          <w:p>
            <w:pPr>
              <w:spacing w:after="0"/>
              <w:rPr>
                <w:sz w:val="16"/>
                <w:szCs w:val="16"/>
                <w:color w:val="auto"/>
              </w:rPr>
            </w:pPr>
          </w:p>
        </w:tc>
        <w:tc>
          <w:tcPr>
            <w:tcW w:w="1060" w:type="dxa"/>
            <w:vAlign w:val="bottom"/>
            <w:tcBorders>
              <w:top w:val="single" w:sz="8" w:color="auto"/>
              <w:bottom w:val="single" w:sz="8" w:color="E8FFFA"/>
            </w:tcBorders>
            <w:shd w:val="clear" w:color="auto" w:fill="E8FFF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As of January 1, 2018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4,217,866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4,237,090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166,655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E8FFFA"/>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33,225</w:t>
            </w:r>
          </w:p>
        </w:tc>
        <w:tc>
          <w:tcPr>
            <w:tcW w:w="12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3,758</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36,983</w:t>
            </w:r>
          </w:p>
        </w:tc>
        <w:tc>
          <w:tcPr>
            <w:tcW w:w="120" w:type="dxa"/>
            <w:vAlign w:val="bottom"/>
            <w:shd w:val="clear" w:color="auto" w:fill="E8FFFA"/>
          </w:tcPr>
          <w:p>
            <w:pPr>
              <w:spacing w:after="0"/>
              <w:rPr>
                <w:sz w:val="18"/>
                <w:szCs w:val="18"/>
                <w:color w:val="auto"/>
              </w:rPr>
            </w:pP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564,211</w:t>
            </w:r>
          </w:p>
        </w:tc>
        <w:tc>
          <w:tcPr>
            <w:tcW w:w="100" w:type="dxa"/>
            <w:vAlign w:val="bottom"/>
            <w:shd w:val="clear" w:color="auto" w:fill="E8FFFA"/>
          </w:tcPr>
          <w:p>
            <w:pPr>
              <w:spacing w:after="0"/>
              <w:rPr>
                <w:sz w:val="18"/>
                <w:szCs w:val="18"/>
                <w:color w:val="auto"/>
              </w:rPr>
            </w:pP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w w:val="98"/>
              </w:rPr>
              <w:t>Transfer from vessels under construction</w:t>
            </w:r>
          </w:p>
        </w:tc>
        <w:tc>
          <w:tcPr>
            <w:tcW w:w="820" w:type="dxa"/>
            <w:vAlign w:val="bottom"/>
          </w:tcPr>
          <w:p>
            <w:pPr>
              <w:jc w:val="right"/>
              <w:spacing w:after="0"/>
              <w:rPr>
                <w:sz w:val="20"/>
                <w:szCs w:val="20"/>
                <w:color w:val="auto"/>
              </w:rPr>
            </w:pPr>
            <w:r>
              <w:rPr>
                <w:rFonts w:ascii="Arial" w:cs="Arial" w:eastAsia="Arial" w:hAnsi="Arial"/>
                <w:sz w:val="18"/>
                <w:szCs w:val="18"/>
                <w:color w:val="auto"/>
              </w:rPr>
              <w:t>639,260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639,260</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(639,260)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E8FFFA"/>
          </w:tcPr>
          <w:p>
            <w:pPr>
              <w:spacing w:after="0"/>
              <w:rPr>
                <w:sz w:val="20"/>
                <w:szCs w:val="20"/>
                <w:color w:val="auto"/>
              </w:rPr>
            </w:pPr>
            <w:r>
              <w:rPr>
                <w:rFonts w:ascii="Arial" w:cs="Arial" w:eastAsia="Arial" w:hAnsi="Arial"/>
                <w:sz w:val="18"/>
                <w:szCs w:val="18"/>
                <w:color w:val="auto"/>
                <w:w w:val="95"/>
              </w:rPr>
              <w:t>Transfer under "Other non-current assets"</w:t>
            </w:r>
          </w:p>
        </w:tc>
        <w:tc>
          <w:tcPr>
            <w:tcW w:w="9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8FFFA"/>
          </w:tcPr>
          <w:p>
            <w:pPr>
              <w:spacing w:after="0"/>
              <w:rPr>
                <w:sz w:val="18"/>
                <w:szCs w:val="18"/>
                <w:color w:val="auto"/>
              </w:rPr>
            </w:pP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8FFFA"/>
          </w:tcPr>
          <w:p>
            <w:pPr>
              <w:jc w:val="right"/>
              <w:ind w:right="40"/>
              <w:spacing w:after="0"/>
              <w:rPr>
                <w:sz w:val="20"/>
                <w:szCs w:val="20"/>
                <w:color w:val="auto"/>
              </w:rPr>
            </w:pPr>
            <w:r>
              <w:rPr>
                <w:rFonts w:ascii="Arial" w:cs="Arial" w:eastAsia="Arial" w:hAnsi="Arial"/>
                <w:sz w:val="18"/>
                <w:szCs w:val="18"/>
                <w:color w:val="auto"/>
              </w:rPr>
              <w:t>(1,650)</w:t>
            </w: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Fully amortized fixed assets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4"/>
            <w:shd w:val="clear" w:color="auto" w:fill="E8FFFA"/>
          </w:tcPr>
          <w:p>
            <w:pPr>
              <w:spacing w:after="0"/>
              <w:rPr>
                <w:sz w:val="20"/>
                <w:szCs w:val="20"/>
                <w:color w:val="auto"/>
              </w:rPr>
            </w:pPr>
            <w:r>
              <w:rPr>
                <w:rFonts w:ascii="Arial" w:cs="Arial" w:eastAsia="Arial" w:hAnsi="Arial"/>
                <w:sz w:val="18"/>
                <w:szCs w:val="18"/>
                <w:b w:val="1"/>
                <w:bCs w:val="1"/>
                <w:color w:val="auto"/>
              </w:rPr>
              <w:t>As of June 30, 2018</w:t>
            </w:r>
          </w:p>
        </w:tc>
        <w:tc>
          <w:tcPr>
            <w:tcW w:w="8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w w:val="99"/>
              </w:rPr>
              <w:t>4,885,351</w:t>
            </w:r>
          </w:p>
        </w:tc>
        <w:tc>
          <w:tcPr>
            <w:tcW w:w="12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22,982</w:t>
            </w:r>
          </w:p>
        </w:tc>
        <w:tc>
          <w:tcPr>
            <w:tcW w:w="120" w:type="dxa"/>
            <w:vAlign w:val="bottom"/>
            <w:shd w:val="clear" w:color="auto" w:fill="E8FFFA"/>
          </w:tcPr>
          <w:p>
            <w:pPr>
              <w:spacing w:after="0"/>
              <w:rPr>
                <w:sz w:val="18"/>
                <w:szCs w:val="18"/>
                <w:color w:val="auto"/>
              </w:rPr>
            </w:pPr>
          </w:p>
        </w:tc>
        <w:tc>
          <w:tcPr>
            <w:tcW w:w="10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4,908,333</w:t>
            </w:r>
          </w:p>
        </w:tc>
        <w:tc>
          <w:tcPr>
            <w:tcW w:w="120" w:type="dxa"/>
            <w:vAlign w:val="bottom"/>
            <w:shd w:val="clear" w:color="auto" w:fill="E8FFFA"/>
          </w:tcPr>
          <w:p>
            <w:pPr>
              <w:spacing w:after="0"/>
              <w:rPr>
                <w:sz w:val="18"/>
                <w:szCs w:val="18"/>
                <w:color w:val="auto"/>
              </w:rPr>
            </w:pPr>
          </w:p>
        </w:tc>
        <w:tc>
          <w:tcPr>
            <w:tcW w:w="12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89,956</w:t>
            </w:r>
          </w:p>
        </w:tc>
        <w:tc>
          <w:tcPr>
            <w:tcW w:w="100" w:type="dxa"/>
            <w:vAlign w:val="bottom"/>
            <w:shd w:val="clear" w:color="auto" w:fill="E8FFFA"/>
          </w:tcPr>
          <w:p>
            <w:pPr>
              <w:spacing w:after="0"/>
              <w:rPr>
                <w:sz w:val="18"/>
                <w:szCs w:val="18"/>
                <w:color w:val="auto"/>
              </w:rPr>
            </w:pPr>
          </w:p>
        </w:tc>
        <w:tc>
          <w:tcPr>
            <w:tcW w:w="10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228,668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20" w:type="dxa"/>
            <w:vAlign w:val="bottom"/>
            <w:gridSpan w:val="4"/>
            <w:shd w:val="clear" w:color="auto" w:fill="E8FFFA"/>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820" w:type="dxa"/>
            <w:vAlign w:val="bottom"/>
            <w:shd w:val="clear" w:color="auto" w:fill="E8FFFA"/>
          </w:tcPr>
          <w:p>
            <w:pPr>
              <w:spacing w:after="0"/>
              <w:rPr>
                <w:sz w:val="17"/>
                <w:szCs w:val="17"/>
                <w:color w:val="auto"/>
              </w:rPr>
            </w:pPr>
          </w:p>
        </w:tc>
        <w:tc>
          <w:tcPr>
            <w:tcW w:w="120" w:type="dxa"/>
            <w:vAlign w:val="bottom"/>
            <w:shd w:val="clear" w:color="auto" w:fill="E8FFFA"/>
          </w:tcPr>
          <w:p>
            <w:pPr>
              <w:spacing w:after="0"/>
              <w:rPr>
                <w:sz w:val="17"/>
                <w:szCs w:val="17"/>
                <w:color w:val="auto"/>
              </w:rPr>
            </w:pPr>
          </w:p>
        </w:tc>
        <w:tc>
          <w:tcPr>
            <w:tcW w:w="1080" w:type="dxa"/>
            <w:vAlign w:val="bottom"/>
            <w:shd w:val="clear" w:color="auto" w:fill="E8FFFA"/>
          </w:tcPr>
          <w:p>
            <w:pPr>
              <w:spacing w:after="0"/>
              <w:rPr>
                <w:sz w:val="17"/>
                <w:szCs w:val="17"/>
                <w:color w:val="auto"/>
              </w:rPr>
            </w:pPr>
          </w:p>
        </w:tc>
        <w:tc>
          <w:tcPr>
            <w:tcW w:w="120" w:type="dxa"/>
            <w:vAlign w:val="bottom"/>
            <w:shd w:val="clear" w:color="auto" w:fill="E8FFFA"/>
          </w:tcPr>
          <w:p>
            <w:pPr>
              <w:spacing w:after="0"/>
              <w:rPr>
                <w:sz w:val="17"/>
                <w:szCs w:val="17"/>
                <w:color w:val="auto"/>
              </w:rPr>
            </w:pPr>
          </w:p>
        </w:tc>
        <w:tc>
          <w:tcPr>
            <w:tcW w:w="1020" w:type="dxa"/>
            <w:vAlign w:val="bottom"/>
            <w:shd w:val="clear" w:color="auto" w:fill="E8FFFA"/>
          </w:tcPr>
          <w:p>
            <w:pPr>
              <w:spacing w:after="0"/>
              <w:rPr>
                <w:sz w:val="17"/>
                <w:szCs w:val="17"/>
                <w:color w:val="auto"/>
              </w:rPr>
            </w:pPr>
          </w:p>
        </w:tc>
        <w:tc>
          <w:tcPr>
            <w:tcW w:w="120" w:type="dxa"/>
            <w:vAlign w:val="bottom"/>
            <w:shd w:val="clear" w:color="auto" w:fill="E8FFFA"/>
          </w:tcPr>
          <w:p>
            <w:pPr>
              <w:spacing w:after="0"/>
              <w:rPr>
                <w:sz w:val="17"/>
                <w:szCs w:val="17"/>
                <w:color w:val="auto"/>
              </w:rPr>
            </w:pPr>
          </w:p>
        </w:tc>
        <w:tc>
          <w:tcPr>
            <w:tcW w:w="1220" w:type="dxa"/>
            <w:vAlign w:val="bottom"/>
            <w:shd w:val="clear" w:color="auto" w:fill="E8FFFA"/>
          </w:tcPr>
          <w:p>
            <w:pPr>
              <w:spacing w:after="0"/>
              <w:rPr>
                <w:sz w:val="17"/>
                <w:szCs w:val="17"/>
                <w:color w:val="auto"/>
              </w:rPr>
            </w:pPr>
          </w:p>
        </w:tc>
        <w:tc>
          <w:tcPr>
            <w:tcW w:w="100" w:type="dxa"/>
            <w:vAlign w:val="bottom"/>
            <w:shd w:val="clear" w:color="auto" w:fill="E8FFFA"/>
          </w:tcPr>
          <w:p>
            <w:pPr>
              <w:spacing w:after="0"/>
              <w:rPr>
                <w:sz w:val="17"/>
                <w:szCs w:val="17"/>
                <w:color w:val="auto"/>
              </w:rPr>
            </w:pPr>
          </w:p>
        </w:tc>
        <w:tc>
          <w:tcPr>
            <w:tcW w:w="1060" w:type="dxa"/>
            <w:vAlign w:val="bottom"/>
            <w:shd w:val="clear" w:color="auto" w:fill="E8FFF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of January 1, 2018</w:t>
            </w:r>
          </w:p>
        </w:tc>
        <w:tc>
          <w:tcPr>
            <w:tcW w:w="1260" w:type="dxa"/>
            <w:vAlign w:val="bottom"/>
            <w:tcBorders>
              <w:top w:val="single" w:sz="8" w:color="E8FFFA"/>
            </w:tcBorders>
          </w:tcPr>
          <w:p>
            <w:pPr>
              <w:spacing w:after="0"/>
              <w:rPr>
                <w:sz w:val="18"/>
                <w:szCs w:val="18"/>
                <w:color w:val="auto"/>
              </w:rPr>
            </w:pPr>
          </w:p>
        </w:tc>
        <w:tc>
          <w:tcPr>
            <w:tcW w:w="820" w:type="dxa"/>
            <w:vAlign w:val="bottom"/>
            <w:tcBorders>
              <w:top w:val="single" w:sz="8" w:color="E8FFFA"/>
            </w:tcBorders>
          </w:tcPr>
          <w:p>
            <w:pPr>
              <w:jc w:val="right"/>
              <w:spacing w:after="0"/>
              <w:rPr>
                <w:sz w:val="20"/>
                <w:szCs w:val="20"/>
                <w:color w:val="auto"/>
              </w:rPr>
            </w:pPr>
            <w:r>
              <w:rPr>
                <w:rFonts w:ascii="Arial" w:cs="Arial" w:eastAsia="Arial" w:hAnsi="Arial"/>
                <w:sz w:val="18"/>
                <w:szCs w:val="18"/>
                <w:color w:val="auto"/>
              </w:rPr>
              <w:t>460,815</w:t>
            </w:r>
          </w:p>
        </w:tc>
        <w:tc>
          <w:tcPr>
            <w:tcW w:w="120" w:type="dxa"/>
            <w:vAlign w:val="bottom"/>
            <w:tcBorders>
              <w:top w:val="single" w:sz="8" w:color="E8FFFA"/>
            </w:tcBorders>
          </w:tcPr>
          <w:p>
            <w:pPr>
              <w:spacing w:after="0"/>
              <w:rPr>
                <w:sz w:val="18"/>
                <w:szCs w:val="18"/>
                <w:color w:val="auto"/>
              </w:rPr>
            </w:pPr>
          </w:p>
        </w:tc>
        <w:tc>
          <w:tcPr>
            <w:tcW w:w="1080" w:type="dxa"/>
            <w:vAlign w:val="bottom"/>
            <w:tcBorders>
              <w:top w:val="single" w:sz="8" w:color="E8FFFA"/>
            </w:tcBorders>
          </w:tcPr>
          <w:p>
            <w:pPr>
              <w:jc w:val="right"/>
              <w:spacing w:after="0"/>
              <w:rPr>
                <w:sz w:val="20"/>
                <w:szCs w:val="20"/>
                <w:color w:val="auto"/>
              </w:rPr>
            </w:pPr>
            <w:r>
              <w:rPr>
                <w:rFonts w:ascii="Arial" w:cs="Arial" w:eastAsia="Arial" w:hAnsi="Arial"/>
                <w:sz w:val="18"/>
                <w:szCs w:val="18"/>
                <w:color w:val="auto"/>
              </w:rPr>
              <w:t>3,709</w:t>
            </w:r>
          </w:p>
        </w:tc>
        <w:tc>
          <w:tcPr>
            <w:tcW w:w="1140" w:type="dxa"/>
            <w:vAlign w:val="bottom"/>
            <w:tcBorders>
              <w:top w:val="single" w:sz="8" w:color="E8FFFA"/>
            </w:tcBorders>
            <w:gridSpan w:val="2"/>
          </w:tcPr>
          <w:p>
            <w:pPr>
              <w:jc w:val="right"/>
              <w:spacing w:after="0"/>
              <w:rPr>
                <w:sz w:val="20"/>
                <w:szCs w:val="20"/>
                <w:color w:val="auto"/>
              </w:rPr>
            </w:pPr>
            <w:r>
              <w:rPr>
                <w:rFonts w:ascii="Arial" w:cs="Arial" w:eastAsia="Arial" w:hAnsi="Arial"/>
                <w:sz w:val="18"/>
                <w:szCs w:val="18"/>
                <w:color w:val="auto"/>
              </w:rPr>
              <w:t>464,524</w:t>
            </w:r>
          </w:p>
        </w:tc>
        <w:tc>
          <w:tcPr>
            <w:tcW w:w="120" w:type="dxa"/>
            <w:vAlign w:val="bottom"/>
            <w:tcBorders>
              <w:top w:val="single" w:sz="8" w:color="E8FFFA"/>
            </w:tcBorders>
          </w:tcPr>
          <w:p>
            <w:pPr>
              <w:spacing w:after="0"/>
              <w:rPr>
                <w:sz w:val="18"/>
                <w:szCs w:val="18"/>
                <w:color w:val="auto"/>
              </w:rPr>
            </w:pPr>
          </w:p>
        </w:tc>
        <w:tc>
          <w:tcPr>
            <w:tcW w:w="1320" w:type="dxa"/>
            <w:vAlign w:val="bottom"/>
            <w:tcBorders>
              <w:top w:val="single" w:sz="8" w:color="E8FFFA"/>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E8FFFA"/>
            </w:tcBorders>
          </w:tcPr>
          <w:p>
            <w:pPr>
              <w:jc w:val="right"/>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E8FFFA"/>
          </w:tcPr>
          <w:p>
            <w:pPr>
              <w:spacing w:after="0"/>
              <w:rPr>
                <w:sz w:val="20"/>
                <w:szCs w:val="20"/>
                <w:color w:val="auto"/>
              </w:rPr>
            </w:pPr>
            <w:r>
              <w:rPr>
                <w:rFonts w:ascii="Arial" w:cs="Arial" w:eastAsia="Arial" w:hAnsi="Arial"/>
                <w:sz w:val="18"/>
                <w:szCs w:val="18"/>
                <w:color w:val="auto"/>
              </w:rPr>
              <w:t>Depreciation expense</w:t>
            </w:r>
          </w:p>
        </w:tc>
        <w:tc>
          <w:tcPr>
            <w:tcW w:w="8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70,104</w:t>
            </w:r>
          </w:p>
        </w:tc>
        <w:tc>
          <w:tcPr>
            <w:tcW w:w="12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410</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70,514</w:t>
            </w:r>
          </w:p>
        </w:tc>
        <w:tc>
          <w:tcPr>
            <w:tcW w:w="120" w:type="dxa"/>
            <w:vAlign w:val="bottom"/>
            <w:shd w:val="clear" w:color="auto" w:fill="E8FFFA"/>
          </w:tcPr>
          <w:p>
            <w:pPr>
              <w:spacing w:after="0"/>
              <w:rPr>
                <w:sz w:val="18"/>
                <w:szCs w:val="18"/>
                <w:color w:val="auto"/>
              </w:rPr>
            </w:pP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Fully amortized fixed assets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4"/>
            <w:shd w:val="clear" w:color="auto" w:fill="E8FFFA"/>
          </w:tcPr>
          <w:p>
            <w:pPr>
              <w:spacing w:after="0"/>
              <w:rPr>
                <w:sz w:val="20"/>
                <w:szCs w:val="20"/>
                <w:color w:val="auto"/>
              </w:rPr>
            </w:pPr>
            <w:r>
              <w:rPr>
                <w:rFonts w:ascii="Arial" w:cs="Arial" w:eastAsia="Arial" w:hAnsi="Arial"/>
                <w:sz w:val="18"/>
                <w:szCs w:val="18"/>
                <w:b w:val="1"/>
                <w:bCs w:val="1"/>
                <w:color w:val="auto"/>
              </w:rPr>
              <w:t>As of June 30, 2018</w:t>
            </w:r>
          </w:p>
        </w:tc>
        <w:tc>
          <w:tcPr>
            <w:tcW w:w="8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525,919</w:t>
            </w:r>
          </w:p>
        </w:tc>
        <w:tc>
          <w:tcPr>
            <w:tcW w:w="12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4,119</w:t>
            </w:r>
          </w:p>
        </w:tc>
        <w:tc>
          <w:tcPr>
            <w:tcW w:w="120" w:type="dxa"/>
            <w:vAlign w:val="bottom"/>
            <w:shd w:val="clear" w:color="auto" w:fill="E8FFFA"/>
          </w:tcPr>
          <w:p>
            <w:pPr>
              <w:spacing w:after="0"/>
              <w:rPr>
                <w:sz w:val="18"/>
                <w:szCs w:val="18"/>
                <w:color w:val="auto"/>
              </w:rPr>
            </w:pPr>
          </w:p>
        </w:tc>
        <w:tc>
          <w:tcPr>
            <w:tcW w:w="10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530,038</w:t>
            </w:r>
          </w:p>
        </w:tc>
        <w:tc>
          <w:tcPr>
            <w:tcW w:w="120" w:type="dxa"/>
            <w:vAlign w:val="bottom"/>
            <w:shd w:val="clear" w:color="auto" w:fill="E8FFFA"/>
          </w:tcPr>
          <w:p>
            <w:pPr>
              <w:spacing w:after="0"/>
              <w:rPr>
                <w:sz w:val="18"/>
                <w:szCs w:val="18"/>
                <w:color w:val="auto"/>
              </w:rPr>
            </w:pPr>
          </w:p>
        </w:tc>
        <w:tc>
          <w:tcPr>
            <w:tcW w:w="12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E8FFFA"/>
          </w:tcPr>
          <w:p>
            <w:pPr>
              <w:spacing w:after="0"/>
              <w:rPr>
                <w:sz w:val="18"/>
                <w:szCs w:val="18"/>
                <w:color w:val="auto"/>
              </w:rPr>
            </w:pPr>
          </w:p>
        </w:tc>
        <w:tc>
          <w:tcPr>
            <w:tcW w:w="10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E8FFFA"/>
          </w:tcPr>
          <w:p>
            <w:pPr>
              <w:spacing w:after="0" w:line="176" w:lineRule="exact"/>
              <w:rPr>
                <w:sz w:val="20"/>
                <w:szCs w:val="20"/>
                <w:color w:val="auto"/>
              </w:rPr>
            </w:pPr>
            <w:r>
              <w:rPr>
                <w:rFonts w:ascii="Arial" w:cs="Arial" w:eastAsia="Arial" w:hAnsi="Arial"/>
                <w:sz w:val="18"/>
                <w:szCs w:val="18"/>
                <w:b w:val="1"/>
                <w:bCs w:val="1"/>
                <w:color w:val="auto"/>
                <w:w w:val="85"/>
              </w:rPr>
              <w:t>Net book value</w:t>
            </w:r>
          </w:p>
        </w:tc>
        <w:tc>
          <w:tcPr>
            <w:tcW w:w="2100" w:type="dxa"/>
            <w:vAlign w:val="bottom"/>
            <w:tcBorders>
              <w:bottom w:val="single" w:sz="8" w:color="E8FFFA"/>
            </w:tcBorders>
            <w:gridSpan w:val="2"/>
            <w:shd w:val="clear" w:color="auto" w:fill="E8FFFA"/>
          </w:tcPr>
          <w:p>
            <w:pPr>
              <w:spacing w:after="0"/>
              <w:rPr>
                <w:sz w:val="17"/>
                <w:szCs w:val="17"/>
                <w:color w:val="auto"/>
              </w:rPr>
            </w:pPr>
          </w:p>
        </w:tc>
        <w:tc>
          <w:tcPr>
            <w:tcW w:w="820" w:type="dxa"/>
            <w:vAlign w:val="bottom"/>
            <w:tcBorders>
              <w:bottom w:val="single" w:sz="8" w:color="E8FFFA"/>
            </w:tcBorders>
            <w:shd w:val="clear" w:color="auto" w:fill="E8FFFA"/>
          </w:tcPr>
          <w:p>
            <w:pPr>
              <w:spacing w:after="0"/>
              <w:rPr>
                <w:sz w:val="17"/>
                <w:szCs w:val="17"/>
                <w:color w:val="auto"/>
              </w:rPr>
            </w:pPr>
          </w:p>
        </w:tc>
        <w:tc>
          <w:tcPr>
            <w:tcW w:w="120" w:type="dxa"/>
            <w:vAlign w:val="bottom"/>
            <w:tcBorders>
              <w:bottom w:val="single" w:sz="8" w:color="E8FFFA"/>
            </w:tcBorders>
            <w:shd w:val="clear" w:color="auto" w:fill="E8FFFA"/>
          </w:tcPr>
          <w:p>
            <w:pPr>
              <w:spacing w:after="0"/>
              <w:rPr>
                <w:sz w:val="17"/>
                <w:szCs w:val="17"/>
                <w:color w:val="auto"/>
              </w:rPr>
            </w:pPr>
          </w:p>
        </w:tc>
        <w:tc>
          <w:tcPr>
            <w:tcW w:w="1080" w:type="dxa"/>
            <w:vAlign w:val="bottom"/>
            <w:tcBorders>
              <w:bottom w:val="single" w:sz="8" w:color="E8FFFA"/>
            </w:tcBorders>
            <w:shd w:val="clear" w:color="auto" w:fill="E8FFFA"/>
          </w:tcPr>
          <w:p>
            <w:pPr>
              <w:spacing w:after="0"/>
              <w:rPr>
                <w:sz w:val="17"/>
                <w:szCs w:val="17"/>
                <w:color w:val="auto"/>
              </w:rPr>
            </w:pPr>
          </w:p>
        </w:tc>
        <w:tc>
          <w:tcPr>
            <w:tcW w:w="120" w:type="dxa"/>
            <w:vAlign w:val="bottom"/>
            <w:tcBorders>
              <w:bottom w:val="single" w:sz="8" w:color="E8FFFA"/>
            </w:tcBorders>
            <w:shd w:val="clear" w:color="auto" w:fill="E8FFFA"/>
          </w:tcPr>
          <w:p>
            <w:pPr>
              <w:spacing w:after="0"/>
              <w:rPr>
                <w:sz w:val="17"/>
                <w:szCs w:val="17"/>
                <w:color w:val="auto"/>
              </w:rPr>
            </w:pPr>
          </w:p>
        </w:tc>
        <w:tc>
          <w:tcPr>
            <w:tcW w:w="1020" w:type="dxa"/>
            <w:vAlign w:val="bottom"/>
            <w:tcBorders>
              <w:bottom w:val="single" w:sz="8" w:color="E8FFFA"/>
            </w:tcBorders>
            <w:shd w:val="clear" w:color="auto" w:fill="E8FFFA"/>
          </w:tcPr>
          <w:p>
            <w:pPr>
              <w:spacing w:after="0"/>
              <w:rPr>
                <w:sz w:val="17"/>
                <w:szCs w:val="17"/>
                <w:color w:val="auto"/>
              </w:rPr>
            </w:pPr>
          </w:p>
        </w:tc>
        <w:tc>
          <w:tcPr>
            <w:tcW w:w="120" w:type="dxa"/>
            <w:vAlign w:val="bottom"/>
            <w:tcBorders>
              <w:bottom w:val="single" w:sz="8" w:color="E8FFFA"/>
            </w:tcBorders>
            <w:shd w:val="clear" w:color="auto" w:fill="E8FFFA"/>
          </w:tcPr>
          <w:p>
            <w:pPr>
              <w:spacing w:after="0"/>
              <w:rPr>
                <w:sz w:val="17"/>
                <w:szCs w:val="17"/>
                <w:color w:val="auto"/>
              </w:rPr>
            </w:pPr>
          </w:p>
        </w:tc>
        <w:tc>
          <w:tcPr>
            <w:tcW w:w="1220" w:type="dxa"/>
            <w:vAlign w:val="bottom"/>
            <w:tcBorders>
              <w:bottom w:val="single" w:sz="8" w:color="E8FFFA"/>
            </w:tcBorders>
            <w:shd w:val="clear" w:color="auto" w:fill="E8FFFA"/>
          </w:tcPr>
          <w:p>
            <w:pPr>
              <w:spacing w:after="0"/>
              <w:rPr>
                <w:sz w:val="17"/>
                <w:szCs w:val="17"/>
                <w:color w:val="auto"/>
              </w:rPr>
            </w:pPr>
          </w:p>
        </w:tc>
        <w:tc>
          <w:tcPr>
            <w:tcW w:w="100" w:type="dxa"/>
            <w:vAlign w:val="bottom"/>
            <w:tcBorders>
              <w:bottom w:val="single" w:sz="8" w:color="E8FFFA"/>
            </w:tcBorders>
            <w:shd w:val="clear" w:color="auto" w:fill="E8FFFA"/>
          </w:tcPr>
          <w:p>
            <w:pPr>
              <w:spacing w:after="0"/>
              <w:rPr>
                <w:sz w:val="17"/>
                <w:szCs w:val="17"/>
                <w:color w:val="auto"/>
              </w:rPr>
            </w:pPr>
          </w:p>
        </w:tc>
        <w:tc>
          <w:tcPr>
            <w:tcW w:w="1060" w:type="dxa"/>
            <w:vAlign w:val="bottom"/>
            <w:tcBorders>
              <w:bottom w:val="single" w:sz="8" w:color="E8FFFA"/>
            </w:tcBorders>
            <w:shd w:val="clear" w:color="auto" w:fill="E8FFF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3,757,051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15,515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3,772,566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166,655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214,329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4"/>
            <w:shd w:val="clear" w:color="auto" w:fill="E8FFFA"/>
          </w:tcPr>
          <w:p>
            <w:pPr>
              <w:spacing w:after="0"/>
              <w:rPr>
                <w:sz w:val="20"/>
                <w:szCs w:val="20"/>
                <w:color w:val="auto"/>
              </w:rPr>
            </w:pPr>
            <w:r>
              <w:rPr>
                <w:rFonts w:ascii="Arial" w:cs="Arial" w:eastAsia="Arial" w:hAnsi="Arial"/>
                <w:sz w:val="18"/>
                <w:szCs w:val="18"/>
                <w:b w:val="1"/>
                <w:bCs w:val="1"/>
                <w:color w:val="auto"/>
              </w:rPr>
              <w:t>As of June 30, 2018</w:t>
            </w:r>
          </w:p>
        </w:tc>
        <w:tc>
          <w:tcPr>
            <w:tcW w:w="8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w w:val="99"/>
              </w:rPr>
              <w:t>4,359,432</w:t>
            </w:r>
          </w:p>
        </w:tc>
        <w:tc>
          <w:tcPr>
            <w:tcW w:w="12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18,863</w:t>
            </w:r>
          </w:p>
        </w:tc>
        <w:tc>
          <w:tcPr>
            <w:tcW w:w="120" w:type="dxa"/>
            <w:vAlign w:val="bottom"/>
            <w:shd w:val="clear" w:color="auto" w:fill="E8FFFA"/>
          </w:tcPr>
          <w:p>
            <w:pPr>
              <w:spacing w:after="0"/>
              <w:rPr>
                <w:sz w:val="18"/>
                <w:szCs w:val="18"/>
                <w:color w:val="auto"/>
              </w:rPr>
            </w:pPr>
          </w:p>
        </w:tc>
        <w:tc>
          <w:tcPr>
            <w:tcW w:w="10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4,378,295</w:t>
            </w:r>
          </w:p>
        </w:tc>
        <w:tc>
          <w:tcPr>
            <w:tcW w:w="120" w:type="dxa"/>
            <w:vAlign w:val="bottom"/>
            <w:shd w:val="clear" w:color="auto" w:fill="E8FFFA"/>
          </w:tcPr>
          <w:p>
            <w:pPr>
              <w:spacing w:after="0"/>
              <w:rPr>
                <w:sz w:val="18"/>
                <w:szCs w:val="18"/>
                <w:color w:val="auto"/>
              </w:rPr>
            </w:pPr>
          </w:p>
        </w:tc>
        <w:tc>
          <w:tcPr>
            <w:tcW w:w="12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89,956</w:t>
            </w:r>
          </w:p>
        </w:tc>
        <w:tc>
          <w:tcPr>
            <w:tcW w:w="100" w:type="dxa"/>
            <w:vAlign w:val="bottom"/>
            <w:shd w:val="clear" w:color="auto" w:fill="E8FFFA"/>
          </w:tcPr>
          <w:p>
            <w:pPr>
              <w:spacing w:after="0"/>
              <w:rPr>
                <w:sz w:val="18"/>
                <w:szCs w:val="18"/>
                <w:color w:val="auto"/>
              </w:rPr>
            </w:pPr>
          </w:p>
        </w:tc>
        <w:tc>
          <w:tcPr>
            <w:tcW w:w="10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210,646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Vessels with an aggregate carrying amount of $4,359,432 as of June 30, 2018 (December 31, 2017: $3,757,051) have been pledged as collateral under the terms of the Group's loan agreements.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May 2014, GAS-twenty two Ltd. entered into a shipbuilding contract with Samsung for the construction of an LNG carrier (174,000 cubic meters). The vessel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was delivered on March 29, 2018.</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In June 2014, GAS-twenty four Ltd. and GAS-twenty five Ltd. entered into shipbuilding contracts with Hyundai Heavy Industries Co., Ltd. ("Hyundai") for the construction of two LNG carriers (174,000 cubic meters each). The first vessel,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on January 8, 2018, while the second vessel, the </w:t>
      </w:r>
      <w:r>
        <w:rPr>
          <w:rFonts w:ascii="Arial" w:cs="Arial" w:eastAsia="Arial" w:hAnsi="Arial"/>
          <w:sz w:val="18"/>
          <w:szCs w:val="18"/>
          <w:i w:val="1"/>
          <w:iCs w:val="1"/>
          <w:color w:val="auto"/>
        </w:rPr>
        <w:t>GasLog Hong Kong</w:t>
      </w:r>
      <w:r>
        <w:rPr>
          <w:rFonts w:ascii="Arial" w:cs="Arial" w:eastAsia="Arial" w:hAnsi="Arial"/>
          <w:sz w:val="18"/>
          <w:szCs w:val="18"/>
          <w:color w:val="auto"/>
        </w:rPr>
        <w:t>, was delivered on March 20,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May 2014, GAS-twenty three Ltd. entered into a shipbuilding contract with Samsung for the construction of an LNG carrier (174,000 cubic meters). The vessel is expected to be delivered in the first quarter of 2019.</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September 2016, GAS-twenty nine Ltd. entered into a shipbuilding contract with Samsung for the construction of one LNG carrier (180,000 cubic meters). The vessel is expected to be delivered in the third quarter of 2019.</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March 21, 2017, GasLog entered into a Heads of Agreement ("HOA") with Samsung for the engineering in relation to the potential FSRU conversion of an existing vessel of the Group. As of June 30, 2018, $3,400 of the cost was paid, in accordance with the payment terms.</w:t>
      </w:r>
    </w:p>
    <w:p>
      <w:pPr>
        <w:spacing w:after="0" w:line="186"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On July 10, 2017, GasLog entered into an agreement with Keppel Shipyard Limited ("Keppel") for the detailed engineering in relation to an FSRU conversion of one vessel. As of June 30, 2018, $4,265 of the cost was paid, in accordance with the payment terms.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7" w:name="page48"/>
    <w:bookmarkEnd w:id="47"/>
    <w:p>
      <w:pPr>
        <w:ind w:left="360"/>
        <w:spacing w:after="0"/>
        <w:rPr>
          <w:sz w:val="20"/>
          <w:szCs w:val="20"/>
          <w:color w:val="auto"/>
        </w:rPr>
      </w:pPr>
      <w:r>
        <w:rPr>
          <w:rFonts w:ascii="Arial" w:cs="Arial" w:eastAsia="Arial" w:hAnsi="Arial"/>
          <w:sz w:val="16"/>
          <w:szCs w:val="16"/>
          <w:color w:val="auto"/>
        </w:rPr>
        <w:t>In January 2018, GAS-twenty eight Ltd. entered into a shipbuilding contract with Samsung for the construction of one LNG carrier (180,000 cubic meters).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vessel is expected to be delivered in the second quarter of 2020.</w:t>
      </w:r>
    </w:p>
    <w:p>
      <w:pPr>
        <w:spacing w:after="0" w:line="21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March 2018, GAS-thirty one Ltd. entered into a shipbuilding contract with Samsung for the construction of one LNG carrier (180,000 cubic meters). The vessel is expected to be delivered in the second quarter of 2020.</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May 2018, GAS-thirty Ltd. entered into a shipbuilding contract with Samsung for the construction of one LNG carrier (180,000 cubic meters). The vessel is expected to be delivered in the third quarter of 2020.</w:t>
      </w:r>
    </w:p>
    <w:p>
      <w:pPr>
        <w:spacing w:after="0" w:line="186"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June 30, 2018, the Group has paid to the shipyard $85,000 for the vessels that are under construction and expects to pay the remaining installments as they come due upon each vessel's keel laying, launching and delivery (Note 13).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vessels under construction costs as of December 31, 2017 and June 30, 2018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December 31, 2017</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color w:val="auto"/>
              </w:rPr>
              <w:t>Progress shipyard installments</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153,116</w:t>
            </w:r>
          </w:p>
        </w:tc>
        <w:tc>
          <w:tcPr>
            <w:tcW w:w="220" w:type="dxa"/>
            <w:vAlign w:val="bottom"/>
            <w:shd w:val="clear" w:color="auto" w:fill="E8FFFA"/>
          </w:tcPr>
          <w:p>
            <w:pPr>
              <w:spacing w:after="0"/>
              <w:rPr>
                <w:sz w:val="18"/>
                <w:szCs w:val="18"/>
                <w:color w:val="auto"/>
              </w:rPr>
            </w:pPr>
          </w:p>
        </w:tc>
        <w:tc>
          <w:tcPr>
            <w:tcW w:w="13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85,023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10,570</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2,969</w:t>
            </w:r>
          </w:p>
        </w:tc>
        <w:tc>
          <w:tcPr>
            <w:tcW w:w="220" w:type="dxa"/>
            <w:vAlign w:val="bottom"/>
            <w:shd w:val="clear" w:color="auto" w:fill="E8FFFA"/>
          </w:tcPr>
          <w:p>
            <w:pPr>
              <w:spacing w:after="0"/>
              <w:rPr>
                <w:sz w:val="18"/>
                <w:szCs w:val="18"/>
                <w:color w:val="auto"/>
              </w:rPr>
            </w:pPr>
          </w:p>
        </w:tc>
        <w:tc>
          <w:tcPr>
            <w:tcW w:w="13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166,655</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Sale and Leaseback</w:t>
            </w: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ind w:left="340"/>
              <w:spacing w:after="0"/>
              <w:rPr>
                <w:sz w:val="20"/>
                <w:szCs w:val="20"/>
                <w:color w:val="auto"/>
              </w:rPr>
            </w:pPr>
            <w:r>
              <w:rPr>
                <w:rFonts w:ascii="Arial" w:cs="Arial" w:eastAsia="Arial" w:hAnsi="Arial"/>
                <w:sz w:val="18"/>
                <w:szCs w:val="18"/>
                <w:color w:val="auto"/>
              </w:rPr>
              <w:t>An analysis of the finance lease liabilities is as follows: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December 31, 2017</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color w:val="auto"/>
              </w:rPr>
              <w:t>Finance lease liability, current portion</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6,302</w:t>
            </w:r>
          </w:p>
        </w:tc>
        <w:tc>
          <w:tcPr>
            <w:tcW w:w="220" w:type="dxa"/>
            <w:vAlign w:val="bottom"/>
            <w:shd w:val="clear" w:color="auto" w:fill="E8FFFA"/>
          </w:tcPr>
          <w:p>
            <w:pPr>
              <w:spacing w:after="0"/>
              <w:rPr>
                <w:sz w:val="18"/>
                <w:szCs w:val="18"/>
                <w:color w:val="auto"/>
              </w:rPr>
            </w:pPr>
          </w:p>
        </w:tc>
        <w:tc>
          <w:tcPr>
            <w:tcW w:w="13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207,126</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213,428</w:t>
            </w:r>
          </w:p>
        </w:tc>
        <w:tc>
          <w:tcPr>
            <w:tcW w:w="220" w:type="dxa"/>
            <w:vAlign w:val="bottom"/>
            <w:shd w:val="clear" w:color="auto" w:fill="E8FFFA"/>
          </w:tcPr>
          <w:p>
            <w:pPr>
              <w:spacing w:after="0"/>
              <w:rPr>
                <w:sz w:val="18"/>
                <w:szCs w:val="18"/>
                <w:color w:val="auto"/>
              </w:rPr>
            </w:pPr>
          </w:p>
        </w:tc>
        <w:tc>
          <w:tcPr>
            <w:tcW w:w="13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209,840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Borrowings</w:t>
            </w: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ind w:left="340"/>
              <w:spacing w:after="0"/>
              <w:rPr>
                <w:sz w:val="20"/>
                <w:szCs w:val="20"/>
                <w:color w:val="auto"/>
              </w:rPr>
            </w:pPr>
            <w:r>
              <w:rPr>
                <w:rFonts w:ascii="Arial" w:cs="Arial" w:eastAsia="Arial" w:hAnsi="Arial"/>
                <w:sz w:val="18"/>
                <w:szCs w:val="18"/>
                <w:color w:val="auto"/>
              </w:rPr>
              <w:t>An analysis of the borrowings is as follows: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December 31, 2017</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color w:val="auto"/>
              </w:rPr>
              <w:t>Amounts due within one year</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188,167</w:t>
            </w:r>
          </w:p>
        </w:tc>
        <w:tc>
          <w:tcPr>
            <w:tcW w:w="220" w:type="dxa"/>
            <w:vAlign w:val="bottom"/>
            <w:shd w:val="clear" w:color="auto" w:fill="E8FFFA"/>
          </w:tcPr>
          <w:p>
            <w:pPr>
              <w:spacing w:after="0"/>
              <w:rPr>
                <w:sz w:val="18"/>
                <w:szCs w:val="18"/>
                <w:color w:val="auto"/>
              </w:rPr>
            </w:pPr>
          </w:p>
        </w:tc>
        <w:tc>
          <w:tcPr>
            <w:tcW w:w="13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193,709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unamortized deferred loan/bond issuance costs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(8,800)</w:t>
            </w:r>
          </w:p>
        </w:tc>
        <w:tc>
          <w:tcPr>
            <w:tcW w:w="1360" w:type="dxa"/>
            <w:vAlign w:val="bottom"/>
          </w:tcPr>
          <w:p>
            <w:pPr>
              <w:jc w:val="right"/>
              <w:spacing w:after="0"/>
              <w:rPr>
                <w:sz w:val="20"/>
                <w:szCs w:val="20"/>
                <w:color w:val="auto"/>
              </w:rPr>
            </w:pPr>
            <w:r>
              <w:rPr>
                <w:rFonts w:ascii="Arial" w:cs="Arial" w:eastAsia="Arial" w:hAnsi="Arial"/>
                <w:sz w:val="18"/>
                <w:szCs w:val="18"/>
                <w:color w:val="auto"/>
              </w:rPr>
              <w:t>(11,153)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Borrowings, current portion</w:t>
            </w: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179,367</w:t>
            </w:r>
          </w:p>
        </w:tc>
        <w:tc>
          <w:tcPr>
            <w:tcW w:w="220" w:type="dxa"/>
            <w:vAlign w:val="bottom"/>
            <w:shd w:val="clear" w:color="auto" w:fill="E8FFFA"/>
          </w:tcPr>
          <w:p>
            <w:pPr>
              <w:spacing w:after="0"/>
              <w:rPr>
                <w:sz w:val="18"/>
                <w:szCs w:val="18"/>
                <w:color w:val="auto"/>
              </w:rPr>
            </w:pPr>
          </w:p>
        </w:tc>
        <w:tc>
          <w:tcPr>
            <w:tcW w:w="13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182,556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ind w:left="1140"/>
              <w:spacing w:after="0"/>
              <w:rPr>
                <w:sz w:val="20"/>
                <w:szCs w:val="20"/>
                <w:color w:val="auto"/>
              </w:rPr>
            </w:pPr>
            <w:r>
              <w:rPr>
                <w:rFonts w:ascii="Arial" w:cs="Arial" w:eastAsia="Arial" w:hAnsi="Arial"/>
                <w:sz w:val="18"/>
                <w:szCs w:val="18"/>
                <w:color w:val="auto"/>
              </w:rPr>
              <w:t>Amounts due after one year</w:t>
            </w:r>
          </w:p>
        </w:tc>
        <w:tc>
          <w:tcPr>
            <w:tcW w:w="1580" w:type="dxa"/>
            <w:vAlign w:val="bottom"/>
          </w:tcPr>
          <w:p>
            <w:pPr>
              <w:jc w:val="right"/>
              <w:spacing w:after="0"/>
              <w:rPr>
                <w:sz w:val="20"/>
                <w:szCs w:val="20"/>
                <w:color w:val="auto"/>
              </w:rPr>
            </w:pPr>
            <w:r>
              <w:rPr>
                <w:rFonts w:ascii="Arial" w:cs="Arial" w:eastAsia="Arial" w:hAnsi="Arial"/>
                <w:sz w:val="18"/>
                <w:szCs w:val="18"/>
                <w:color w:val="auto"/>
              </w:rPr>
              <w:t>2,399,849</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2,784,651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color w:val="auto"/>
              </w:rPr>
              <w:t>Less: unamortized deferred loan/bond issuance costs</w:t>
            </w:r>
          </w:p>
        </w:tc>
        <w:tc>
          <w:tcPr>
            <w:tcW w:w="180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(31,660)</w:t>
            </w:r>
          </w:p>
        </w:tc>
        <w:tc>
          <w:tcPr>
            <w:tcW w:w="13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(42,396)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Borrowings, non-current portion</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2,368,189</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2,547,556</w:t>
            </w:r>
          </w:p>
        </w:tc>
        <w:tc>
          <w:tcPr>
            <w:tcW w:w="220" w:type="dxa"/>
            <w:vAlign w:val="bottom"/>
            <w:shd w:val="clear" w:color="auto" w:fill="E8FFFA"/>
          </w:tcPr>
          <w:p>
            <w:pPr>
              <w:spacing w:after="0"/>
              <w:rPr>
                <w:sz w:val="18"/>
                <w:szCs w:val="18"/>
                <w:color w:val="auto"/>
              </w:rPr>
            </w:pPr>
          </w:p>
        </w:tc>
        <w:tc>
          <w:tcPr>
            <w:tcW w:w="13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2,924,811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main terms of the Group's loan facilities in existence as of December 31, 2017 have been disclosed in Note 13 "Borrowings" of the annual audited consolidated financial statements for the year ended December 31, 2017. During the six months ended June 30, 2018, the Group, through GasLog Partners, prepaid in full the $29,750 of the outstanding debt of GAS-nineteen Ltd., GAS-twenty Ltd. and GAS-twenty one Ltd., which would have been originally due in April 2018.</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ind w:right="300" w:firstLine="348"/>
        <w:spacing w:after="0" w:line="268" w:lineRule="auto"/>
        <w:rPr>
          <w:sz w:val="20"/>
          <w:szCs w:val="20"/>
          <w:color w:val="auto"/>
        </w:rPr>
      </w:pPr>
      <w:r>
        <w:rPr>
          <w:rFonts w:ascii="Arial" w:cs="Arial" w:eastAsia="Arial" w:hAnsi="Arial"/>
          <w:sz w:val="18"/>
          <w:szCs w:val="18"/>
          <w:color w:val="auto"/>
        </w:rPr>
        <w:t>The carrying amount of the Group's bank debt recognized in the unaudited condensed consolidated financial statements approximates its fair value after adjusting for the unamortized loan/bond issuance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main terms of the Group's senior unsecured NOK bonds maturing in 2021 (the "NOK 2021 Bonds") have been disclosed in the annual audited consolidated financial statements for the year ended December 31, 2017. Refer to Note 13 "Borrowings".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carrying amount under the NOK 2021 Bonds, net of unamortized financing costs, as of June 30, 2018 is $90,964 (December 31, 2017: $89,723, aggregate carrying amount under the NOK 2021 Bonds) while their aggregate fair value is $97,832 based on a USD/NOK exchange rate of 0.1228 as of June 30, 2018 (December 31, 2017: $97,416, based on a USD/NOK exchange rate of 0.1213).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was in compliance with its financial covenants as of June 30,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Group has the following balances with related parties which have been included in the unaudited condensed consolidated statements of financial position: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2017</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Dividends receivable from associate</w:t>
            </w: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Due from The Cool Pool Limited</w:t>
            </w:r>
          </w:p>
        </w:tc>
        <w:tc>
          <w:tcPr>
            <w:tcW w:w="1160" w:type="dxa"/>
            <w:vAlign w:val="bottom"/>
          </w:tcPr>
          <w:p>
            <w:pPr>
              <w:jc w:val="right"/>
              <w:spacing w:after="0"/>
              <w:rPr>
                <w:sz w:val="20"/>
                <w:szCs w:val="20"/>
                <w:color w:val="auto"/>
              </w:rPr>
            </w:pPr>
            <w:r>
              <w:rPr>
                <w:rFonts w:ascii="Arial" w:cs="Arial" w:eastAsia="Arial" w:hAnsi="Arial"/>
                <w:sz w:val="18"/>
                <w:szCs w:val="18"/>
                <w:color w:val="auto"/>
              </w:rPr>
              <w:t>8,186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Other receivables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355</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2017</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Ship management creditors</w:t>
            </w: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Ship management creditors' liability is comprised of cash collected from Egypt LNG Shipping Ltd. to cover the obligations of its vessel under the Group's management.</w:t>
      </w:r>
    </w:p>
    <w:p>
      <w:pPr>
        <w:spacing w:after="0" w:line="186"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Amounts due to related parties of $72 as of June 30, 2018 (December 31, 2017: $35) are expenses paid by a related party on behalf of the Group and payables to other related parties for the office lease and other operating expenses.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9. Revenues from Contracts with Customers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2"/>
        </w:trPr>
        <w:tc>
          <w:tcPr>
            <w:tcW w:w="5980" w:type="dxa"/>
            <w:vAlign w:val="bottom"/>
            <w:gridSpan w:val="3"/>
          </w:tcPr>
          <w:p>
            <w:pPr>
              <w:jc w:val="right"/>
              <w:ind w:right="572"/>
              <w:spacing w:after="0"/>
              <w:rPr>
                <w:sz w:val="20"/>
                <w:szCs w:val="20"/>
                <w:color w:val="auto"/>
              </w:rPr>
            </w:pPr>
            <w:r>
              <w:rPr>
                <w:rFonts w:ascii="Arial" w:cs="Arial" w:eastAsia="Arial" w:hAnsi="Arial"/>
                <w:sz w:val="18"/>
                <w:szCs w:val="18"/>
                <w:color w:val="auto"/>
                <w:w w:val="94"/>
              </w:rPr>
              <w:t>The Group has recognized the following amounts relating to revenues: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0"/>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4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w w:val="97"/>
              </w:rPr>
              <w:t>For the three months ended</w:t>
            </w:r>
          </w:p>
        </w:tc>
        <w:tc>
          <w:tcPr>
            <w:tcW w:w="160" w:type="dxa"/>
            <w:vAlign w:val="bottom"/>
          </w:tcPr>
          <w:p>
            <w:pPr>
              <w:spacing w:after="0"/>
              <w:rPr>
                <w:sz w:val="24"/>
                <w:szCs w:val="24"/>
                <w:color w:val="auto"/>
              </w:rPr>
            </w:pPr>
          </w:p>
        </w:tc>
        <w:tc>
          <w:tcPr>
            <w:tcW w:w="266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For the six months ended</w:t>
            </w:r>
          </w:p>
        </w:tc>
      </w:tr>
      <w:tr>
        <w:trPr>
          <w:trHeight w:val="229"/>
        </w:trPr>
        <w:tc>
          <w:tcPr>
            <w:tcW w:w="1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June 30, 2017</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June 30, 2018</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June 30, 2017</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June 30, 2018</w:t>
            </w:r>
          </w:p>
        </w:tc>
      </w:tr>
      <w:tr>
        <w:trPr>
          <w:trHeight w:val="211"/>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Revenues from time charters</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121,581</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127,573</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242,283</w:t>
            </w: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252,467</w:t>
            </w:r>
          </w:p>
        </w:tc>
      </w:tr>
      <w:tr>
        <w:trPr>
          <w:trHeight w:val="208"/>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4"/>
              </w:rPr>
              <w:t>Revenues from The Cool Pool Limited (GasLog</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vessels)</w:t>
            </w:r>
          </w:p>
        </w:tc>
        <w:tc>
          <w:tcPr>
            <w:tcW w:w="1240" w:type="dxa"/>
            <w:vAlign w:val="bottom"/>
          </w:tcPr>
          <w:p>
            <w:pPr>
              <w:jc w:val="right"/>
              <w:spacing w:after="0"/>
              <w:rPr>
                <w:sz w:val="20"/>
                <w:szCs w:val="20"/>
                <w:color w:val="auto"/>
              </w:rPr>
            </w:pPr>
            <w:r>
              <w:rPr>
                <w:rFonts w:ascii="Arial" w:cs="Arial" w:eastAsia="Arial" w:hAnsi="Arial"/>
                <w:sz w:val="18"/>
                <w:szCs w:val="18"/>
                <w:color w:val="auto"/>
              </w:rPr>
              <w:t>8,023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5,047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15,378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18,452</w:t>
            </w:r>
          </w:p>
        </w:tc>
      </w:tr>
      <w:tr>
        <w:trPr>
          <w:trHeight w:val="218"/>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w w:val="99"/>
              </w:rPr>
              <w:t>Revenues from vessel management services</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204</w:t>
            </w:r>
          </w:p>
        </w:tc>
        <w:tc>
          <w:tcPr>
            <w:tcW w:w="14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554</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383</w:t>
            </w:r>
          </w:p>
        </w:tc>
      </w:tr>
      <w:tr>
        <w:trPr>
          <w:trHeight w:val="210"/>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129,930</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132,824</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258,215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271,302</w:t>
            </w: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Revenues from The Cool Pool Limited relate to revenues received from GasLog's vessels operating in the Cool Pool and do not include the net pool allocation to GasLog of $6,958 and $15,611 for the three and six months ended June 30, 2018, respectively ($492 and $1,320 for the three and six months ended June 30,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4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w w:val="97"/>
              </w:rPr>
              <w:t>For the 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7"/>
          </w:tcPr>
          <w:p>
            <w:pPr>
              <w:ind w:left="3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2017</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w w:val="93"/>
              </w:rPr>
              <w:t>June 30, 2018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rPr>
              <w:t>June 30, 2017</w:t>
            </w:r>
          </w:p>
        </w:tc>
        <w:tc>
          <w:tcPr>
            <w:tcW w:w="24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Employee costs</w:t>
            </w: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4,403</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4,677</w:t>
            </w:r>
          </w:p>
        </w:tc>
        <w:tc>
          <w:tcPr>
            <w:tcW w:w="4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240" w:type="dxa"/>
            <w:vAlign w:val="bottom"/>
            <w:tcBorders>
              <w:top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color w:val="auto"/>
              </w:rPr>
              <w:t>9,614</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260" w:type="dxa"/>
            <w:vAlign w:val="bottom"/>
            <w:tcBorders>
              <w:top w:val="single" w:sz="8" w:color="auto"/>
            </w:tcBorders>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11,628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124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1,344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Share-based compensation</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1,329</w:t>
            </w:r>
          </w:p>
        </w:tc>
        <w:tc>
          <w:tcPr>
            <w:tcW w:w="1400" w:type="dxa"/>
            <w:vAlign w:val="bottom"/>
            <w:gridSpan w:val="4"/>
            <w:shd w:val="clear" w:color="auto" w:fill="E8FFFA"/>
          </w:tcPr>
          <w:p>
            <w:pPr>
              <w:jc w:val="right"/>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26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2,515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Rent and utilities</w:t>
            </w:r>
          </w:p>
        </w:tc>
        <w:tc>
          <w:tcPr>
            <w:tcW w:w="124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Travel and accommodation</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701</w:t>
            </w:r>
          </w:p>
        </w:tc>
        <w:tc>
          <w:tcPr>
            <w:tcW w:w="1400" w:type="dxa"/>
            <w:vAlign w:val="bottom"/>
            <w:gridSpan w:val="4"/>
            <w:shd w:val="clear" w:color="auto" w:fill="E8FFFA"/>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26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1,033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240" w:type="dxa"/>
            <w:vAlign w:val="bottom"/>
          </w:tcPr>
          <w:p>
            <w:pPr>
              <w:jc w:val="right"/>
              <w:spacing w:after="0"/>
              <w:rPr>
                <w:sz w:val="20"/>
                <w:szCs w:val="20"/>
                <w:color w:val="auto"/>
              </w:rPr>
            </w:pPr>
            <w:r>
              <w:rPr>
                <w:rFonts w:ascii="Arial" w:cs="Arial" w:eastAsia="Arial" w:hAnsi="Arial"/>
                <w:sz w:val="18"/>
                <w:szCs w:val="18"/>
                <w:color w:val="auto"/>
              </w:rPr>
              <w:t>2,393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1,704</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3,955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3,326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Foreign exchange differences, net</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(84)</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63</w:t>
            </w:r>
          </w:p>
        </w:tc>
        <w:tc>
          <w:tcPr>
            <w:tcW w:w="1480" w:type="dxa"/>
            <w:vAlign w:val="bottom"/>
            <w:gridSpan w:val="5"/>
            <w:shd w:val="clear" w:color="auto" w:fill="E8FFFA"/>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E8FFFA"/>
          </w:tcPr>
          <w:p>
            <w:pPr>
              <w:spacing w:after="0"/>
              <w:rPr>
                <w:sz w:val="18"/>
                <w:szCs w:val="18"/>
                <w:color w:val="auto"/>
              </w:rPr>
            </w:pP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(241)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1,674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10,246</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10,352</w:t>
            </w:r>
          </w:p>
        </w:tc>
        <w:tc>
          <w:tcPr>
            <w:tcW w:w="4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20,225</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E8FFFA"/>
          </w:tcPr>
          <w:p>
            <w:pPr>
              <w:jc w:val="right"/>
              <w:ind w:right="20"/>
              <w:spacing w:after="0"/>
              <w:rPr>
                <w:sz w:val="20"/>
                <w:szCs w:val="20"/>
                <w:color w:val="auto"/>
              </w:rPr>
            </w:pPr>
            <w:r>
              <w:rPr>
                <w:rFonts w:ascii="Arial" w:cs="Arial" w:eastAsia="Arial" w:hAnsi="Arial"/>
                <w:sz w:val="18"/>
                <w:szCs w:val="18"/>
                <w:b w:val="1"/>
                <w:bCs w:val="1"/>
                <w:color w:val="auto"/>
              </w:rPr>
              <w:t>22,365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Other Payables and Accruals</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ind w:left="340"/>
              <w:spacing w:after="0"/>
              <w:rPr>
                <w:sz w:val="20"/>
                <w:szCs w:val="20"/>
                <w:color w:val="auto"/>
              </w:rPr>
            </w:pPr>
            <w:r>
              <w:rPr>
                <w:rFonts w:ascii="Arial" w:cs="Arial" w:eastAsia="Arial" w:hAnsi="Arial"/>
                <w:sz w:val="18"/>
                <w:szCs w:val="18"/>
                <w:color w:val="auto"/>
                <w:w w:val="97"/>
              </w:rPr>
              <w:t>An analysis of other payables and accruals is as follows: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5"/>
          </w:tcPr>
          <w:p>
            <w:pPr>
              <w:ind w:left="120"/>
              <w:spacing w:after="0"/>
              <w:rPr>
                <w:sz w:val="20"/>
                <w:szCs w:val="20"/>
                <w:color w:val="auto"/>
              </w:rPr>
            </w:pPr>
            <w:r>
              <w:rPr>
                <w:rFonts w:ascii="Arial" w:cs="Arial" w:eastAsia="Arial" w:hAnsi="Arial"/>
                <w:sz w:val="18"/>
                <w:szCs w:val="18"/>
                <w:b w:val="1"/>
                <w:bCs w:val="1"/>
                <w:color w:val="auto"/>
              </w:rPr>
              <w:t>December 31,</w:t>
            </w:r>
          </w:p>
        </w:tc>
        <w:tc>
          <w:tcPr>
            <w:tcW w:w="2480" w:type="dxa"/>
            <w:vAlign w:val="bottom"/>
            <w:gridSpan w:val="3"/>
          </w:tcPr>
          <w:p>
            <w:pPr>
              <w:ind w:left="2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Social contributions</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1280" w:type="dxa"/>
            <w:vAlign w:val="bottom"/>
            <w:tcBorders>
              <w:top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tcBorders>
              <w:top w:val="single" w:sz="8" w:color="auto"/>
            </w:tcBorders>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Unearned revenue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41,089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Accrued legal and professional fees</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13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Accrued employee costs</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13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5,494</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5,156</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off-hire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5,284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7,926</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Accrued crew costs</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13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4,027</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3,898</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purchases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4,227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17,289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Accrued financing costs</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13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27,851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34,681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color w:val="auto"/>
              </w:rPr>
              <w:t>Accrued payable to charterers</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13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4,179</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5,859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accruals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2,218</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93,418</w:t>
            </w:r>
          </w:p>
        </w:tc>
        <w:tc>
          <w:tcPr>
            <w:tcW w:w="80" w:type="dxa"/>
            <w:vAlign w:val="bottom"/>
            <w:shd w:val="clear" w:color="auto" w:fill="E8FFFA"/>
          </w:tcPr>
          <w:p>
            <w:pPr>
              <w:spacing w:after="0"/>
              <w:rPr>
                <w:sz w:val="18"/>
                <w:szCs w:val="18"/>
                <w:color w:val="auto"/>
              </w:rPr>
            </w:pPr>
          </w:p>
        </w:tc>
        <w:tc>
          <w:tcPr>
            <w:tcW w:w="80" w:type="dxa"/>
            <w:vAlign w:val="bottom"/>
            <w:shd w:val="clear" w:color="auto" w:fill="E8FFFA"/>
          </w:tcPr>
          <w:p>
            <w:pPr>
              <w:spacing w:after="0"/>
              <w:rPr>
                <w:sz w:val="18"/>
                <w:szCs w:val="18"/>
                <w:color w:val="auto"/>
              </w:rPr>
            </w:pPr>
          </w:p>
        </w:tc>
        <w:tc>
          <w:tcPr>
            <w:tcW w:w="80" w:type="dxa"/>
            <w:vAlign w:val="bottom"/>
            <w:tcBorders>
              <w:top w:val="single" w:sz="8" w:color="auto"/>
              <w:bottom w:val="single" w:sz="8" w:color="auto"/>
            </w:tcBorders>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120,565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F-15</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12. Share Capital and Preference Shares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jc w:val="both"/>
        <w:ind w:right="320" w:firstLine="341"/>
        <w:spacing w:after="0" w:line="306" w:lineRule="auto"/>
        <w:rPr>
          <w:sz w:val="20"/>
          <w:szCs w:val="20"/>
          <w:color w:val="auto"/>
        </w:rPr>
      </w:pPr>
      <w:r>
        <w:rPr>
          <w:rFonts w:ascii="Arial" w:cs="Arial" w:eastAsia="Arial" w:hAnsi="Arial"/>
          <w:sz w:val="16"/>
          <w:szCs w:val="16"/>
          <w:color w:val="auto"/>
        </w:rPr>
        <w:t>As of June 30, 2018, the share capital consisted of 80,814,081 issued and outstanding common shares, par value $0.01 per share, 179,045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Amounts</w:t>
            </w: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40" w:type="dxa"/>
            <w:vAlign w:val="bottom"/>
            <w:gridSpan w:val="2"/>
          </w:tcPr>
          <w:p>
            <w:pPr>
              <w:jc w:val="center"/>
              <w:ind w:right="180"/>
              <w:spacing w:after="0" w:line="196" w:lineRule="exact"/>
              <w:rPr>
                <w:sz w:val="20"/>
                <w:szCs w:val="20"/>
                <w:color w:val="auto"/>
              </w:rPr>
            </w:pPr>
            <w:r>
              <w:rPr>
                <w:rFonts w:ascii="Arial" w:cs="Arial" w:eastAsia="Arial" w:hAnsi="Arial"/>
                <w:sz w:val="18"/>
                <w:szCs w:val="18"/>
                <w:b w:val="1"/>
                <w:bCs w:val="1"/>
                <w:color w:val="auto"/>
                <w:w w:val="91"/>
              </w:rPr>
              <w:t>Number of</w:t>
            </w:r>
          </w:p>
        </w:tc>
        <w:tc>
          <w:tcPr>
            <w:tcW w:w="1060" w:type="dxa"/>
            <w:vAlign w:val="bottom"/>
            <w:gridSpan w:val="2"/>
          </w:tcPr>
          <w:p>
            <w:pPr>
              <w:jc w:val="center"/>
              <w:ind w:right="160"/>
              <w:spacing w:after="0" w:line="196" w:lineRule="exact"/>
              <w:rPr>
                <w:sz w:val="20"/>
                <w:szCs w:val="20"/>
                <w:color w:val="auto"/>
              </w:rPr>
            </w:pPr>
            <w:r>
              <w:rPr>
                <w:rFonts w:ascii="Arial" w:cs="Arial" w:eastAsia="Arial" w:hAnsi="Arial"/>
                <w:sz w:val="18"/>
                <w:szCs w:val="18"/>
                <w:b w:val="1"/>
                <w:bCs w:val="1"/>
                <w:color w:val="auto"/>
                <w:w w:val="91"/>
              </w:rPr>
              <w:t>Number of</w:t>
            </w:r>
          </w:p>
        </w:tc>
        <w:tc>
          <w:tcPr>
            <w:tcW w:w="9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8"/>
              </w:rPr>
              <w:t>Number of</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Treasury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5"/>
              </w:rPr>
              <w:t>Preference</w:t>
            </w:r>
          </w:p>
        </w:tc>
        <w:tc>
          <w:tcPr>
            <w:tcW w:w="16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b w:val="1"/>
                <w:bCs w:val="1"/>
                <w:color w:val="auto"/>
              </w:rPr>
              <w:t>Share</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88"/>
              </w:rPr>
              <w:t>Preference</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Contributed</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Treasury</w:t>
            </w: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surplus</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Shares</w:t>
            </w:r>
          </w:p>
        </w:tc>
      </w:tr>
      <w:tr>
        <w:trPr>
          <w:trHeight w:val="197"/>
        </w:trPr>
        <w:tc>
          <w:tcPr>
            <w:tcW w:w="20" w:type="dxa"/>
            <w:vAlign w:val="bottom"/>
          </w:tcPr>
          <w:p>
            <w:pPr>
              <w:spacing w:after="0"/>
              <w:rPr>
                <w:sz w:val="17"/>
                <w:szCs w:val="17"/>
                <w:color w:val="auto"/>
              </w:rPr>
            </w:pPr>
          </w:p>
        </w:tc>
        <w:tc>
          <w:tcPr>
            <w:tcW w:w="1960" w:type="dxa"/>
            <w:vAlign w:val="bottom"/>
            <w:shd w:val="clear" w:color="auto" w:fill="E8FFFA"/>
          </w:tcPr>
          <w:p>
            <w:pPr>
              <w:spacing w:after="0" w:line="197" w:lineRule="exact"/>
              <w:rPr>
                <w:sz w:val="20"/>
                <w:szCs w:val="20"/>
                <w:color w:val="auto"/>
              </w:rPr>
            </w:pPr>
            <w:r>
              <w:rPr>
                <w:rFonts w:ascii="Arial" w:cs="Arial" w:eastAsia="Arial" w:hAnsi="Arial"/>
                <w:sz w:val="18"/>
                <w:szCs w:val="18"/>
                <w:b w:val="1"/>
                <w:bCs w:val="1"/>
                <w:color w:val="auto"/>
              </w:rPr>
              <w:t>Outstanding as of</w:t>
            </w:r>
          </w:p>
        </w:tc>
        <w:tc>
          <w:tcPr>
            <w:tcW w:w="8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84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84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6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840" w:type="dxa"/>
            <w:vAlign w:val="bottom"/>
            <w:tcBorders>
              <w:top w:val="single" w:sz="8" w:color="auto"/>
            </w:tcBorders>
            <w:shd w:val="clear" w:color="auto" w:fill="E8FFFA"/>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E8FFFA"/>
          </w:tcPr>
          <w:p>
            <w:pPr>
              <w:ind w:left="140"/>
              <w:spacing w:after="0"/>
              <w:rPr>
                <w:sz w:val="20"/>
                <w:szCs w:val="20"/>
                <w:color w:val="auto"/>
              </w:rPr>
            </w:pPr>
            <w:r>
              <w:rPr>
                <w:rFonts w:ascii="Arial" w:cs="Arial" w:eastAsia="Arial" w:hAnsi="Arial"/>
                <w:sz w:val="18"/>
                <w:szCs w:val="18"/>
                <w:b w:val="1"/>
                <w:bCs w:val="1"/>
                <w:color w:val="auto"/>
              </w:rPr>
              <w:t>January 1, 2018</w:t>
            </w:r>
          </w:p>
        </w:tc>
        <w:tc>
          <w:tcPr>
            <w:tcW w:w="88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w w:val="95"/>
              </w:rPr>
              <w:t>80,717,885</w:t>
            </w:r>
          </w:p>
        </w:tc>
        <w:tc>
          <w:tcPr>
            <w:tcW w:w="160" w:type="dxa"/>
            <w:vAlign w:val="bottom"/>
            <w:shd w:val="clear" w:color="auto" w:fill="E8FFFA"/>
          </w:tcPr>
          <w:p>
            <w:pPr>
              <w:spacing w:after="0"/>
              <w:rPr>
                <w:sz w:val="20"/>
                <w:szCs w:val="20"/>
                <w:color w:val="auto"/>
              </w:rPr>
            </w:pPr>
          </w:p>
        </w:tc>
        <w:tc>
          <w:tcPr>
            <w:tcW w:w="90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275,241</w:t>
            </w:r>
          </w:p>
        </w:tc>
        <w:tc>
          <w:tcPr>
            <w:tcW w:w="160" w:type="dxa"/>
            <w:vAlign w:val="bottom"/>
            <w:shd w:val="clear" w:color="auto" w:fill="E8FFFA"/>
          </w:tcPr>
          <w:p>
            <w:pPr>
              <w:spacing w:after="0"/>
              <w:rPr>
                <w:sz w:val="20"/>
                <w:szCs w:val="20"/>
                <w:color w:val="auto"/>
              </w:rPr>
            </w:pPr>
          </w:p>
        </w:tc>
        <w:tc>
          <w:tcPr>
            <w:tcW w:w="90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4,600,000</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810</w:t>
            </w:r>
          </w:p>
        </w:tc>
        <w:tc>
          <w:tcPr>
            <w:tcW w:w="1000" w:type="dxa"/>
            <w:vAlign w:val="bottom"/>
            <w:gridSpan w:val="2"/>
            <w:shd w:val="clear" w:color="auto" w:fill="E8FFFA"/>
          </w:tcPr>
          <w:p>
            <w:pPr>
              <w:ind w:left="800"/>
              <w:spacing w:after="0"/>
              <w:rPr>
                <w:sz w:val="20"/>
                <w:szCs w:val="20"/>
                <w:color w:val="auto"/>
              </w:rPr>
            </w:pPr>
            <w:r>
              <w:rPr>
                <w:rFonts w:ascii="Arial" w:cs="Arial" w:eastAsia="Arial" w:hAnsi="Arial"/>
                <w:sz w:val="18"/>
                <w:szCs w:val="18"/>
                <w:b w:val="1"/>
                <w:bCs w:val="1"/>
                <w:color w:val="auto"/>
                <w:w w:val="89"/>
              </w:rPr>
              <w:t>46</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911,766</w:t>
            </w:r>
          </w:p>
        </w:tc>
        <w:tc>
          <w:tcPr>
            <w:tcW w:w="160" w:type="dxa"/>
            <w:vAlign w:val="bottom"/>
            <w:shd w:val="clear" w:color="auto" w:fill="E8FFFA"/>
          </w:tcPr>
          <w:p>
            <w:pPr>
              <w:spacing w:after="0"/>
              <w:rPr>
                <w:sz w:val="20"/>
                <w:szCs w:val="20"/>
                <w:color w:val="auto"/>
              </w:rPr>
            </w:pPr>
          </w:p>
        </w:tc>
        <w:tc>
          <w:tcPr>
            <w:tcW w:w="84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(6,960)</w:t>
            </w:r>
          </w:p>
        </w:tc>
        <w:tc>
          <w:tcPr>
            <w:tcW w:w="40" w:type="dxa"/>
            <w:vAlign w:val="bottom"/>
          </w:tcPr>
          <w:p>
            <w:pPr>
              <w:spacing w:after="0"/>
              <w:rPr>
                <w:sz w:val="20"/>
                <w:szCs w:val="20"/>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8"/>
                <w:szCs w:val="18"/>
                <w:color w:val="auto"/>
              </w:rPr>
              <w:t>Treasury shares, net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960" w:type="dxa"/>
            <w:vAlign w:val="bottom"/>
            <w:shd w:val="clear" w:color="auto" w:fill="E8FFFA"/>
          </w:tcPr>
          <w:p>
            <w:pPr>
              <w:spacing w:after="0"/>
              <w:rPr>
                <w:sz w:val="20"/>
                <w:szCs w:val="20"/>
                <w:color w:val="auto"/>
              </w:rPr>
            </w:pPr>
            <w:r>
              <w:rPr>
                <w:rFonts w:ascii="Arial" w:cs="Arial" w:eastAsia="Arial" w:hAnsi="Arial"/>
                <w:sz w:val="18"/>
                <w:szCs w:val="18"/>
                <w:color w:val="auto"/>
              </w:rPr>
              <w:t>Treasury shares</w:t>
            </w: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E8FFFA"/>
          </w:tcPr>
          <w:p>
            <w:pPr>
              <w:ind w:left="140"/>
              <w:spacing w:after="0"/>
              <w:rPr>
                <w:sz w:val="20"/>
                <w:szCs w:val="20"/>
                <w:color w:val="auto"/>
              </w:rPr>
            </w:pPr>
            <w:r>
              <w:rPr>
                <w:rFonts w:ascii="Arial" w:cs="Arial" w:eastAsia="Arial" w:hAnsi="Arial"/>
                <w:sz w:val="18"/>
                <w:szCs w:val="18"/>
                <w:color w:val="auto"/>
              </w:rPr>
              <w:t>distributed for awards</w:t>
            </w: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E8FFFA"/>
          </w:tcPr>
          <w:p>
            <w:pPr>
              <w:ind w:left="140"/>
              <w:spacing w:after="0"/>
              <w:rPr>
                <w:sz w:val="20"/>
                <w:szCs w:val="20"/>
                <w:color w:val="auto"/>
              </w:rPr>
            </w:pPr>
            <w:r>
              <w:rPr>
                <w:rFonts w:ascii="Arial" w:cs="Arial" w:eastAsia="Arial" w:hAnsi="Arial"/>
                <w:sz w:val="18"/>
                <w:szCs w:val="18"/>
                <w:color w:val="auto"/>
              </w:rPr>
              <w:t>vested or exercised in</w:t>
            </w: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40" w:type="dxa"/>
            <w:vAlign w:val="bottom"/>
            <w:shd w:val="clear" w:color="auto" w:fill="E8FFFA"/>
          </w:tcPr>
          <w:p>
            <w:pPr>
              <w:spacing w:after="0"/>
              <w:rPr>
                <w:sz w:val="18"/>
                <w:szCs w:val="18"/>
                <w:color w:val="auto"/>
              </w:rPr>
            </w:pP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E8FFFA"/>
          </w:tcPr>
          <w:p>
            <w:pPr>
              <w:ind w:left="140"/>
              <w:spacing w:after="0"/>
              <w:rPr>
                <w:sz w:val="20"/>
                <w:szCs w:val="20"/>
                <w:color w:val="auto"/>
              </w:rPr>
            </w:pPr>
            <w:r>
              <w:rPr>
                <w:rFonts w:ascii="Arial" w:cs="Arial" w:eastAsia="Arial" w:hAnsi="Arial"/>
                <w:sz w:val="18"/>
                <w:szCs w:val="18"/>
                <w:color w:val="auto"/>
              </w:rPr>
              <w:t>the period</w:t>
            </w:r>
          </w:p>
        </w:tc>
        <w:tc>
          <w:tcPr>
            <w:tcW w:w="8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99,014</w:t>
            </w:r>
          </w:p>
        </w:tc>
        <w:tc>
          <w:tcPr>
            <w:tcW w:w="160" w:type="dxa"/>
            <w:vAlign w:val="bottom"/>
            <w:shd w:val="clear" w:color="auto" w:fill="E8FFFA"/>
          </w:tcPr>
          <w:p>
            <w:pPr>
              <w:spacing w:after="0"/>
              <w:rPr>
                <w:sz w:val="19"/>
                <w:szCs w:val="19"/>
                <w:color w:val="auto"/>
              </w:rPr>
            </w:pPr>
          </w:p>
        </w:tc>
        <w:tc>
          <w:tcPr>
            <w:tcW w:w="10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(99,014)</w:t>
            </w:r>
          </w:p>
        </w:tc>
        <w:tc>
          <w:tcPr>
            <w:tcW w:w="9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9"/>
                <w:szCs w:val="19"/>
                <w:color w:val="auto"/>
              </w:rPr>
            </w:pPr>
          </w:p>
        </w:tc>
        <w:tc>
          <w:tcPr>
            <w:tcW w:w="8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9"/>
                <w:szCs w:val="19"/>
                <w:color w:val="auto"/>
              </w:rPr>
            </w:pPr>
          </w:p>
        </w:tc>
        <w:tc>
          <w:tcPr>
            <w:tcW w:w="840" w:type="dxa"/>
            <w:vAlign w:val="bottom"/>
            <w:shd w:val="clear" w:color="auto" w:fill="E8FFFA"/>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8FFFA"/>
          </w:tcPr>
          <w:p>
            <w:pPr>
              <w:spacing w:after="0"/>
              <w:rPr>
                <w:sz w:val="19"/>
                <w:szCs w:val="19"/>
                <w:color w:val="auto"/>
              </w:rPr>
            </w:pPr>
          </w:p>
        </w:tc>
        <w:tc>
          <w:tcPr>
            <w:tcW w:w="112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2,550</w:t>
            </w:r>
          </w:p>
        </w:tc>
        <w:tc>
          <w:tcPr>
            <w:tcW w:w="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Dividends declared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Arial" w:cs="Arial" w:eastAsia="Arial" w:hAnsi="Arial"/>
                <w:sz w:val="18"/>
                <w:szCs w:val="18"/>
                <w:color w:val="auto"/>
              </w:rPr>
              <w:t>deducted from</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Arial" w:cs="Arial" w:eastAsia="Arial" w:hAnsi="Arial"/>
                <w:sz w:val="18"/>
                <w:szCs w:val="18"/>
                <w:color w:val="auto"/>
              </w:rPr>
              <w:t>Contributed surplus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Arial" w:cs="Arial" w:eastAsia="Arial" w:hAnsi="Arial"/>
                <w:sz w:val="18"/>
                <w:szCs w:val="18"/>
                <w:color w:val="auto"/>
              </w:rPr>
              <w:t>due to accumulated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140"/>
              <w:spacing w:after="0"/>
              <w:rPr>
                <w:sz w:val="20"/>
                <w:szCs w:val="20"/>
                <w:color w:val="auto"/>
              </w:rPr>
            </w:pPr>
            <w:r>
              <w:rPr>
                <w:rFonts w:ascii="Arial" w:cs="Arial" w:eastAsia="Arial" w:hAnsi="Arial"/>
                <w:sz w:val="18"/>
                <w:szCs w:val="18"/>
                <w:color w:val="auto"/>
              </w:rPr>
              <w:t>deficit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(28,452)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960" w:type="dxa"/>
            <w:vAlign w:val="bottom"/>
            <w:shd w:val="clear" w:color="auto" w:fill="E8FFFA"/>
          </w:tcPr>
          <w:p>
            <w:pPr>
              <w:spacing w:after="0" w:line="197" w:lineRule="exact"/>
              <w:rPr>
                <w:sz w:val="20"/>
                <w:szCs w:val="20"/>
                <w:color w:val="auto"/>
              </w:rPr>
            </w:pPr>
            <w:r>
              <w:rPr>
                <w:rFonts w:ascii="Arial" w:cs="Arial" w:eastAsia="Arial" w:hAnsi="Arial"/>
                <w:sz w:val="18"/>
                <w:szCs w:val="18"/>
                <w:b w:val="1"/>
                <w:bCs w:val="1"/>
                <w:color w:val="auto"/>
              </w:rPr>
              <w:t>Outstanding as of</w:t>
            </w:r>
          </w:p>
        </w:tc>
        <w:tc>
          <w:tcPr>
            <w:tcW w:w="8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84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84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6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840" w:type="dxa"/>
            <w:vAlign w:val="bottom"/>
            <w:tcBorders>
              <w:top w:val="single" w:sz="8" w:color="auto"/>
            </w:tcBorders>
            <w:shd w:val="clear" w:color="auto" w:fill="E8FFFA"/>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E8FFFA"/>
          </w:tcPr>
          <w:p>
            <w:pPr>
              <w:ind w:left="140"/>
              <w:spacing w:after="0"/>
              <w:rPr>
                <w:sz w:val="20"/>
                <w:szCs w:val="20"/>
                <w:color w:val="auto"/>
              </w:rPr>
            </w:pPr>
            <w:r>
              <w:rPr>
                <w:rFonts w:ascii="Arial" w:cs="Arial" w:eastAsia="Arial" w:hAnsi="Arial"/>
                <w:sz w:val="18"/>
                <w:szCs w:val="18"/>
                <w:b w:val="1"/>
                <w:bCs w:val="1"/>
                <w:color w:val="auto"/>
              </w:rPr>
              <w:t>June 30, 2018</w:t>
            </w:r>
          </w:p>
        </w:tc>
        <w:tc>
          <w:tcPr>
            <w:tcW w:w="88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w w:val="95"/>
              </w:rPr>
              <w:t>80,814,081</w:t>
            </w:r>
          </w:p>
        </w:tc>
        <w:tc>
          <w:tcPr>
            <w:tcW w:w="160" w:type="dxa"/>
            <w:vAlign w:val="bottom"/>
            <w:shd w:val="clear" w:color="auto" w:fill="E8FFFA"/>
          </w:tcPr>
          <w:p>
            <w:pPr>
              <w:spacing w:after="0"/>
              <w:rPr>
                <w:sz w:val="20"/>
                <w:szCs w:val="20"/>
                <w:color w:val="auto"/>
              </w:rPr>
            </w:pPr>
          </w:p>
        </w:tc>
        <w:tc>
          <w:tcPr>
            <w:tcW w:w="90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179,045</w:t>
            </w:r>
          </w:p>
        </w:tc>
        <w:tc>
          <w:tcPr>
            <w:tcW w:w="160" w:type="dxa"/>
            <w:vAlign w:val="bottom"/>
            <w:shd w:val="clear" w:color="auto" w:fill="E8FFFA"/>
          </w:tcPr>
          <w:p>
            <w:pPr>
              <w:spacing w:after="0"/>
              <w:rPr>
                <w:sz w:val="20"/>
                <w:szCs w:val="20"/>
                <w:color w:val="auto"/>
              </w:rPr>
            </w:pPr>
          </w:p>
        </w:tc>
        <w:tc>
          <w:tcPr>
            <w:tcW w:w="90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4,600,000</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810</w:t>
            </w:r>
          </w:p>
        </w:tc>
        <w:tc>
          <w:tcPr>
            <w:tcW w:w="1000" w:type="dxa"/>
            <w:vAlign w:val="bottom"/>
            <w:gridSpan w:val="2"/>
            <w:shd w:val="clear" w:color="auto" w:fill="E8FFFA"/>
          </w:tcPr>
          <w:p>
            <w:pPr>
              <w:ind w:left="800"/>
              <w:spacing w:after="0"/>
              <w:rPr>
                <w:sz w:val="20"/>
                <w:szCs w:val="20"/>
                <w:color w:val="auto"/>
              </w:rPr>
            </w:pPr>
            <w:r>
              <w:rPr>
                <w:rFonts w:ascii="Arial" w:cs="Arial" w:eastAsia="Arial" w:hAnsi="Arial"/>
                <w:sz w:val="18"/>
                <w:szCs w:val="18"/>
                <w:b w:val="1"/>
                <w:bCs w:val="1"/>
                <w:color w:val="auto"/>
                <w:w w:val="89"/>
              </w:rPr>
              <w:t>46</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883,314</w:t>
            </w:r>
          </w:p>
        </w:tc>
        <w:tc>
          <w:tcPr>
            <w:tcW w:w="160" w:type="dxa"/>
            <w:vAlign w:val="bottom"/>
            <w:shd w:val="clear" w:color="auto" w:fill="E8FFFA"/>
          </w:tcPr>
          <w:p>
            <w:pPr>
              <w:spacing w:after="0"/>
              <w:rPr>
                <w:sz w:val="20"/>
                <w:szCs w:val="20"/>
                <w:color w:val="auto"/>
              </w:rPr>
            </w:pPr>
          </w:p>
        </w:tc>
        <w:tc>
          <w:tcPr>
            <w:tcW w:w="84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(4,472)</w:t>
            </w:r>
          </w:p>
        </w:tc>
        <w:tc>
          <w:tcPr>
            <w:tcW w:w="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treasury shares were acquired by GasLog in 2014 and 2018 in relation to the share-based compensation (Note 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On February 15, 2018, the board of directors declared a quarterly cash dividend of $0.14 per common share, which was paid on March 15, 2018 to shareholders of record as of March 5, 2018 for a total amount of $11,300.</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On March 8, 2018, the board of directors declared a dividend on the Series A Preference Shares of $0.546875 per share, or $2,516 in aggregate, payable on April 2, 2018 to holders of record as of March 29, 2018. GasLog paid the declared dividend to the transfer agent on March 29, 2018.</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May 3, 2018, the board of directors declared a quarterly cash dividend of $0.15 per common share, which was paid on May 24, 2018 to shareholders of record as of May 14, 2018 for a total amount of $12,120.</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May 11, 2018, the board of directors declared a dividend on the Series A Preference Shares of $0.546875 per share, or $2,516 in aggregate, payable on July 2, 2018 to holders of record as of June 29, 2018. GasLog paid the declared dividend to the transfer agent on June 28,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4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June 30, 2018, the Group had the following commitments as lessee relating to buildings under operating leases: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Period</w:t>
            </w:r>
          </w:p>
        </w:tc>
        <w:tc>
          <w:tcPr>
            <w:tcW w:w="374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1160" w:type="dxa"/>
            <w:vAlign w:val="bottom"/>
          </w:tcPr>
          <w:p>
            <w:pPr>
              <w:spacing w:after="0"/>
              <w:rPr>
                <w:sz w:val="18"/>
                <w:szCs w:val="18"/>
                <w:color w:val="auto"/>
              </w:rPr>
            </w:pPr>
          </w:p>
        </w:tc>
        <w:tc>
          <w:tcPr>
            <w:tcW w:w="396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374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1,185</w:t>
            </w:r>
          </w:p>
        </w:tc>
        <w:tc>
          <w:tcPr>
            <w:tcW w:w="13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9"/>
              </w:rPr>
              <w:t>Later than one year and not later than three years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13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8FFFA"/>
          </w:tcPr>
          <w:p>
            <w:pPr>
              <w:spacing w:after="0"/>
              <w:rPr>
                <w:sz w:val="20"/>
                <w:szCs w:val="20"/>
                <w:color w:val="auto"/>
              </w:rPr>
            </w:pPr>
            <w:r>
              <w:rPr>
                <w:rFonts w:ascii="Arial" w:cs="Arial" w:eastAsia="Arial" w:hAnsi="Arial"/>
                <w:sz w:val="18"/>
                <w:szCs w:val="18"/>
                <w:color w:val="auto"/>
                <w:w w:val="97"/>
              </w:rPr>
              <w:t>Later than three years and not later than five years</w:t>
            </w:r>
          </w:p>
        </w:tc>
        <w:tc>
          <w:tcPr>
            <w:tcW w:w="50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565</w:t>
            </w:r>
          </w:p>
        </w:tc>
        <w:tc>
          <w:tcPr>
            <w:tcW w:w="13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3,132</w:t>
            </w:r>
          </w:p>
        </w:tc>
        <w:tc>
          <w:tcPr>
            <w:tcW w:w="13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F-16</w:t>
            </w:r>
          </w:p>
        </w:tc>
      </w:tr>
      <w:tr>
        <w:trPr>
          <w:trHeight w:val="228"/>
        </w:trPr>
        <w:tc>
          <w:tcPr>
            <w:tcW w:w="11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Commitments relating to the vessels under construction (Note 5) as of June 30, 2018 payable to Samsung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Period</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June 30, 2018</w:t>
            </w:r>
          </w:p>
        </w:tc>
      </w:tr>
      <w:tr>
        <w:trPr>
          <w:trHeight w:val="210"/>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255,568</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620,310</w:t>
            </w:r>
          </w:p>
        </w:tc>
      </w:tr>
      <w:tr>
        <w:trPr>
          <w:trHeight w:val="210"/>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875,878</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Also, pursuant to a Heads of Agreement entered into by GAS-twenty two Ltd. and GAS-twenty three Ltd. with Methane Services Limited ("MSL"), a subsidiary of Shell, on March 8, 2016, the GasLog entities declared their options with Samsung to install reliquefaction plants on board the vessels. MSL agreed to reimburse 50% of such cost per vessel, resulting in an aggregate commitment to pay $3,200 per vessel to GasLog after the installation has been completed. In the event the reliquefaction plants do not meet certain specified performance criteria during operation, GasLog will have an obligation to pay to MSL a daily compensation amount per vessel, which obligation will in whole or in part be satisfied by certain obligations of the manufacturers incurred for failure to meet the specified performance criteria. The amount of $3,200 relating to GAS-twenty two Ltd. was included in Trade and other receivables since the reliquefaction plant installation has been completed.</w:t>
      </w:r>
    </w:p>
    <w:p>
      <w:pPr>
        <w:spacing w:after="0" w:line="199" w:lineRule="exact"/>
        <w:rPr>
          <w:sz w:val="20"/>
          <w:szCs w:val="20"/>
          <w:color w:val="auto"/>
        </w:rPr>
      </w:pPr>
    </w:p>
    <w:p>
      <w:pPr>
        <w:ind w:left="540" w:right="100" w:hanging="532"/>
        <w:spacing w:after="0" w:line="298"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Future gross minimum lease payments receivable in relation to non-cancellable time charter agreements for vessels in operation, including a vessel under a finance lease (Note 6), as of June 30, 2018 are as follows (30 off-hire days are assumed when each vessel will undergo scheduled dry-docking and ten additional days per vessel after the dry-docking for the vessel enhancements mentioned further below; in addition, early delivery of the vessels by the charterers or any exercise of the charterers' options to extend the terms of the charters are not accounted for):</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Period</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June 30, 2018</w:t>
            </w:r>
          </w:p>
        </w:tc>
      </w:tr>
      <w:tr>
        <w:trPr>
          <w:trHeight w:val="210"/>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411,409</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639,397</w:t>
            </w:r>
          </w:p>
        </w:tc>
      </w:tr>
      <w:tr>
        <w:trPr>
          <w:trHeight w:val="216"/>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425,591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More than five years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499,041</w:t>
            </w:r>
          </w:p>
        </w:tc>
      </w:tr>
      <w:tr>
        <w:trPr>
          <w:trHeight w:val="210"/>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1,975,438</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262" w:lineRule="exact"/>
        <w:rPr>
          <w:sz w:val="20"/>
          <w:szCs w:val="20"/>
          <w:color w:val="auto"/>
        </w:rPr>
      </w:pPr>
    </w:p>
    <w:p>
      <w:pPr>
        <w:ind w:left="540" w:right="300" w:hanging="532"/>
        <w:spacing w:after="0" w:line="25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June 30, 2018, are as follows: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Period</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June 30, 2018</w:t>
            </w:r>
          </w:p>
        </w:tc>
      </w:tr>
      <w:tr>
        <w:trPr>
          <w:trHeight w:val="210"/>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11,142</w:t>
            </w: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11,142</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right="160" w:hanging="532"/>
        <w:spacing w:after="0" w:line="25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Related to the acquisition of six vessels from a subsidiary of MSL in 2014 and another two vessels in 2015, the Group is committed to purchase depot spares from MSL with an aggregate value of $8,000 of which depot spares with value of $660 have been purchased and paid as of June 30, 2018 and are included in Tangible fixed assets (Note 5). The remaining spares are expected to be acquired before the end of the initial term of the charter party agreements.</w:t>
      </w:r>
    </w:p>
    <w:p>
      <w:pPr>
        <w:spacing w:after="0" w:line="224"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November 2, 2015, a letter agreement between GasLog and MSL was signed reimbursing MSL the sum of $2,654 for value as of November 1, 2015, adjusted for future value through January 2020 up to $3,801, allowing for the future use of the reimbursement amount against the funding of specific MSL projects, such 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2" w:name="page53"/>
    <w:bookmarkEnd w:id="52"/>
    <w:p>
      <w:pPr>
        <w:ind w:left="540" w:right="40"/>
        <w:spacing w:after="0" w:line="268" w:lineRule="auto"/>
        <w:rPr>
          <w:sz w:val="20"/>
          <w:szCs w:val="20"/>
          <w:color w:val="auto"/>
        </w:rPr>
      </w:pPr>
      <w:r>
        <w:rPr>
          <w:rFonts w:ascii="Arial" w:cs="Arial" w:eastAsia="Arial" w:hAnsi="Arial"/>
          <w:sz w:val="18"/>
          <w:szCs w:val="18"/>
          <w:color w:val="auto"/>
        </w:rPr>
        <w:t>costs associated with change orders on LNG newbuildings and or modifications of existing vessels as agreed between the parties. As of June 30, 2018, the outstanding commitment is $1,349.</w:t>
      </w:r>
    </w:p>
    <w:p>
      <w:pPr>
        <w:spacing w:after="0" w:line="199" w:lineRule="exact"/>
        <w:rPr>
          <w:sz w:val="20"/>
          <w:szCs w:val="20"/>
          <w:color w:val="auto"/>
        </w:rPr>
      </w:pPr>
    </w:p>
    <w:p>
      <w:pPr>
        <w:ind w:left="540" w:right="140" w:hanging="532"/>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11, 2016, GasLog LNG Services Ltd. entered into an agreement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223" w:lineRule="exact"/>
        <w:rPr>
          <w:rFonts w:ascii="Arial" w:cs="Arial" w:eastAsia="Arial" w:hAnsi="Arial"/>
          <w:sz w:val="18"/>
          <w:szCs w:val="18"/>
          <w:color w:val="auto"/>
        </w:rPr>
      </w:pPr>
    </w:p>
    <w:p>
      <w:pPr>
        <w:ind w:left="540" w:right="820" w:hanging="532"/>
        <w:spacing w:after="0" w:line="26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10, 2017, GasLog entered into an agreement with Keppel for the detailed engineering in relation to an FSRU conversion of one vessel. Commitment relating to this agreement as of June 30, 2018 is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Period</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June 30, 2018</w:t>
            </w:r>
          </w:p>
        </w:tc>
      </w:tr>
      <w:tr>
        <w:trPr>
          <w:trHeight w:val="210"/>
        </w:trPr>
        <w:tc>
          <w:tcPr>
            <w:tcW w:w="20" w:type="dxa"/>
            <w:vAlign w:val="bottom"/>
          </w:tcPr>
          <w:p>
            <w:pPr>
              <w:spacing w:after="0"/>
              <w:rPr>
                <w:sz w:val="18"/>
                <w:szCs w:val="18"/>
                <w:color w:val="auto"/>
              </w:rPr>
            </w:pPr>
          </w:p>
        </w:tc>
        <w:tc>
          <w:tcPr>
            <w:tcW w:w="770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3,787</w:t>
            </w: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3,787</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right="160" w:hanging="532"/>
        <w:spacing w:after="0" w:line="25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27, 2017 (and in addition to the seven existing maintenance agreements signed in 2014 in relation to GasLog vessels), GasLog LNG Services Ltd. entered into further maintenance agreements with Wartsila Greece S.A. ("Wartsila") in respect of eight GasLog LNG carriers. The agreements cover the renewal of existing maintenance agreements on four GasLog vessels and extend the servicing to four additional LNG carriers. The agreements ensure dynamic maintenance planning, technical support, security of spare parts supply, specialist technical personnel and performance monitoring.</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14. Derivative Financial Instruments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The fair value of the derivative assets is as follows: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24"/>
                <w:szCs w:val="24"/>
                <w:color w:val="auto"/>
              </w:rPr>
            </w:pPr>
          </w:p>
        </w:tc>
        <w:tc>
          <w:tcPr>
            <w:tcW w:w="256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280" w:type="dxa"/>
            <w:vAlign w:val="bottom"/>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142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gridSpan w:val="2"/>
          </w:tcPr>
          <w:p>
            <w:pPr>
              <w:ind w:left="1140"/>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Interest rate swaps</w:t>
            </w: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11,535</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31,629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1280" w:type="dxa"/>
            <w:vAlign w:val="bottom"/>
          </w:tcPr>
          <w:p>
            <w:pPr>
              <w:jc w:val="right"/>
              <w:spacing w:after="0"/>
              <w:rPr>
                <w:sz w:val="20"/>
                <w:szCs w:val="20"/>
                <w:color w:val="auto"/>
              </w:rPr>
            </w:pPr>
            <w:r>
              <w:rPr>
                <w:rFonts w:ascii="Arial" w:cs="Arial" w:eastAsia="Arial" w:hAnsi="Arial"/>
                <w:sz w:val="18"/>
                <w:szCs w:val="18"/>
                <w:color w:val="auto"/>
              </w:rPr>
              <w:t>2,123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260" w:type="dxa"/>
            <w:vAlign w:val="bottom"/>
            <w:shd w:val="clear" w:color="auto" w:fill="E8FFFA"/>
          </w:tcPr>
          <w:p>
            <w:pPr>
              <w:spacing w:after="0" w:line="201" w:lineRule="exact"/>
              <w:rPr>
                <w:sz w:val="20"/>
                <w:szCs w:val="20"/>
                <w:color w:val="auto"/>
              </w:rPr>
            </w:pPr>
            <w:r>
              <w:rPr>
                <w:rFonts w:ascii="Arial" w:cs="Arial" w:eastAsia="Arial" w:hAnsi="Arial"/>
                <w:sz w:val="18"/>
                <w:szCs w:val="18"/>
                <w:b w:val="1"/>
                <w:bCs w:val="1"/>
                <w:color w:val="auto"/>
                <w:w w:val="90"/>
              </w:rPr>
              <w:t>Derivative assets designated and effective as hedging instruments carried at fair</w:t>
            </w:r>
          </w:p>
        </w:tc>
        <w:tc>
          <w:tcPr>
            <w:tcW w:w="128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60" w:type="dxa"/>
            <w:vAlign w:val="bottom"/>
            <w:shd w:val="clear" w:color="auto" w:fill="E8FFFA"/>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260" w:type="dxa"/>
            <w:vAlign w:val="bottom"/>
            <w:shd w:val="clear" w:color="auto" w:fill="E8FFFA"/>
          </w:tcPr>
          <w:p>
            <w:pPr>
              <w:ind w:left="140"/>
              <w:spacing w:after="0"/>
              <w:rPr>
                <w:sz w:val="20"/>
                <w:szCs w:val="20"/>
                <w:color w:val="auto"/>
              </w:rPr>
            </w:pPr>
            <w:r>
              <w:rPr>
                <w:rFonts w:ascii="Arial" w:cs="Arial" w:eastAsia="Arial" w:hAnsi="Arial"/>
                <w:sz w:val="18"/>
                <w:szCs w:val="18"/>
                <w:b w:val="1"/>
                <w:bCs w:val="1"/>
                <w:color w:val="auto"/>
              </w:rPr>
              <w:t>value</w:t>
            </w:r>
          </w:p>
        </w:tc>
        <w:tc>
          <w:tcPr>
            <w:tcW w:w="128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260" w:type="dxa"/>
            <w:vAlign w:val="bottom"/>
            <w:shd w:val="clear" w:color="auto" w:fill="E8FFFA"/>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Cross currency swaps</w:t>
            </w:r>
          </w:p>
        </w:tc>
        <w:tc>
          <w:tcPr>
            <w:tcW w:w="1280" w:type="dxa"/>
            <w:vAlign w:val="bottom"/>
          </w:tcPr>
          <w:p>
            <w:pPr>
              <w:jc w:val="right"/>
              <w:spacing w:after="0"/>
              <w:rPr>
                <w:sz w:val="20"/>
                <w:szCs w:val="20"/>
                <w:color w:val="auto"/>
              </w:rPr>
            </w:pPr>
            <w:r>
              <w:rPr>
                <w:rFonts w:ascii="Arial" w:cs="Arial" w:eastAsia="Arial" w:hAnsi="Arial"/>
                <w:sz w:val="18"/>
                <w:szCs w:val="18"/>
                <w:color w:val="auto"/>
              </w:rPr>
              <w:t>4,553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5,916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18,211</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37,646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1140"/>
              <w:spacing w:after="0"/>
              <w:rPr>
                <w:sz w:val="20"/>
                <w:szCs w:val="20"/>
                <w:color w:val="auto"/>
              </w:rPr>
            </w:pPr>
            <w:r>
              <w:rPr>
                <w:rFonts w:ascii="Arial" w:cs="Arial" w:eastAsia="Arial" w:hAnsi="Arial"/>
                <w:sz w:val="18"/>
                <w:szCs w:val="18"/>
                <w:color w:val="auto"/>
              </w:rPr>
              <w:t>Derivative financial instruments, current assets</w:t>
            </w:r>
          </w:p>
        </w:tc>
        <w:tc>
          <w:tcPr>
            <w:tcW w:w="12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gridSpan w:val="2"/>
            <w:vMerge w:val="continue"/>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2,199</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6,206</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 non-current assets</w:t>
            </w: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16,012</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31,440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18,211</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vMerge w:val="restart"/>
          </w:tcPr>
          <w:p>
            <w:pPr>
              <w:ind w:left="4380"/>
              <w:spacing w:after="0"/>
              <w:rPr>
                <w:sz w:val="20"/>
                <w:szCs w:val="20"/>
                <w:color w:val="auto"/>
              </w:rPr>
            </w:pPr>
            <w:r>
              <w:rPr>
                <w:rFonts w:ascii="Arial" w:cs="Arial" w:eastAsia="Arial" w:hAnsi="Arial"/>
                <w:sz w:val="18"/>
                <w:szCs w:val="18"/>
                <w:color w:val="auto"/>
              </w:rPr>
              <w:t>F-18</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tbl>
      <w:tblPr>
        <w:tblLayout w:type="fixed"/>
        <w:tblInd w:w="360" w:type="dxa"/>
        <w:tblCellMar>
          <w:top w:w="0" w:type="dxa"/>
          <w:left w:w="0" w:type="dxa"/>
          <w:bottom w:w="0" w:type="dxa"/>
          <w:right w:w="0" w:type="dxa"/>
        </w:tblCellMar>
      </w:tblPr>
      <w:tr>
        <w:trPr>
          <w:trHeight w:val="222"/>
        </w:trPr>
        <w:tc>
          <w:tcPr>
            <w:tcW w:w="7060" w:type="dxa"/>
            <w:vAlign w:val="bottom"/>
            <w:gridSpan w:val="2"/>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20"/>
        </w:trPr>
        <w:tc>
          <w:tcPr>
            <w:tcW w:w="8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b w:val="1"/>
                <w:bCs w:val="1"/>
                <w:color w:val="auto"/>
              </w:rPr>
              <w:t>June 30,</w:t>
            </w:r>
          </w:p>
        </w:tc>
      </w:tr>
      <w:tr>
        <w:trPr>
          <w:trHeight w:val="228"/>
        </w:trPr>
        <w:tc>
          <w:tcPr>
            <w:tcW w:w="8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280" w:type="dxa"/>
            <w:vAlign w:val="bottom"/>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142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2018</w:t>
            </w:r>
          </w:p>
        </w:tc>
      </w:tr>
      <w:tr>
        <w:trPr>
          <w:trHeight w:val="197"/>
        </w:trPr>
        <w:tc>
          <w:tcPr>
            <w:tcW w:w="800" w:type="dxa"/>
            <w:vAlign w:val="bottom"/>
          </w:tcPr>
          <w:p>
            <w:pPr>
              <w:spacing w:after="0"/>
              <w:rPr>
                <w:sz w:val="17"/>
                <w:szCs w:val="17"/>
                <w:color w:val="auto"/>
              </w:rPr>
            </w:pPr>
          </w:p>
        </w:tc>
        <w:tc>
          <w:tcPr>
            <w:tcW w:w="6260" w:type="dxa"/>
            <w:vAlign w:val="bottom"/>
            <w:shd w:val="clear" w:color="auto" w:fill="E8FFFA"/>
          </w:tcPr>
          <w:p>
            <w:pPr>
              <w:spacing w:after="0" w:line="197" w:lineRule="exact"/>
              <w:rPr>
                <w:sz w:val="20"/>
                <w:szCs w:val="20"/>
                <w:color w:val="auto"/>
              </w:rPr>
            </w:pPr>
            <w:r>
              <w:rPr>
                <w:rFonts w:ascii="Arial" w:cs="Arial" w:eastAsia="Arial" w:hAnsi="Arial"/>
                <w:sz w:val="18"/>
                <w:szCs w:val="18"/>
                <w:b w:val="1"/>
                <w:bCs w:val="1"/>
                <w:color w:val="auto"/>
                <w:w w:val="92"/>
              </w:rPr>
              <w:t>Derivative liabilities designated and effective as hedging instruments carried at</w:t>
            </w:r>
          </w:p>
        </w:tc>
        <w:tc>
          <w:tcPr>
            <w:tcW w:w="12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60" w:type="dxa"/>
            <w:vAlign w:val="bottom"/>
            <w:tcBorders>
              <w:top w:val="single" w:sz="8" w:color="auto"/>
            </w:tcBorders>
            <w:shd w:val="clear" w:color="auto" w:fill="E8FFFA"/>
          </w:tcPr>
          <w:p>
            <w:pPr>
              <w:spacing w:after="0"/>
              <w:rPr>
                <w:sz w:val="17"/>
                <w:szCs w:val="17"/>
                <w:color w:val="auto"/>
              </w:rPr>
            </w:pPr>
          </w:p>
        </w:tc>
      </w:tr>
      <w:tr>
        <w:trPr>
          <w:trHeight w:val="230"/>
        </w:trPr>
        <w:tc>
          <w:tcPr>
            <w:tcW w:w="800" w:type="dxa"/>
            <w:vAlign w:val="bottom"/>
          </w:tcPr>
          <w:p>
            <w:pPr>
              <w:spacing w:after="0"/>
              <w:rPr>
                <w:sz w:val="20"/>
                <w:szCs w:val="20"/>
                <w:color w:val="auto"/>
              </w:rPr>
            </w:pPr>
          </w:p>
        </w:tc>
        <w:tc>
          <w:tcPr>
            <w:tcW w:w="6260" w:type="dxa"/>
            <w:vAlign w:val="bottom"/>
            <w:shd w:val="clear" w:color="auto" w:fill="E8FFFA"/>
          </w:tcPr>
          <w:p>
            <w:pPr>
              <w:ind w:left="140"/>
              <w:spacing w:after="0"/>
              <w:rPr>
                <w:sz w:val="20"/>
                <w:szCs w:val="20"/>
                <w:color w:val="auto"/>
              </w:rPr>
            </w:pPr>
            <w:r>
              <w:rPr>
                <w:rFonts w:ascii="Arial" w:cs="Arial" w:eastAsia="Arial" w:hAnsi="Arial"/>
                <w:sz w:val="18"/>
                <w:szCs w:val="18"/>
                <w:b w:val="1"/>
                <w:bCs w:val="1"/>
                <w:color w:val="auto"/>
              </w:rPr>
              <w:t>fair value</w:t>
            </w:r>
          </w:p>
        </w:tc>
        <w:tc>
          <w:tcPr>
            <w:tcW w:w="128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260" w:type="dxa"/>
            <w:vAlign w:val="bottom"/>
            <w:shd w:val="clear" w:color="auto" w:fill="E8FFFA"/>
          </w:tcPr>
          <w:p>
            <w:pPr>
              <w:spacing w:after="0"/>
              <w:rPr>
                <w:sz w:val="20"/>
                <w:szCs w:val="20"/>
                <w:color w:val="auto"/>
              </w:rPr>
            </w:pPr>
          </w:p>
        </w:tc>
      </w:tr>
      <w:tr>
        <w:trPr>
          <w:trHeight w:val="216"/>
        </w:trPr>
        <w:tc>
          <w:tcPr>
            <w:tcW w:w="8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Cross currency swaps</w:t>
            </w:r>
          </w:p>
        </w:tc>
        <w:tc>
          <w:tcPr>
            <w:tcW w:w="1280" w:type="dxa"/>
            <w:vAlign w:val="bottom"/>
          </w:tcPr>
          <w:p>
            <w:pPr>
              <w:jc w:val="right"/>
              <w:spacing w:after="0"/>
              <w:rPr>
                <w:sz w:val="20"/>
                <w:szCs w:val="20"/>
                <w:color w:val="auto"/>
              </w:rPr>
            </w:pPr>
            <w:r>
              <w:rPr>
                <w:rFonts w:ascii="Arial" w:cs="Arial" w:eastAsia="Arial" w:hAnsi="Arial"/>
                <w:sz w:val="18"/>
                <w:szCs w:val="18"/>
                <w:color w:val="auto"/>
              </w:rPr>
              <w:t>605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80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2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rate swaps</w:t>
            </w:r>
          </w:p>
        </w:tc>
        <w:tc>
          <w:tcPr>
            <w:tcW w:w="1280" w:type="dxa"/>
            <w:vAlign w:val="bottom"/>
          </w:tcPr>
          <w:p>
            <w:pPr>
              <w:jc w:val="right"/>
              <w:spacing w:after="0"/>
              <w:rPr>
                <w:sz w:val="20"/>
                <w:szCs w:val="20"/>
                <w:color w:val="auto"/>
              </w:rPr>
            </w:pPr>
            <w:r>
              <w:rPr>
                <w:rFonts w:ascii="Arial" w:cs="Arial" w:eastAsia="Arial" w:hAnsi="Arial"/>
                <w:sz w:val="18"/>
                <w:szCs w:val="18"/>
                <w:color w:val="auto"/>
              </w:rPr>
              <w:t>1,210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1,152</w:t>
            </w:r>
          </w:p>
        </w:tc>
      </w:tr>
      <w:tr>
        <w:trPr>
          <w:trHeight w:val="216"/>
        </w:trPr>
        <w:tc>
          <w:tcPr>
            <w:tcW w:w="80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Forward foreign exchange contracts</w:t>
            </w: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894</w:t>
            </w:r>
          </w:p>
        </w:tc>
      </w:tr>
      <w:tr>
        <w:trPr>
          <w:trHeight w:val="210"/>
        </w:trPr>
        <w:tc>
          <w:tcPr>
            <w:tcW w:w="8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2,258</w:t>
            </w:r>
          </w:p>
        </w:tc>
      </w:tr>
      <w:tr>
        <w:trPr>
          <w:trHeight w:val="20"/>
        </w:trPr>
        <w:tc>
          <w:tcPr>
            <w:tcW w:w="70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197"/>
        </w:trPr>
        <w:tc>
          <w:tcPr>
            <w:tcW w:w="800" w:type="dxa"/>
            <w:vAlign w:val="bottom"/>
          </w:tcPr>
          <w:p>
            <w:pPr>
              <w:spacing w:after="0"/>
              <w:rPr>
                <w:sz w:val="17"/>
                <w:szCs w:val="17"/>
                <w:color w:val="auto"/>
              </w:rPr>
            </w:pPr>
          </w:p>
        </w:tc>
        <w:tc>
          <w:tcPr>
            <w:tcW w:w="6260" w:type="dxa"/>
            <w:vAlign w:val="bottom"/>
            <w:shd w:val="clear" w:color="auto" w:fill="E8FFFA"/>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1280" w:type="dxa"/>
            <w:vAlign w:val="bottom"/>
            <w:tcBorders>
              <w:top w:val="single" w:sz="8" w:color="auto"/>
            </w:tcBorders>
            <w:shd w:val="clear" w:color="auto" w:fill="E8FFFA"/>
          </w:tcPr>
          <w:p>
            <w:pPr>
              <w:jc w:val="right"/>
              <w:spacing w:after="0" w:line="196" w:lineRule="exact"/>
              <w:rPr>
                <w:sz w:val="20"/>
                <w:szCs w:val="20"/>
                <w:color w:val="auto"/>
              </w:rPr>
            </w:pPr>
            <w:r>
              <w:rPr>
                <w:rFonts w:ascii="Arial" w:cs="Arial" w:eastAsia="Arial" w:hAnsi="Arial"/>
                <w:sz w:val="18"/>
                <w:szCs w:val="18"/>
                <w:color w:val="auto"/>
              </w:rPr>
              <w:t>1,815</w:t>
            </w:r>
          </w:p>
        </w:tc>
        <w:tc>
          <w:tcPr>
            <w:tcW w:w="160" w:type="dxa"/>
            <w:vAlign w:val="bottom"/>
            <w:shd w:val="clear" w:color="auto" w:fill="E8FFFA"/>
          </w:tcPr>
          <w:p>
            <w:pPr>
              <w:spacing w:after="0"/>
              <w:rPr>
                <w:sz w:val="17"/>
                <w:szCs w:val="17"/>
                <w:color w:val="auto"/>
              </w:rPr>
            </w:pPr>
          </w:p>
        </w:tc>
        <w:tc>
          <w:tcPr>
            <w:tcW w:w="1260" w:type="dxa"/>
            <w:vAlign w:val="bottom"/>
            <w:tcBorders>
              <w:top w:val="single" w:sz="8" w:color="auto"/>
            </w:tcBorders>
            <w:shd w:val="clear" w:color="auto" w:fill="E8FFFA"/>
          </w:tcPr>
          <w:p>
            <w:pPr>
              <w:jc w:val="right"/>
              <w:spacing w:after="0" w:line="196" w:lineRule="exact"/>
              <w:rPr>
                <w:sz w:val="20"/>
                <w:szCs w:val="20"/>
                <w:color w:val="auto"/>
              </w:rPr>
            </w:pPr>
            <w:r>
              <w:rPr>
                <w:rFonts w:ascii="Arial" w:cs="Arial" w:eastAsia="Arial" w:hAnsi="Arial"/>
                <w:sz w:val="18"/>
                <w:szCs w:val="18"/>
                <w:color w:val="auto"/>
              </w:rPr>
              <w:t>1,109</w:t>
            </w:r>
          </w:p>
        </w:tc>
      </w:tr>
      <w:tr>
        <w:trPr>
          <w:trHeight w:val="216"/>
        </w:trPr>
        <w:tc>
          <w:tcPr>
            <w:tcW w:w="8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1,149</w:t>
            </w:r>
          </w:p>
        </w:tc>
      </w:tr>
      <w:tr>
        <w:trPr>
          <w:trHeight w:val="210"/>
        </w:trPr>
        <w:tc>
          <w:tcPr>
            <w:tcW w:w="80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1,815</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2,258</w:t>
            </w:r>
          </w:p>
        </w:tc>
      </w:tr>
      <w:tr>
        <w:trPr>
          <w:trHeight w:val="20"/>
        </w:trPr>
        <w:tc>
          <w:tcPr>
            <w:tcW w:w="8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economically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amounts at the respective fixed rates.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2"/>
        </w:trPr>
        <w:tc>
          <w:tcPr>
            <w:tcW w:w="3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Interest rate swaps held for trading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780" w:type="dxa"/>
            <w:vAlign w:val="bottom"/>
            <w:gridSpan w:val="8"/>
          </w:tcPr>
          <w:p>
            <w:pPr>
              <w:ind w:left="360"/>
              <w:spacing w:after="0"/>
              <w:rPr>
                <w:sz w:val="20"/>
                <w:szCs w:val="20"/>
                <w:color w:val="auto"/>
              </w:rPr>
            </w:pPr>
            <w:r>
              <w:rPr>
                <w:rFonts w:ascii="Arial" w:cs="Arial" w:eastAsia="Arial" w:hAnsi="Arial"/>
                <w:sz w:val="18"/>
                <w:szCs w:val="18"/>
                <w:color w:val="auto"/>
                <w:w w:val="89"/>
              </w:rPr>
              <w:t>The principal terms of the interest rate swaps held for trading are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89"/>
              </w:rPr>
              <w:t>Fixed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Trade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Effective</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1"/>
              </w:rPr>
              <w:t>Termination</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1880" w:type="dxa"/>
            <w:vAlign w:val="bottom"/>
            <w:gridSpan w:val="2"/>
          </w:tcPr>
          <w:p>
            <w:pPr>
              <w:ind w:left="1140"/>
              <w:spacing w:after="0"/>
              <w:rPr>
                <w:sz w:val="20"/>
                <w:szCs w:val="20"/>
                <w:color w:val="auto"/>
              </w:rPr>
            </w:pPr>
            <w:r>
              <w:rPr>
                <w:rFonts w:ascii="Arial" w:cs="Arial" w:eastAsia="Arial" w:hAnsi="Arial"/>
                <w:sz w:val="18"/>
                <w:szCs w:val="18"/>
                <w:b w:val="1"/>
                <w:bCs w:val="1"/>
                <w:color w:val="auto"/>
                <w:w w:val="87"/>
              </w:rPr>
              <w:t>Company</w:t>
            </w:r>
          </w:p>
        </w:tc>
        <w:tc>
          <w:tcPr>
            <w:tcW w:w="180" w:type="dxa"/>
            <w:vAlign w:val="bottom"/>
          </w:tcPr>
          <w:p>
            <w:pPr>
              <w:spacing w:after="0"/>
              <w:rPr>
                <w:sz w:val="19"/>
                <w:szCs w:val="19"/>
                <w:color w:val="auto"/>
              </w:rPr>
            </w:pPr>
          </w:p>
        </w:tc>
        <w:tc>
          <w:tcPr>
            <w:tcW w:w="1640" w:type="dxa"/>
            <w:vAlign w:val="bottom"/>
          </w:tcPr>
          <w:p>
            <w:pPr>
              <w:ind w:left="300"/>
              <w:spacing w:after="0"/>
              <w:rPr>
                <w:sz w:val="20"/>
                <w:szCs w:val="20"/>
                <w:color w:val="auto"/>
              </w:rPr>
            </w:pPr>
            <w:r>
              <w:rPr>
                <w:rFonts w:ascii="Arial" w:cs="Arial" w:eastAsia="Arial" w:hAnsi="Arial"/>
                <w:sz w:val="18"/>
                <w:szCs w:val="18"/>
                <w:b w:val="1"/>
                <w:bCs w:val="1"/>
                <w:color w:val="auto"/>
              </w:rPr>
              <w:t>Counterparty</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12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2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GasLog</w:t>
            </w:r>
          </w:p>
        </w:tc>
        <w:tc>
          <w:tcPr>
            <w:tcW w:w="180" w:type="dxa"/>
            <w:vAlign w:val="bottom"/>
            <w:shd w:val="clear" w:color="auto" w:fill="E8FFFA"/>
          </w:tcPr>
          <w:p>
            <w:pPr>
              <w:spacing w:after="0"/>
              <w:rPr>
                <w:sz w:val="18"/>
                <w:szCs w:val="18"/>
                <w:color w:val="auto"/>
              </w:rPr>
            </w:pPr>
          </w:p>
        </w:tc>
        <w:tc>
          <w:tcPr>
            <w:tcW w:w="164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Deutsche Bank AG</w:t>
            </w:r>
          </w:p>
        </w:tc>
        <w:tc>
          <w:tcPr>
            <w:tcW w:w="180" w:type="dxa"/>
            <w:vAlign w:val="bottom"/>
            <w:shd w:val="clear" w:color="auto" w:fill="E8FFFA"/>
          </w:tcPr>
          <w:p>
            <w:pPr>
              <w:spacing w:after="0"/>
              <w:rPr>
                <w:sz w:val="18"/>
                <w:szCs w:val="18"/>
                <w:color w:val="auto"/>
              </w:rPr>
            </w:pPr>
          </w:p>
        </w:tc>
        <w:tc>
          <w:tcPr>
            <w:tcW w:w="86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86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92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90"/>
              </w:rPr>
              <w:t>July 2020</w:t>
            </w:r>
          </w:p>
        </w:tc>
        <w:tc>
          <w:tcPr>
            <w:tcW w:w="160" w:type="dxa"/>
            <w:vAlign w:val="bottom"/>
            <w:shd w:val="clear" w:color="auto" w:fill="E8FFFA"/>
          </w:tcPr>
          <w:p>
            <w:pPr>
              <w:spacing w:after="0"/>
              <w:rPr>
                <w:sz w:val="18"/>
                <w:szCs w:val="18"/>
                <w:color w:val="auto"/>
              </w:rPr>
            </w:pPr>
          </w:p>
        </w:tc>
        <w:tc>
          <w:tcPr>
            <w:tcW w:w="88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90"/>
              </w:rPr>
              <w:t>1.98%</w:t>
            </w:r>
          </w:p>
        </w:tc>
        <w:tc>
          <w:tcPr>
            <w:tcW w:w="160" w:type="dxa"/>
            <w:vAlign w:val="bottom"/>
            <w:shd w:val="clear" w:color="auto" w:fill="E8FFFA"/>
          </w:tcPr>
          <w:p>
            <w:pPr>
              <w:spacing w:after="0"/>
              <w:rPr>
                <w:sz w:val="18"/>
                <w:szCs w:val="18"/>
                <w:color w:val="auto"/>
              </w:rPr>
            </w:pPr>
          </w:p>
        </w:tc>
        <w:tc>
          <w:tcPr>
            <w:tcW w:w="10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Deutsche Bank AG</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1.98%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Deutsche Bank AG</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July 2022</w:t>
            </w:r>
          </w:p>
        </w:tc>
        <w:tc>
          <w:tcPr>
            <w:tcW w:w="10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90"/>
              </w:rPr>
              <w:t>1.98%</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DNB Bank ASA</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1140"/>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("DNB")</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2020</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1.784%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rPr>
              <w:t>DNB</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2021</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88"/>
              </w:rPr>
              <w:t>1.729%</w:t>
            </w:r>
          </w:p>
        </w:tc>
        <w:tc>
          <w:tcPr>
            <w:tcW w:w="1200" w:type="dxa"/>
            <w:vAlign w:val="bottom"/>
            <w:gridSpan w:val="2"/>
            <w:vMerge w:val="restart"/>
            <w:shd w:val="clear" w:color="auto" w:fill="E8FFFA"/>
          </w:tcPr>
          <w:p>
            <w:pPr>
              <w:jc w:val="right"/>
              <w:spacing w:after="0"/>
              <w:rPr>
                <w:sz w:val="20"/>
                <w:szCs w:val="20"/>
                <w:color w:val="auto"/>
              </w:rPr>
            </w:pPr>
            <w:r>
              <w:rPr>
                <w:rFonts w:ascii="Arial" w:cs="Arial" w:eastAsia="Arial" w:hAnsi="Arial"/>
                <w:sz w:val="18"/>
                <w:szCs w:val="18"/>
                <w:color w:val="auto"/>
              </w:rPr>
              <w:t>73,333</w:t>
            </w:r>
          </w:p>
        </w:tc>
        <w:tc>
          <w:tcPr>
            <w:tcW w:w="1120" w:type="dxa"/>
            <w:vAlign w:val="bottom"/>
            <w:gridSpan w:val="2"/>
            <w:vMerge w:val="restart"/>
            <w:shd w:val="clear" w:color="auto" w:fill="E8FFFA"/>
          </w:tcPr>
          <w:p>
            <w:pPr>
              <w:jc w:val="right"/>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(1)</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200" w:type="dxa"/>
            <w:vAlign w:val="bottom"/>
            <w:gridSpan w:val="2"/>
            <w:vMerge w:val="continue"/>
            <w:shd w:val="clear" w:color="auto" w:fill="E8FFFA"/>
          </w:tcPr>
          <w:p>
            <w:pPr>
              <w:spacing w:after="0"/>
              <w:rPr>
                <w:sz w:val="18"/>
                <w:szCs w:val="18"/>
                <w:color w:val="auto"/>
              </w:rPr>
            </w:pPr>
          </w:p>
        </w:tc>
        <w:tc>
          <w:tcPr>
            <w:tcW w:w="1120" w:type="dxa"/>
            <w:vAlign w:val="bottom"/>
            <w:gridSpan w:val="2"/>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DNB</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2022</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1.719%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HSBC Bank plc</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(3)</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("HSBC")</w:t>
            </w:r>
          </w:p>
        </w:tc>
        <w:tc>
          <w:tcPr>
            <w:tcW w:w="180" w:type="dxa"/>
            <w:vAlign w:val="bottom"/>
            <w:shd w:val="clear" w:color="auto" w:fill="E8FFFA"/>
          </w:tcPr>
          <w:p>
            <w:pPr>
              <w:spacing w:after="0"/>
              <w:rPr>
                <w:sz w:val="19"/>
                <w:szCs w:val="19"/>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9"/>
                <w:szCs w:val="19"/>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9"/>
                <w:szCs w:val="19"/>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July 2020</w:t>
            </w:r>
          </w:p>
        </w:tc>
        <w:tc>
          <w:tcPr>
            <w:tcW w:w="10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8"/>
              </w:rPr>
              <w:t>1.896%</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E8FFFA"/>
          </w:tcPr>
          <w:p>
            <w:pPr>
              <w:spacing w:after="0"/>
              <w:rPr>
                <w:sz w:val="19"/>
                <w:szCs w:val="19"/>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tcPr>
          <w:p>
            <w:pPr>
              <w:ind w:left="180"/>
              <w:spacing w:after="0"/>
              <w:rPr>
                <w:sz w:val="20"/>
                <w:szCs w:val="20"/>
                <w:color w:val="auto"/>
              </w:rPr>
            </w:pPr>
            <w:r>
              <w:rPr>
                <w:rFonts w:ascii="Arial" w:cs="Arial" w:eastAsia="Arial" w:hAnsi="Arial"/>
                <w:sz w:val="18"/>
                <w:szCs w:val="18"/>
                <w:color w:val="auto"/>
              </w:rPr>
              <w:t>HSBC</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July 2021</w:t>
            </w:r>
          </w:p>
        </w:tc>
        <w:tc>
          <w:tcPr>
            <w:tcW w:w="104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88"/>
              </w:rPr>
              <w:t>1.818%</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880" w:type="dxa"/>
            <w:vAlign w:val="bottom"/>
            <w:gridSpan w:val="2"/>
          </w:tcPr>
          <w:p>
            <w:pPr>
              <w:jc w:val="right"/>
              <w:ind w:right="336"/>
              <w:spacing w:after="0"/>
              <w:rPr>
                <w:sz w:val="20"/>
                <w:szCs w:val="20"/>
                <w:color w:val="auto"/>
              </w:rPr>
            </w:pPr>
            <w:r>
              <w:rPr>
                <w:rFonts w:ascii="Arial" w:cs="Arial" w:eastAsia="Arial" w:hAnsi="Arial"/>
                <w:sz w:val="15"/>
                <w:szCs w:val="15"/>
                <w:color w:val="auto"/>
              </w:rPr>
              <w:t>(3)</w:t>
            </w: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HSBC</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July 2022</w:t>
            </w:r>
          </w:p>
        </w:tc>
        <w:tc>
          <w:tcPr>
            <w:tcW w:w="10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90"/>
              </w:rPr>
              <w:t>1.79%</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33,333</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w w:val="95"/>
              </w:rPr>
              <w:t>Nordea Bank Finland</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2020</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1.905%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w w:val="95"/>
              </w:rPr>
              <w:t>Nordea Bank Finland</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2021</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90"/>
              </w:rPr>
              <w:t>1.84%</w:t>
            </w:r>
          </w:p>
        </w:tc>
        <w:tc>
          <w:tcPr>
            <w:tcW w:w="1200" w:type="dxa"/>
            <w:vAlign w:val="bottom"/>
            <w:gridSpan w:val="2"/>
            <w:vMerge w:val="restart"/>
            <w:shd w:val="clear" w:color="auto" w:fill="E8FFFA"/>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E8FFFA"/>
          </w:tcPr>
          <w:p>
            <w:pPr>
              <w:spacing w:after="0"/>
              <w:rPr>
                <w:sz w:val="18"/>
                <w:szCs w:val="18"/>
                <w:color w:val="auto"/>
              </w:rPr>
            </w:pPr>
          </w:p>
        </w:tc>
        <w:tc>
          <w:tcPr>
            <w:tcW w:w="96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(2)</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20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w w:val="95"/>
              </w:rPr>
              <w:t>Nordea Bank Finland</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2022</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1.815%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18"/>
                <w:szCs w:val="18"/>
                <w:color w:val="auto"/>
              </w:rPr>
            </w:pP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Skandinavinska</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18"/>
                <w:szCs w:val="18"/>
                <w:color w:val="auto"/>
              </w:rPr>
            </w:pP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w w:val="99"/>
              </w:rPr>
              <w:t>Enskilda Banken AB</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("SEB")</w:t>
            </w:r>
          </w:p>
        </w:tc>
        <w:tc>
          <w:tcPr>
            <w:tcW w:w="180" w:type="dxa"/>
            <w:vAlign w:val="bottom"/>
            <w:shd w:val="clear" w:color="auto" w:fill="E8FFFA"/>
          </w:tcPr>
          <w:p>
            <w:pPr>
              <w:spacing w:after="0"/>
              <w:rPr>
                <w:sz w:val="19"/>
                <w:szCs w:val="19"/>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9"/>
                <w:szCs w:val="19"/>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9"/>
                <w:szCs w:val="19"/>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July 2020</w:t>
            </w:r>
          </w:p>
        </w:tc>
        <w:tc>
          <w:tcPr>
            <w:tcW w:w="10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8"/>
              </w:rPr>
              <w:t>1.928%</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SEB</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1.8405%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rPr>
              <w:t>SEB</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2016</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2022</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88"/>
              </w:rPr>
              <w:t>1.814%</w:t>
            </w:r>
          </w:p>
        </w:tc>
        <w:tc>
          <w:tcPr>
            <w:tcW w:w="1200" w:type="dxa"/>
            <w:vAlign w:val="bottom"/>
            <w:gridSpan w:val="2"/>
            <w:vMerge w:val="restart"/>
            <w:shd w:val="clear" w:color="auto" w:fill="E8FFFA"/>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E8FFFA"/>
          </w:tcPr>
          <w:p>
            <w:pPr>
              <w:spacing w:after="0"/>
              <w:rPr>
                <w:sz w:val="18"/>
                <w:szCs w:val="18"/>
                <w:color w:val="auto"/>
              </w:rPr>
            </w:pPr>
          </w:p>
        </w:tc>
        <w:tc>
          <w:tcPr>
            <w:tcW w:w="96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(3)</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20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HSBC</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Feb 2017</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Feb 2017</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Feb 2022</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w w:val="95"/>
              </w:rPr>
              <w:t>Nordea Bank Finland</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Feb 2017</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Feb 2017</w:t>
            </w: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2"/>
              </w:rPr>
              <w:t>Mar 2022</w:t>
            </w:r>
          </w:p>
        </w:tc>
        <w:tc>
          <w:tcPr>
            <w:tcW w:w="1040" w:type="dxa"/>
            <w:vAlign w:val="bottom"/>
            <w:gridSpan w:val="2"/>
            <w:shd w:val="clear" w:color="auto" w:fill="E8FFFA"/>
          </w:tcPr>
          <w:p>
            <w:pPr>
              <w:jc w:val="center"/>
              <w:ind w:left="72"/>
              <w:spacing w:after="0"/>
              <w:rPr>
                <w:sz w:val="20"/>
                <w:szCs w:val="20"/>
                <w:color w:val="auto"/>
              </w:rPr>
            </w:pPr>
            <w:r>
              <w:rPr>
                <w:rFonts w:ascii="Arial" w:cs="Arial" w:eastAsia="Arial" w:hAnsi="Arial"/>
                <w:sz w:val="18"/>
                <w:szCs w:val="18"/>
                <w:color w:val="auto"/>
                <w:w w:val="90"/>
              </w:rPr>
              <w:t>2.0145%</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ABN Amro Bank NV</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1140"/>
              <w:spacing w:after="0"/>
              <w:rPr>
                <w:sz w:val="20"/>
                <w:szCs w:val="20"/>
                <w:color w:val="auto"/>
              </w:rPr>
            </w:pPr>
            <w:r>
              <w:rPr>
                <w:rFonts w:ascii="Arial" w:cs="Arial" w:eastAsia="Arial" w:hAnsi="Arial"/>
                <w:sz w:val="18"/>
                <w:szCs w:val="18"/>
                <w:color w:val="auto"/>
              </w:rPr>
              <w:t>GasLog</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("ABN")</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Feb 2017</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Feb 2017</w:t>
            </w:r>
          </w:p>
        </w:tc>
        <w:tc>
          <w:tcPr>
            <w:tcW w:w="1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Mar 2022</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w w:val="95"/>
              </w:rPr>
              <w:t>Nordea Bank Finland</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2020</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2026</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88"/>
              </w:rPr>
              <w:t>3.070%</w:t>
            </w:r>
          </w:p>
        </w:tc>
        <w:tc>
          <w:tcPr>
            <w:tcW w:w="160" w:type="dxa"/>
            <w:vAlign w:val="bottom"/>
            <w:shd w:val="clear" w:color="auto" w:fill="E8FFFA"/>
          </w:tcPr>
          <w:p>
            <w:pPr>
              <w:spacing w:after="0"/>
              <w:rPr>
                <w:sz w:val="18"/>
                <w:szCs w:val="18"/>
                <w:color w:val="auto"/>
              </w:rPr>
            </w:pPr>
          </w:p>
        </w:tc>
        <w:tc>
          <w:tcPr>
            <w:tcW w:w="104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(4)</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Nordea Bank Finland</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July 2026</w:t>
            </w:r>
          </w:p>
        </w:tc>
        <w:tc>
          <w:tcPr>
            <w:tcW w:w="104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88"/>
              </w:rPr>
              <w:t>2.562%</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08"/>
        </w:trPr>
        <w:tc>
          <w:tcPr>
            <w:tcW w:w="1880" w:type="dxa"/>
            <w:vAlign w:val="bottom"/>
            <w:gridSpan w:val="2"/>
          </w:tcPr>
          <w:p>
            <w:pPr>
              <w:jc w:val="right"/>
              <w:ind w:right="336"/>
              <w:spacing w:after="0"/>
              <w:rPr>
                <w:sz w:val="20"/>
                <w:szCs w:val="20"/>
                <w:color w:val="auto"/>
              </w:rPr>
            </w:pPr>
            <w:r>
              <w:rPr>
                <w:rFonts w:ascii="Arial" w:cs="Arial" w:eastAsia="Arial" w:hAnsi="Arial"/>
                <w:sz w:val="15"/>
                <w:szCs w:val="15"/>
                <w:color w:val="auto"/>
              </w:rPr>
              <w:t>(2)</w:t>
            </w: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rPr>
              <w:t>SEB</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2020</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2024</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88"/>
              </w:rPr>
              <w:t>3.025%</w:t>
            </w:r>
          </w:p>
        </w:tc>
        <w:tc>
          <w:tcPr>
            <w:tcW w:w="160" w:type="dxa"/>
            <w:vAlign w:val="bottom"/>
            <w:shd w:val="clear" w:color="auto" w:fill="E8FFFA"/>
          </w:tcPr>
          <w:p>
            <w:pPr>
              <w:spacing w:after="0"/>
              <w:rPr>
                <w:sz w:val="18"/>
                <w:szCs w:val="18"/>
                <w:color w:val="auto"/>
              </w:rPr>
            </w:pPr>
          </w:p>
        </w:tc>
        <w:tc>
          <w:tcPr>
            <w:tcW w:w="104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(4)</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tcPr>
          <w:p>
            <w:pPr>
              <w:ind w:left="180"/>
              <w:spacing w:after="0"/>
              <w:rPr>
                <w:sz w:val="20"/>
                <w:szCs w:val="20"/>
                <w:color w:val="auto"/>
              </w:rPr>
            </w:pPr>
            <w:r>
              <w:rPr>
                <w:rFonts w:ascii="Arial" w:cs="Arial" w:eastAsia="Arial" w:hAnsi="Arial"/>
                <w:sz w:val="18"/>
                <w:szCs w:val="18"/>
                <w:color w:val="auto"/>
              </w:rPr>
              <w:t>SEB</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3"/>
              </w:rPr>
              <w:t>Apr 2018</w:t>
            </w:r>
          </w:p>
        </w:tc>
        <w:tc>
          <w:tcPr>
            <w:tcW w:w="18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July 2025</w:t>
            </w:r>
          </w:p>
        </w:tc>
        <w:tc>
          <w:tcPr>
            <w:tcW w:w="104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88"/>
              </w:rPr>
              <w:t>2.300%</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8"/>
        </w:trPr>
        <w:tc>
          <w:tcPr>
            <w:tcW w:w="1880" w:type="dxa"/>
            <w:vAlign w:val="bottom"/>
            <w:gridSpan w:val="2"/>
          </w:tcPr>
          <w:p>
            <w:pPr>
              <w:jc w:val="right"/>
              <w:ind w:right="336"/>
              <w:spacing w:after="0"/>
              <w:rPr>
                <w:sz w:val="20"/>
                <w:szCs w:val="20"/>
                <w:color w:val="auto"/>
              </w:rPr>
            </w:pPr>
            <w:r>
              <w:rPr>
                <w:rFonts w:ascii="Arial" w:cs="Arial" w:eastAsia="Arial" w:hAnsi="Arial"/>
                <w:sz w:val="15"/>
                <w:szCs w:val="15"/>
                <w:color w:val="auto"/>
              </w:rPr>
              <w:t>(3)</w:t>
            </w: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rPr>
              <w:t>DNB</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88"/>
              </w:rPr>
              <w:t>July 2020</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2024</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88"/>
              </w:rPr>
              <w:t>3.056%</w:t>
            </w:r>
          </w:p>
        </w:tc>
        <w:tc>
          <w:tcPr>
            <w:tcW w:w="160" w:type="dxa"/>
            <w:vAlign w:val="bottom"/>
            <w:shd w:val="clear" w:color="auto" w:fill="E8FFFA"/>
          </w:tcPr>
          <w:p>
            <w:pPr>
              <w:spacing w:after="0"/>
              <w:rPr>
                <w:sz w:val="18"/>
                <w:szCs w:val="18"/>
                <w:color w:val="auto"/>
              </w:rPr>
            </w:pPr>
          </w:p>
        </w:tc>
        <w:tc>
          <w:tcPr>
            <w:tcW w:w="104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(4)</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tcPr>
          <w:p>
            <w:pPr>
              <w:ind w:left="180"/>
              <w:spacing w:after="0"/>
              <w:rPr>
                <w:sz w:val="20"/>
                <w:szCs w:val="20"/>
                <w:color w:val="auto"/>
              </w:rPr>
            </w:pPr>
            <w:r>
              <w:rPr>
                <w:rFonts w:ascii="Arial" w:cs="Arial" w:eastAsia="Arial" w:hAnsi="Arial"/>
                <w:sz w:val="18"/>
                <w:szCs w:val="18"/>
                <w:color w:val="auto"/>
              </w:rPr>
              <w:t>DNB</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8"/>
              </w:rPr>
              <w:t>July 2018</w:t>
            </w:r>
          </w:p>
        </w:tc>
        <w:tc>
          <w:tcPr>
            <w:tcW w:w="18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July 2025</w:t>
            </w:r>
          </w:p>
        </w:tc>
        <w:tc>
          <w:tcPr>
            <w:tcW w:w="104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88"/>
              </w:rPr>
              <w:t>2.472%</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1880" w:type="dxa"/>
            <w:vAlign w:val="bottom"/>
            <w:gridSpan w:val="2"/>
          </w:tcPr>
          <w:p>
            <w:pPr>
              <w:jc w:val="right"/>
              <w:ind w:right="336"/>
              <w:spacing w:after="0"/>
              <w:rPr>
                <w:sz w:val="20"/>
                <w:szCs w:val="20"/>
                <w:color w:val="auto"/>
              </w:rPr>
            </w:pPr>
            <w:r>
              <w:rPr>
                <w:rFonts w:ascii="Arial" w:cs="Arial" w:eastAsia="Arial" w:hAnsi="Arial"/>
                <w:sz w:val="15"/>
                <w:szCs w:val="15"/>
                <w:color w:val="auto"/>
              </w:rPr>
              <w:t>(1)</w:t>
            </w: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shd w:val="clear" w:color="auto" w:fill="E8FFFA"/>
          </w:tcPr>
          <w:p>
            <w:pPr>
              <w:ind w:left="180"/>
              <w:spacing w:after="0"/>
              <w:rPr>
                <w:sz w:val="20"/>
                <w:szCs w:val="20"/>
                <w:color w:val="auto"/>
              </w:rPr>
            </w:pPr>
            <w:r>
              <w:rPr>
                <w:rFonts w:ascii="Arial" w:cs="Arial" w:eastAsia="Arial" w:hAnsi="Arial"/>
                <w:sz w:val="18"/>
                <w:szCs w:val="18"/>
                <w:color w:val="auto"/>
              </w:rPr>
              <w:t>HSBC</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shd w:val="clear" w:color="auto" w:fill="E8FFFA"/>
          </w:tcPr>
          <w:p>
            <w:pPr>
              <w:spacing w:after="0"/>
              <w:rPr>
                <w:sz w:val="18"/>
                <w:szCs w:val="18"/>
                <w:color w:val="auto"/>
              </w:rPr>
            </w:pPr>
          </w:p>
        </w:tc>
        <w:tc>
          <w:tcPr>
            <w:tcW w:w="86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3"/>
              </w:rPr>
              <w:t>Apr 2018</w:t>
            </w:r>
          </w:p>
        </w:tc>
        <w:tc>
          <w:tcPr>
            <w:tcW w:w="180" w:type="dxa"/>
            <w:vAlign w:val="bottom"/>
            <w:shd w:val="clear" w:color="auto" w:fill="E8FFFA"/>
          </w:tcPr>
          <w:p>
            <w:pPr>
              <w:spacing w:after="0"/>
              <w:rPr>
                <w:sz w:val="18"/>
                <w:szCs w:val="18"/>
                <w:color w:val="auto"/>
              </w:rPr>
            </w:pPr>
          </w:p>
        </w:tc>
        <w:tc>
          <w:tcPr>
            <w:tcW w:w="920" w:type="dxa"/>
            <w:vAlign w:val="bottom"/>
            <w:vMerge w:val="restart"/>
            <w:shd w:val="clear" w:color="auto" w:fill="E8FFFA"/>
          </w:tcPr>
          <w:p>
            <w:pPr>
              <w:jc w:val="center"/>
              <w:spacing w:after="0"/>
              <w:rPr>
                <w:sz w:val="20"/>
                <w:szCs w:val="20"/>
                <w:color w:val="auto"/>
              </w:rPr>
            </w:pPr>
            <w:r>
              <w:rPr>
                <w:rFonts w:ascii="Arial" w:cs="Arial" w:eastAsia="Arial" w:hAnsi="Arial"/>
                <w:sz w:val="18"/>
                <w:szCs w:val="18"/>
                <w:color w:val="auto"/>
                <w:w w:val="90"/>
              </w:rPr>
              <w:t>July 2024</w:t>
            </w:r>
          </w:p>
        </w:tc>
        <w:tc>
          <w:tcPr>
            <w:tcW w:w="1040" w:type="dxa"/>
            <w:vAlign w:val="bottom"/>
            <w:gridSpan w:val="2"/>
            <w:vMerge w:val="restart"/>
            <w:shd w:val="clear" w:color="auto" w:fill="E8FFFA"/>
          </w:tcPr>
          <w:p>
            <w:pPr>
              <w:jc w:val="center"/>
              <w:ind w:left="52"/>
              <w:spacing w:after="0"/>
              <w:rPr>
                <w:sz w:val="20"/>
                <w:szCs w:val="20"/>
                <w:color w:val="auto"/>
              </w:rPr>
            </w:pPr>
            <w:r>
              <w:rPr>
                <w:rFonts w:ascii="Arial" w:cs="Arial" w:eastAsia="Arial" w:hAnsi="Arial"/>
                <w:sz w:val="18"/>
                <w:szCs w:val="18"/>
                <w:color w:val="auto"/>
                <w:w w:val="88"/>
              </w:rPr>
              <w:t>2.475%</w:t>
            </w:r>
          </w:p>
        </w:tc>
        <w:tc>
          <w:tcPr>
            <w:tcW w:w="160" w:type="dxa"/>
            <w:vAlign w:val="bottom"/>
            <w:shd w:val="clear" w:color="auto" w:fill="E8FFFA"/>
          </w:tcPr>
          <w:p>
            <w:pPr>
              <w:spacing w:after="0"/>
              <w:rPr>
                <w:sz w:val="18"/>
                <w:szCs w:val="18"/>
                <w:color w:val="auto"/>
              </w:rPr>
            </w:pPr>
          </w:p>
        </w:tc>
        <w:tc>
          <w:tcPr>
            <w:tcW w:w="104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E8FFFA"/>
          </w:tcPr>
          <w:p>
            <w:pPr>
              <w:jc w:val="right"/>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(3)</w:t>
            </w:r>
          </w:p>
        </w:tc>
        <w:tc>
          <w:tcPr>
            <w:tcW w:w="1820" w:type="dxa"/>
            <w:vAlign w:val="bottom"/>
            <w:gridSpan w:val="2"/>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vMerge w:val="continue"/>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vMerge w:val="continue"/>
            <w:shd w:val="clear" w:color="auto" w:fill="E8FFFA"/>
          </w:tcPr>
          <w:p>
            <w:pPr>
              <w:spacing w:after="0"/>
              <w:rPr>
                <w:sz w:val="18"/>
                <w:szCs w:val="18"/>
                <w:color w:val="auto"/>
              </w:rPr>
            </w:pPr>
          </w:p>
        </w:tc>
        <w:tc>
          <w:tcPr>
            <w:tcW w:w="104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vMerge w:val="continue"/>
            <w:shd w:val="clear" w:color="auto" w:fill="E8FFFA"/>
          </w:tcPr>
          <w:p>
            <w:pPr>
              <w:spacing w:after="0"/>
              <w:rPr>
                <w:sz w:val="18"/>
                <w:szCs w:val="18"/>
                <w:color w:val="auto"/>
              </w:rPr>
            </w:pPr>
          </w:p>
        </w:tc>
        <w:tc>
          <w:tcPr>
            <w:tcW w:w="1120" w:type="dxa"/>
            <w:vAlign w:val="bottom"/>
            <w:gridSpan w:val="2"/>
            <w:vMerge w:val="continue"/>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tcPr>
          <w:p>
            <w:pPr>
              <w:ind w:left="180"/>
              <w:spacing w:after="0"/>
              <w:rPr>
                <w:sz w:val="20"/>
                <w:szCs w:val="20"/>
                <w:color w:val="auto"/>
              </w:rPr>
            </w:pPr>
            <w:r>
              <w:rPr>
                <w:rFonts w:ascii="Arial" w:cs="Arial" w:eastAsia="Arial" w:hAnsi="Arial"/>
                <w:sz w:val="18"/>
                <w:szCs w:val="18"/>
                <w:color w:val="auto"/>
              </w:rPr>
              <w:t>HSBC</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3"/>
              </w:rPr>
              <w:t>Apr 2018</w:t>
            </w:r>
          </w:p>
        </w:tc>
        <w:tc>
          <w:tcPr>
            <w:tcW w:w="18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July 2025</w:t>
            </w:r>
          </w:p>
        </w:tc>
        <w:tc>
          <w:tcPr>
            <w:tcW w:w="104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88"/>
              </w:rPr>
              <w:t>2.550%</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09"/>
        </w:trPr>
        <w:tc>
          <w:tcPr>
            <w:tcW w:w="1880" w:type="dxa"/>
            <w:vAlign w:val="bottom"/>
            <w:gridSpan w:val="2"/>
          </w:tcPr>
          <w:p>
            <w:pPr>
              <w:jc w:val="right"/>
              <w:ind w:right="336"/>
              <w:spacing w:after="0"/>
              <w:rPr>
                <w:sz w:val="20"/>
                <w:szCs w:val="20"/>
                <w:color w:val="auto"/>
              </w:rPr>
            </w:pPr>
            <w:r>
              <w:rPr>
                <w:rFonts w:ascii="Arial" w:cs="Arial" w:eastAsia="Arial" w:hAnsi="Arial"/>
                <w:sz w:val="15"/>
                <w:szCs w:val="15"/>
                <w:color w:val="auto"/>
              </w:rPr>
              <w:t>(3)</w:t>
            </w: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w w:val="99"/>
              </w:rPr>
              <w:t>Citibank Europe Plc.</w:t>
            </w: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4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20" w:type="dxa"/>
            <w:vAlign w:val="bottom"/>
            <w:shd w:val="clear" w:color="auto" w:fill="E8FFFA"/>
          </w:tcPr>
          <w:p>
            <w:pPr>
              <w:jc w:val="right"/>
              <w:ind w:right="336"/>
              <w:spacing w:after="0"/>
              <w:rPr>
                <w:sz w:val="20"/>
                <w:szCs w:val="20"/>
                <w:color w:val="auto"/>
              </w:rPr>
            </w:pPr>
            <w:r>
              <w:rPr>
                <w:rFonts w:ascii="Arial" w:cs="Arial" w:eastAsia="Arial" w:hAnsi="Arial"/>
                <w:sz w:val="15"/>
                <w:szCs w:val="15"/>
                <w:color w:val="auto"/>
              </w:rPr>
              <w:t>(4)</w:t>
            </w:r>
          </w:p>
        </w:tc>
        <w:tc>
          <w:tcPr>
            <w:tcW w:w="1820" w:type="dxa"/>
            <w:vAlign w:val="bottom"/>
            <w:gridSpan w:val="2"/>
            <w:shd w:val="clear" w:color="auto" w:fill="E8FFFA"/>
          </w:tcPr>
          <w:p>
            <w:pPr>
              <w:ind w:left="180"/>
              <w:spacing w:after="0"/>
              <w:rPr>
                <w:sz w:val="20"/>
                <w:szCs w:val="20"/>
                <w:color w:val="auto"/>
              </w:rPr>
            </w:pPr>
            <w:r>
              <w:rPr>
                <w:rFonts w:ascii="Arial" w:cs="Arial" w:eastAsia="Arial" w:hAnsi="Arial"/>
                <w:sz w:val="18"/>
                <w:szCs w:val="18"/>
                <w:color w:val="auto"/>
              </w:rPr>
              <w:t>("CITI")</w:t>
            </w:r>
          </w:p>
        </w:tc>
        <w:tc>
          <w:tcPr>
            <w:tcW w:w="180" w:type="dxa"/>
            <w:vAlign w:val="bottom"/>
            <w:shd w:val="clear" w:color="auto" w:fill="E8FFFA"/>
          </w:tcPr>
          <w:p>
            <w:pPr>
              <w:spacing w:after="0"/>
              <w:rPr>
                <w:sz w:val="19"/>
                <w:szCs w:val="19"/>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shd w:val="clear" w:color="auto" w:fill="E8FFFA"/>
          </w:tcPr>
          <w:p>
            <w:pPr>
              <w:spacing w:after="0"/>
              <w:rPr>
                <w:sz w:val="19"/>
                <w:szCs w:val="19"/>
                <w:color w:val="auto"/>
              </w:rPr>
            </w:pPr>
          </w:p>
        </w:tc>
        <w:tc>
          <w:tcPr>
            <w:tcW w:w="86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July 2020</w:t>
            </w:r>
          </w:p>
        </w:tc>
        <w:tc>
          <w:tcPr>
            <w:tcW w:w="180" w:type="dxa"/>
            <w:vAlign w:val="bottom"/>
            <w:shd w:val="clear" w:color="auto" w:fill="E8FFFA"/>
          </w:tcPr>
          <w:p>
            <w:pPr>
              <w:spacing w:after="0"/>
              <w:rPr>
                <w:sz w:val="19"/>
                <w:szCs w:val="19"/>
                <w:color w:val="auto"/>
              </w:rPr>
            </w:pPr>
          </w:p>
        </w:tc>
        <w:tc>
          <w:tcPr>
            <w:tcW w:w="9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July 2024</w:t>
            </w:r>
          </w:p>
        </w:tc>
        <w:tc>
          <w:tcPr>
            <w:tcW w:w="104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8"/>
              </w:rPr>
              <w:t>3.082%</w:t>
            </w:r>
          </w:p>
        </w:tc>
        <w:tc>
          <w:tcPr>
            <w:tcW w:w="160" w:type="dxa"/>
            <w:vAlign w:val="bottom"/>
            <w:shd w:val="clear" w:color="auto" w:fill="E8FFFA"/>
          </w:tcPr>
          <w:p>
            <w:pPr>
              <w:spacing w:after="0"/>
              <w:rPr>
                <w:sz w:val="19"/>
                <w:szCs w:val="19"/>
                <w:color w:val="auto"/>
              </w:rPr>
            </w:pPr>
          </w:p>
        </w:tc>
        <w:tc>
          <w:tcPr>
            <w:tcW w:w="10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9"/>
                <w:szCs w:val="19"/>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GasLog</w:t>
            </w:r>
          </w:p>
        </w:tc>
        <w:tc>
          <w:tcPr>
            <w:tcW w:w="1820" w:type="dxa"/>
            <w:vAlign w:val="bottom"/>
            <w:gridSpan w:val="2"/>
            <w:vMerge w:val="restart"/>
          </w:tcPr>
          <w:p>
            <w:pPr>
              <w:ind w:left="180"/>
              <w:spacing w:after="0"/>
              <w:rPr>
                <w:sz w:val="20"/>
                <w:szCs w:val="20"/>
                <w:color w:val="auto"/>
              </w:rPr>
            </w:pPr>
            <w:r>
              <w:rPr>
                <w:rFonts w:ascii="Arial" w:cs="Arial" w:eastAsia="Arial" w:hAnsi="Arial"/>
                <w:sz w:val="18"/>
                <w:szCs w:val="18"/>
                <w:color w:val="auto"/>
              </w:rPr>
              <w:t>CITI</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May 2018</w:t>
            </w:r>
          </w:p>
        </w:tc>
        <w:tc>
          <w:tcPr>
            <w:tcW w:w="1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8"/>
              </w:rPr>
              <w:t>July 2021</w:t>
            </w:r>
          </w:p>
        </w:tc>
        <w:tc>
          <w:tcPr>
            <w:tcW w:w="18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July 2025</w:t>
            </w:r>
          </w:p>
        </w:tc>
        <w:tc>
          <w:tcPr>
            <w:tcW w:w="104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88"/>
              </w:rPr>
              <w:t>3.095%</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1880" w:type="dxa"/>
            <w:vAlign w:val="bottom"/>
            <w:gridSpan w:val="2"/>
          </w:tcPr>
          <w:p>
            <w:pPr>
              <w:jc w:val="right"/>
              <w:ind w:right="336"/>
              <w:spacing w:after="0"/>
              <w:rPr>
                <w:sz w:val="20"/>
                <w:szCs w:val="20"/>
                <w:color w:val="auto"/>
              </w:rPr>
            </w:pPr>
            <w:r>
              <w:rPr>
                <w:rFonts w:ascii="Arial" w:cs="Arial" w:eastAsia="Arial" w:hAnsi="Arial"/>
                <w:sz w:val="15"/>
                <w:szCs w:val="15"/>
                <w:color w:val="auto"/>
              </w:rPr>
              <w:t>(4)</w:t>
            </w: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72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64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8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tcBorders>
              <w:top w:val="single" w:sz="8" w:color="auto"/>
              <w:bottom w:val="single" w:sz="8" w:color="auto"/>
            </w:tcBorders>
            <w:shd w:val="clear" w:color="auto" w:fill="E8FFFA"/>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shd w:val="clear" w:color="auto" w:fill="E8FFFA"/>
          </w:tcPr>
          <w:p>
            <w:pPr>
              <w:spacing w:after="0"/>
              <w:rPr>
                <w:sz w:val="18"/>
                <w:szCs w:val="18"/>
                <w:color w:val="auto"/>
              </w:rPr>
            </w:pPr>
          </w:p>
        </w:tc>
        <w:tc>
          <w:tcPr>
            <w:tcW w:w="10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1,170,000</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1,170,000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540" w:right="420" w:hanging="532"/>
        <w:spacing w:after="0" w:line="220" w:lineRule="auto"/>
        <w:tabs>
          <w:tab w:leader="none" w:pos="540" w:val="left"/>
        </w:tabs>
        <w:numPr>
          <w:ilvl w:val="0"/>
          <w:numId w:val="25"/>
        </w:numPr>
        <w:rPr>
          <w:rFonts w:ascii="Arial" w:cs="Arial" w:eastAsia="Arial" w:hAnsi="Arial"/>
          <w:sz w:val="11"/>
          <w:szCs w:val="11"/>
          <w:color w:val="auto"/>
        </w:rPr>
      </w:pPr>
      <w:r>
        <w:rPr>
          <w:rFonts w:ascii="Arial" w:cs="Arial" w:eastAsia="Arial" w:hAnsi="Arial"/>
          <w:sz w:val="14"/>
          <w:szCs w:val="14"/>
          <w:color w:val="auto"/>
        </w:rPr>
        <w:t>In May 2018, the Group terminated an interest rate swap originally maturing in July 2021 with an effective date of July 2018. This swap was subsequently replaced with a new swap of the same notional amount of $73,333 with an effective date of July 2018 and a new maturity date of July 2025.</w:t>
      </w:r>
    </w:p>
    <w:p>
      <w:pPr>
        <w:ind w:left="540" w:hanging="532"/>
        <w:spacing w:after="0" w:line="234" w:lineRule="auto"/>
        <w:tabs>
          <w:tab w:leader="none" w:pos="540" w:val="left"/>
        </w:tabs>
        <w:numPr>
          <w:ilvl w:val="0"/>
          <w:numId w:val="25"/>
        </w:numPr>
        <w:rPr>
          <w:rFonts w:ascii="Arial" w:cs="Arial" w:eastAsia="Arial" w:hAnsi="Arial"/>
          <w:sz w:val="10"/>
          <w:szCs w:val="10"/>
          <w:color w:val="auto"/>
        </w:rPr>
      </w:pPr>
      <w:r>
        <w:rPr>
          <w:rFonts w:ascii="Arial" w:cs="Arial" w:eastAsia="Arial" w:hAnsi="Arial"/>
          <w:sz w:val="12"/>
          <w:szCs w:val="12"/>
          <w:color w:val="auto"/>
        </w:rPr>
        <w:t>Effective May 2018, the Group terminated the interest rate swap originally maturing in July 2021 and replaced with a new swap of the same notional amount of $66,667 maturing in July 2026.</w:t>
      </w:r>
    </w:p>
    <w:p>
      <w:pPr>
        <w:ind w:left="540" w:hanging="532"/>
        <w:spacing w:after="0" w:line="214" w:lineRule="auto"/>
        <w:tabs>
          <w:tab w:leader="none" w:pos="540" w:val="left"/>
        </w:tabs>
        <w:numPr>
          <w:ilvl w:val="0"/>
          <w:numId w:val="25"/>
        </w:numPr>
        <w:rPr>
          <w:rFonts w:ascii="Arial" w:cs="Arial" w:eastAsia="Arial" w:hAnsi="Arial"/>
          <w:sz w:val="11"/>
          <w:szCs w:val="11"/>
          <w:color w:val="auto"/>
        </w:rPr>
      </w:pPr>
      <w:r>
        <w:rPr>
          <w:rFonts w:ascii="Arial" w:cs="Arial" w:eastAsia="Arial" w:hAnsi="Arial"/>
          <w:sz w:val="14"/>
          <w:szCs w:val="14"/>
          <w:color w:val="auto"/>
        </w:rPr>
        <w:t>Effective May 2018, the Group terminated the interest rate swap with SEB originally maturing in July 2022 and replaced with a new swap of the same notional amount of $50,000 with an effective date of April 2018 and a new maturity date of July 2025. In addition, in May 2018, the Group terminated the interest rate swap agreements with HSBC with an aggregate notional value of $66,666 and entered into new agreements of the same notional amounts with an effective date April 2018.</w:t>
      </w:r>
    </w:p>
    <w:p>
      <w:pPr>
        <w:spacing w:after="0" w:line="1" w:lineRule="exact"/>
        <w:rPr>
          <w:rFonts w:ascii="Arial" w:cs="Arial" w:eastAsia="Arial" w:hAnsi="Arial"/>
          <w:sz w:val="11"/>
          <w:szCs w:val="11"/>
          <w:color w:val="auto"/>
        </w:rPr>
      </w:pPr>
    </w:p>
    <w:p>
      <w:pPr>
        <w:ind w:left="540" w:right="340" w:hanging="532"/>
        <w:spacing w:after="0" w:line="230" w:lineRule="auto"/>
        <w:tabs>
          <w:tab w:leader="none" w:pos="540" w:val="left"/>
        </w:tabs>
        <w:numPr>
          <w:ilvl w:val="0"/>
          <w:numId w:val="25"/>
        </w:numPr>
        <w:rPr>
          <w:rFonts w:ascii="Arial" w:cs="Arial" w:eastAsia="Arial" w:hAnsi="Arial"/>
          <w:sz w:val="11"/>
          <w:szCs w:val="11"/>
          <w:color w:val="auto"/>
        </w:rPr>
      </w:pPr>
      <w:r>
        <w:rPr>
          <w:rFonts w:ascii="Arial" w:cs="Arial" w:eastAsia="Arial" w:hAnsi="Arial"/>
          <w:sz w:val="14"/>
          <w:szCs w:val="14"/>
          <w:color w:val="auto"/>
        </w:rPr>
        <w:t>In May 2018, the Group entered into new interest rate swap agreements with various counterparties with an aggregate notional value of $250,000, with effective dates in July 2020 and July 2021, maturing between 2024 and 2026.</w:t>
      </w:r>
    </w:p>
    <w:p>
      <w:pPr>
        <w:spacing w:after="0" w:line="19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derivative instruments listed above were not designated as cash flow hedging instruments. The change in the fair value of these contracts for the three and six months ended June 30, 2018 amounted to a net loss of $3,838 and net gain of $20,151, respectively (for the three and six months ended June 30, 2017: a net loss of $4,978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ind w:right="40"/>
        <w:spacing w:after="0" w:line="256" w:lineRule="auto"/>
        <w:rPr>
          <w:sz w:val="20"/>
          <w:szCs w:val="20"/>
          <w:color w:val="auto"/>
        </w:rPr>
      </w:pPr>
      <w:r>
        <w:rPr>
          <w:rFonts w:ascii="Arial" w:cs="Arial" w:eastAsia="Arial" w:hAnsi="Arial"/>
          <w:sz w:val="18"/>
          <w:szCs w:val="18"/>
          <w:color w:val="auto"/>
        </w:rPr>
        <w:t>and $3,140, respectively), which was recognized against profit or loss in the period incurred and is included in Loss/gain on swaps. During the three and six months ended June 30, 2018, the net loss of $3,838 and a net gain of $20,151 derived mainly from the fact that the LIBOR yield curve, which was used to calculate the present value of the estimated future cash flows, was lower/higher than the agreed fixed interest rates resulting in an increase/decrease in derivative liabilities from interest rate swaps held for trading.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 ("CCS")</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Group enters into CCS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CCS designated as cash flow hedging instruments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rPr>
              <w:t>Notional Amount</w:t>
            </w:r>
          </w:p>
        </w:tc>
      </w:tr>
      <w:tr>
        <w:trPr>
          <w:trHeight w:val="19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89"/>
              </w:rPr>
              <w:t>Fixed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Trade</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1"/>
              </w:rPr>
              <w:t>Termination</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June 30,</w:t>
            </w: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0"/>
              </w:rPr>
              <w:t>Company</w:t>
            </w:r>
          </w:p>
        </w:tc>
        <w:tc>
          <w:tcPr>
            <w:tcW w:w="160" w:type="dxa"/>
            <w:vAlign w:val="bottom"/>
          </w:tcPr>
          <w:p>
            <w:pPr>
              <w:spacing w:after="0"/>
              <w:rPr>
                <w:sz w:val="19"/>
                <w:szCs w:val="19"/>
                <w:color w:val="auto"/>
              </w:rPr>
            </w:pPr>
          </w:p>
        </w:tc>
        <w:tc>
          <w:tcPr>
            <w:tcW w:w="1480" w:type="dxa"/>
            <w:vAlign w:val="bottom"/>
          </w:tcPr>
          <w:p>
            <w:pPr>
              <w:ind w:left="220"/>
              <w:spacing w:after="0"/>
              <w:rPr>
                <w:sz w:val="20"/>
                <w:szCs w:val="20"/>
                <w:color w:val="auto"/>
              </w:rPr>
            </w:pPr>
            <w:r>
              <w:rPr>
                <w:rFonts w:ascii="Arial" w:cs="Arial" w:eastAsia="Arial" w:hAnsi="Arial"/>
                <w:sz w:val="18"/>
                <w:szCs w:val="18"/>
                <w:b w:val="1"/>
                <w:bCs w:val="1"/>
                <w:color w:val="auto"/>
              </w:rPr>
              <w:t>Counterparty</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1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12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2018</w:t>
            </w:r>
          </w:p>
        </w:tc>
      </w:tr>
      <w:tr>
        <w:trPr>
          <w:trHeight w:val="211"/>
        </w:trPr>
        <w:tc>
          <w:tcPr>
            <w:tcW w:w="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GasLog</w:t>
            </w:r>
          </w:p>
        </w:tc>
        <w:tc>
          <w:tcPr>
            <w:tcW w:w="16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DNB</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May 2021</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8.59%</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30,050</w:t>
            </w:r>
          </w:p>
        </w:tc>
      </w:tr>
      <w:tr>
        <w:trPr>
          <w:trHeight w:val="216"/>
        </w:trPr>
        <w:tc>
          <w:tcPr>
            <w:tcW w:w="20" w:type="dxa"/>
            <w:vAlign w:val="bottom"/>
          </w:tcPr>
          <w:p>
            <w:pPr>
              <w:spacing w:after="0"/>
              <w:rPr>
                <w:sz w:val="18"/>
                <w:szCs w:val="18"/>
                <w:color w:val="auto"/>
              </w:rPr>
            </w:pPr>
          </w:p>
        </w:tc>
        <w:tc>
          <w:tcPr>
            <w:tcW w:w="740" w:type="dxa"/>
            <w:vAlign w:val="bottom"/>
            <w:shd w:val="clear" w:color="auto" w:fill="E8FFFA"/>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shd w:val="clear" w:color="auto" w:fill="E8FFFA"/>
          </w:tcPr>
          <w:p>
            <w:pPr>
              <w:ind w:left="160"/>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shd w:val="clear" w:color="auto" w:fill="E8FFFA"/>
          </w:tcPr>
          <w:p>
            <w:pPr>
              <w:spacing w:after="0"/>
              <w:rPr>
                <w:sz w:val="18"/>
                <w:szCs w:val="18"/>
                <w:color w:val="auto"/>
              </w:rPr>
            </w:pPr>
          </w:p>
        </w:tc>
        <w:tc>
          <w:tcPr>
            <w:tcW w:w="9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May 2021</w:t>
            </w:r>
          </w:p>
        </w:tc>
        <w:tc>
          <w:tcPr>
            <w:tcW w:w="120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90"/>
              </w:rPr>
              <w:t>8.59%</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30,050</w:t>
            </w: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Nordea Bank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Finland</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May 2021</w:t>
            </w:r>
          </w:p>
        </w:tc>
        <w:tc>
          <w:tcPr>
            <w:tcW w:w="120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8.59%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30,050</w:t>
            </w:r>
          </w:p>
        </w:tc>
      </w:tr>
      <w:tr>
        <w:trPr>
          <w:trHeight w:val="219"/>
        </w:trPr>
        <w:tc>
          <w:tcPr>
            <w:tcW w:w="20" w:type="dxa"/>
            <w:vAlign w:val="bottom"/>
          </w:tcPr>
          <w:p>
            <w:pPr>
              <w:spacing w:after="0"/>
              <w:rPr>
                <w:sz w:val="19"/>
                <w:szCs w:val="19"/>
                <w:color w:val="auto"/>
              </w:rPr>
            </w:pPr>
          </w:p>
        </w:tc>
        <w:tc>
          <w:tcPr>
            <w:tcW w:w="740" w:type="dxa"/>
            <w:vAlign w:val="bottom"/>
            <w:tcBorders>
              <w:bottom w:val="single" w:sz="8" w:color="E8FFFA"/>
            </w:tcBorders>
            <w:shd w:val="clear" w:color="auto" w:fill="E8FFFA"/>
          </w:tcPr>
          <w:p>
            <w:pPr>
              <w:spacing w:after="0"/>
              <w:rPr>
                <w:sz w:val="19"/>
                <w:szCs w:val="19"/>
                <w:color w:val="auto"/>
              </w:rPr>
            </w:pPr>
          </w:p>
        </w:tc>
        <w:tc>
          <w:tcPr>
            <w:tcW w:w="160" w:type="dxa"/>
            <w:vAlign w:val="bottom"/>
            <w:tcBorders>
              <w:bottom w:val="single" w:sz="8" w:color="E8FFFA"/>
            </w:tcBorders>
            <w:shd w:val="clear" w:color="auto" w:fill="E8FFFA"/>
          </w:tcPr>
          <w:p>
            <w:pPr>
              <w:spacing w:after="0"/>
              <w:rPr>
                <w:sz w:val="19"/>
                <w:szCs w:val="19"/>
                <w:color w:val="auto"/>
              </w:rPr>
            </w:pPr>
          </w:p>
        </w:tc>
        <w:tc>
          <w:tcPr>
            <w:tcW w:w="1480" w:type="dxa"/>
            <w:vAlign w:val="bottom"/>
            <w:tcBorders>
              <w:bottom w:val="single" w:sz="8" w:color="E8FFFA"/>
            </w:tcBorders>
            <w:shd w:val="clear" w:color="auto" w:fill="E8FFFA"/>
          </w:tcPr>
          <w:p>
            <w:pPr>
              <w:spacing w:after="0"/>
              <w:rPr>
                <w:sz w:val="19"/>
                <w:szCs w:val="19"/>
                <w:color w:val="auto"/>
              </w:rPr>
            </w:pPr>
          </w:p>
        </w:tc>
        <w:tc>
          <w:tcPr>
            <w:tcW w:w="160" w:type="dxa"/>
            <w:vAlign w:val="bottom"/>
            <w:tcBorders>
              <w:bottom w:val="single" w:sz="8" w:color="E8FFFA"/>
            </w:tcBorders>
            <w:shd w:val="clear" w:color="auto" w:fill="E8FFFA"/>
          </w:tcPr>
          <w:p>
            <w:pPr>
              <w:spacing w:after="0"/>
              <w:rPr>
                <w:sz w:val="19"/>
                <w:szCs w:val="19"/>
                <w:color w:val="auto"/>
              </w:rPr>
            </w:pPr>
          </w:p>
        </w:tc>
        <w:tc>
          <w:tcPr>
            <w:tcW w:w="880" w:type="dxa"/>
            <w:vAlign w:val="bottom"/>
            <w:tcBorders>
              <w:bottom w:val="single" w:sz="8" w:color="E8FFFA"/>
            </w:tcBorders>
            <w:shd w:val="clear" w:color="auto" w:fill="E8FFFA"/>
          </w:tcPr>
          <w:p>
            <w:pPr>
              <w:spacing w:after="0"/>
              <w:rPr>
                <w:sz w:val="19"/>
                <w:szCs w:val="19"/>
                <w:color w:val="auto"/>
              </w:rPr>
            </w:pPr>
          </w:p>
        </w:tc>
        <w:tc>
          <w:tcPr>
            <w:tcW w:w="160" w:type="dxa"/>
            <w:vAlign w:val="bottom"/>
            <w:tcBorders>
              <w:bottom w:val="single" w:sz="8" w:color="E8FFFA"/>
            </w:tcBorders>
            <w:shd w:val="clear" w:color="auto" w:fill="E8FFFA"/>
          </w:tcPr>
          <w:p>
            <w:pPr>
              <w:spacing w:after="0"/>
              <w:rPr>
                <w:sz w:val="19"/>
                <w:szCs w:val="19"/>
                <w:color w:val="auto"/>
              </w:rPr>
            </w:pPr>
          </w:p>
        </w:tc>
        <w:tc>
          <w:tcPr>
            <w:tcW w:w="880" w:type="dxa"/>
            <w:vAlign w:val="bottom"/>
            <w:tcBorders>
              <w:bottom w:val="single" w:sz="8" w:color="E8FFFA"/>
            </w:tcBorders>
            <w:shd w:val="clear" w:color="auto" w:fill="E8FFFA"/>
          </w:tcPr>
          <w:p>
            <w:pPr>
              <w:spacing w:after="0"/>
              <w:rPr>
                <w:sz w:val="19"/>
                <w:szCs w:val="19"/>
                <w:color w:val="auto"/>
              </w:rPr>
            </w:pPr>
          </w:p>
        </w:tc>
        <w:tc>
          <w:tcPr>
            <w:tcW w:w="160" w:type="dxa"/>
            <w:vAlign w:val="bottom"/>
            <w:tcBorders>
              <w:bottom w:val="single" w:sz="8" w:color="E8FFFA"/>
            </w:tcBorders>
            <w:shd w:val="clear" w:color="auto" w:fill="E8FFFA"/>
          </w:tcPr>
          <w:p>
            <w:pPr>
              <w:spacing w:after="0"/>
              <w:rPr>
                <w:sz w:val="19"/>
                <w:szCs w:val="19"/>
                <w:color w:val="auto"/>
              </w:rPr>
            </w:pPr>
          </w:p>
        </w:tc>
        <w:tc>
          <w:tcPr>
            <w:tcW w:w="940" w:type="dxa"/>
            <w:vAlign w:val="bottom"/>
            <w:tcBorders>
              <w:bottom w:val="single" w:sz="8" w:color="E8FFFA"/>
            </w:tcBorders>
            <w:shd w:val="clear" w:color="auto" w:fill="E8FFFA"/>
          </w:tcPr>
          <w:p>
            <w:pPr>
              <w:spacing w:after="0"/>
              <w:rPr>
                <w:sz w:val="19"/>
                <w:szCs w:val="19"/>
                <w:color w:val="auto"/>
              </w:rPr>
            </w:pPr>
          </w:p>
        </w:tc>
        <w:tc>
          <w:tcPr>
            <w:tcW w:w="160" w:type="dxa"/>
            <w:vAlign w:val="bottom"/>
            <w:tcBorders>
              <w:bottom w:val="single" w:sz="8" w:color="E8FFFA"/>
            </w:tcBorders>
            <w:shd w:val="clear" w:color="auto" w:fill="E8FFFA"/>
          </w:tcPr>
          <w:p>
            <w:pPr>
              <w:spacing w:after="0"/>
              <w:rPr>
                <w:sz w:val="19"/>
                <w:szCs w:val="19"/>
                <w:color w:val="auto"/>
              </w:rPr>
            </w:pPr>
          </w:p>
        </w:tc>
        <w:tc>
          <w:tcPr>
            <w:tcW w:w="1040" w:type="dxa"/>
            <w:vAlign w:val="bottom"/>
            <w:tcBorders>
              <w:top w:val="single" w:sz="8" w:color="auto"/>
              <w:bottom w:val="single" w:sz="8" w:color="E8FFFA"/>
            </w:tcBorders>
            <w:shd w:val="clear" w:color="auto" w:fill="E8FFFA"/>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Borders>
              <w:bottom w:val="single" w:sz="8" w:color="E8FFFA"/>
            </w:tcBorders>
            <w:shd w:val="clear" w:color="auto" w:fill="E8FFFA"/>
          </w:tcPr>
          <w:p>
            <w:pPr>
              <w:spacing w:after="0"/>
              <w:rPr>
                <w:sz w:val="19"/>
                <w:szCs w:val="19"/>
                <w:color w:val="auto"/>
              </w:rPr>
            </w:pPr>
          </w:p>
        </w:tc>
        <w:tc>
          <w:tcPr>
            <w:tcW w:w="104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90,150</w:t>
            </w:r>
          </w:p>
        </w:tc>
        <w:tc>
          <w:tcPr>
            <w:tcW w:w="160" w:type="dxa"/>
            <w:vAlign w:val="bottom"/>
            <w:tcBorders>
              <w:bottom w:val="single" w:sz="8" w:color="E8FFFA"/>
            </w:tcBorders>
            <w:shd w:val="clear" w:color="auto" w:fill="E8FFFA"/>
          </w:tcPr>
          <w:p>
            <w:pPr>
              <w:spacing w:after="0"/>
              <w:rPr>
                <w:sz w:val="19"/>
                <w:szCs w:val="19"/>
                <w:color w:val="auto"/>
              </w:rPr>
            </w:pPr>
          </w:p>
        </w:tc>
        <w:tc>
          <w:tcPr>
            <w:tcW w:w="96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90,150</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48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88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88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94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04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three and six months ended June 30, 2018, the effective portion of changes in the fair value of CCS amounting to a loss of $4,062 and a gain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$2,128 has been recognized in Other comprehensive income (for the three and six months ended June 30, 2017: a gain of $3,342 and $3,709). For the three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June 30, 2018, a loss of $90 and $159, respectively, was recycled to profit or loss representing the realized loss on CCS in relation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expenses component of the hedge (for the three and six months ended June 30, 2017: a loss of $203 and $526, respectively). Additionally,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six months ended June 30, 2018, a gain of $3,676 and a loss of $1,077, was recognized in Other comprehensive income in relation to the retranslation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NOK Bonds in U.S. dollars as of June 30, 2018 (for the three and six months ended June 30, 2017: a loss of $2,782 and $3,516,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Fixed</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Exchange Rate</w:t>
            </w:r>
          </w:p>
        </w:tc>
        <w:tc>
          <w:tcPr>
            <w:tcW w:w="160" w:type="dxa"/>
            <w:vAlign w:val="bottom"/>
          </w:tcPr>
          <w:p>
            <w:pPr>
              <w:spacing w:after="0"/>
              <w:rPr>
                <w:sz w:val="12"/>
                <w:szCs w:val="12"/>
                <w:color w:val="auto"/>
              </w:rPr>
            </w:pP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Total Exchange</w:t>
            </w:r>
          </w:p>
        </w:tc>
      </w:t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Trade Date</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4"/>
              </w:rPr>
              <w:t>Settlement Dates</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(USD/GBP)</w:t>
            </w:r>
          </w:p>
        </w:tc>
        <w:tc>
          <w:tcPr>
            <w:tcW w:w="160" w:type="dxa"/>
            <w:vAlign w:val="bottom"/>
          </w:tcPr>
          <w:p>
            <w:pPr>
              <w:spacing w:after="0"/>
              <w:rPr>
                <w:sz w:val="14"/>
                <w:szCs w:val="14"/>
                <w:color w:val="auto"/>
              </w:rPr>
            </w:pPr>
          </w:p>
        </w:tc>
        <w:tc>
          <w:tcPr>
            <w:tcW w:w="152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Amount (in thousands)</w:t>
            </w:r>
          </w:p>
        </w:tc>
      </w:tr>
      <w:tr>
        <w:trPr>
          <w:trHeight w:val="142"/>
        </w:trPr>
        <w:tc>
          <w:tcPr>
            <w:tcW w:w="20" w:type="dxa"/>
            <w:vAlign w:val="bottom"/>
          </w:tcPr>
          <w:p>
            <w:pPr>
              <w:spacing w:after="0"/>
              <w:rPr>
                <w:sz w:val="12"/>
                <w:szCs w:val="12"/>
                <w:color w:val="auto"/>
              </w:rPr>
            </w:pPr>
          </w:p>
        </w:tc>
        <w:tc>
          <w:tcPr>
            <w:tcW w:w="5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GasLog</w:t>
            </w:r>
          </w:p>
        </w:tc>
        <w:tc>
          <w:tcPr>
            <w:tcW w:w="11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SEB</w:t>
            </w:r>
          </w:p>
        </w:tc>
        <w:tc>
          <w:tcPr>
            <w:tcW w:w="1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August 2017</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July-December 2018</w:t>
            </w:r>
          </w:p>
        </w:tc>
        <w:tc>
          <w:tcPr>
            <w:tcW w:w="18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1.3042</w:t>
            </w:r>
          </w:p>
        </w:tc>
        <w:tc>
          <w:tcPr>
            <w:tcW w:w="16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£1,800</w:t>
            </w:r>
          </w:p>
        </w:tc>
      </w:tr>
      <w:tr>
        <w:trPr>
          <w:trHeight w:val="142"/>
        </w:trPr>
        <w:tc>
          <w:tcPr>
            <w:tcW w:w="20" w:type="dxa"/>
            <w:vAlign w:val="bottom"/>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1100" w:type="dxa"/>
            <w:vAlign w:val="bottom"/>
            <w:shd w:val="clear" w:color="auto" w:fill="E8FFFA"/>
          </w:tcPr>
          <w:p>
            <w:pPr>
              <w:spacing w:after="0"/>
              <w:rPr>
                <w:sz w:val="12"/>
                <w:szCs w:val="12"/>
                <w:color w:val="auto"/>
              </w:rPr>
            </w:pPr>
          </w:p>
        </w:tc>
        <w:tc>
          <w:tcPr>
            <w:tcW w:w="8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64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spacing w:after="0"/>
              <w:rPr>
                <w:sz w:val="12"/>
                <w:szCs w:val="12"/>
                <w:color w:val="auto"/>
              </w:rPr>
            </w:pPr>
          </w:p>
        </w:tc>
        <w:tc>
          <w:tcPr>
            <w:tcW w:w="180" w:type="dxa"/>
            <w:vAlign w:val="bottom"/>
            <w:shd w:val="clear" w:color="auto" w:fill="E8FFFA"/>
          </w:tcPr>
          <w:p>
            <w:pPr>
              <w:spacing w:after="0"/>
              <w:rPr>
                <w:sz w:val="12"/>
                <w:szCs w:val="12"/>
                <w:color w:val="auto"/>
              </w:rPr>
            </w:pPr>
          </w:p>
        </w:tc>
        <w:tc>
          <w:tcPr>
            <w:tcW w:w="1060" w:type="dxa"/>
            <w:vAlign w:val="bottom"/>
            <w:tcBorders>
              <w:bottom w:val="single" w:sz="8" w:color="auto"/>
            </w:tcBorders>
            <w:shd w:val="clear" w:color="auto" w:fill="E8FFFA"/>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shd w:val="clear" w:color="auto" w:fill="E8FFFA"/>
          </w:tcPr>
          <w:p>
            <w:pPr>
              <w:spacing w:after="0"/>
              <w:rPr>
                <w:sz w:val="12"/>
                <w:szCs w:val="12"/>
                <w:color w:val="auto"/>
              </w:rPr>
            </w:pPr>
          </w:p>
        </w:tc>
        <w:tc>
          <w:tcPr>
            <w:tcW w:w="1520" w:type="dxa"/>
            <w:vAlign w:val="bottom"/>
            <w:tcBorders>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£1,800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Fixed</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Exchange Rate</w:t>
            </w:r>
          </w:p>
        </w:tc>
        <w:tc>
          <w:tcPr>
            <w:tcW w:w="160" w:type="dxa"/>
            <w:vAlign w:val="bottom"/>
          </w:tcPr>
          <w:p>
            <w:pPr>
              <w:spacing w:after="0"/>
              <w:rPr>
                <w:sz w:val="12"/>
                <w:szCs w:val="12"/>
                <w:color w:val="auto"/>
              </w:rPr>
            </w:pP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Total Exchange</w:t>
            </w:r>
          </w:p>
        </w:tc>
      </w:t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Trade Date</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4"/>
              </w:rPr>
              <w:t>Settlement Dates</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(USD/EUR)</w:t>
            </w:r>
          </w:p>
        </w:tc>
        <w:tc>
          <w:tcPr>
            <w:tcW w:w="160" w:type="dxa"/>
            <w:vAlign w:val="bottom"/>
          </w:tcPr>
          <w:p>
            <w:pPr>
              <w:spacing w:after="0"/>
              <w:rPr>
                <w:sz w:val="14"/>
                <w:szCs w:val="14"/>
                <w:color w:val="auto"/>
              </w:rPr>
            </w:pPr>
          </w:p>
        </w:tc>
        <w:tc>
          <w:tcPr>
            <w:tcW w:w="152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Amount (in thousands)</w:t>
            </w:r>
          </w:p>
        </w:tc>
      </w:tr>
      <w:tr>
        <w:trPr>
          <w:trHeight w:val="142"/>
        </w:trPr>
        <w:tc>
          <w:tcPr>
            <w:tcW w:w="20" w:type="dxa"/>
            <w:vAlign w:val="bottom"/>
          </w:tcPr>
          <w:p>
            <w:pPr>
              <w:spacing w:after="0"/>
              <w:rPr>
                <w:sz w:val="12"/>
                <w:szCs w:val="12"/>
                <w:color w:val="auto"/>
              </w:rPr>
            </w:pPr>
          </w:p>
        </w:tc>
        <w:tc>
          <w:tcPr>
            <w:tcW w:w="5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GasLog</w:t>
            </w:r>
          </w:p>
        </w:tc>
        <w:tc>
          <w:tcPr>
            <w:tcW w:w="38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Nordea Bank Finland</w:t>
            </w:r>
          </w:p>
        </w:tc>
        <w:tc>
          <w:tcPr>
            <w:tcW w:w="1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August 2017</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July-December 2018</w:t>
            </w:r>
          </w:p>
        </w:tc>
        <w:tc>
          <w:tcPr>
            <w:tcW w:w="180" w:type="dxa"/>
            <w:vAlign w:val="bottom"/>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1.1986</w:t>
            </w:r>
          </w:p>
        </w:tc>
        <w:tc>
          <w:tcPr>
            <w:tcW w:w="160" w:type="dxa"/>
            <w:vAlign w:val="bottom"/>
          </w:tcPr>
          <w:p>
            <w:pPr>
              <w:spacing w:after="0"/>
              <w:rPr>
                <w:sz w:val="12"/>
                <w:szCs w:val="12"/>
                <w:color w:val="auto"/>
              </w:rPr>
            </w:pPr>
          </w:p>
        </w:tc>
        <w:tc>
          <w:tcPr>
            <w:tcW w:w="1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SEB</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August 2017</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6</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July-December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1.1966</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€6,000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DNB</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2017</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1.1746</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€1,995</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July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1.2023</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6"/>
              </w:rPr>
              <w:t>August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1.2048</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4"/>
              </w:rPr>
              <w:t>September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1.2072</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1.2099</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8"/>
              </w:rPr>
              <w:t>November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1.2123</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1.2148</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July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1.1758</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6"/>
              </w:rPr>
              <w:t>August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1.1786</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4"/>
              </w:rPr>
              <w:t>September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1.1816</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1.1844</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8"/>
              </w:rPr>
              <w:t>November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1.1875</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SEB</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6</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July-December 2018</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1.1831</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€6,000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HSBC</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July-December 2018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1.1847</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4"/>
              </w:rPr>
              <w:t>January 2019</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1.1954</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2019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1.1983</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Citibank</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March 2019</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1.2012</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5"/>
              </w:rPr>
              <w:t>SEB</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3</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7"/>
              </w:rPr>
              <w:t>January-March 2019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1.1984</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7"/>
              </w:rPr>
              <w:t>ABN</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June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5"/>
              </w:rPr>
              <w:t>April 2019</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1.1903</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ABN</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1.1936</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7"/>
              </w:rPr>
              <w:t>ABN</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June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June 2019</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1.1968</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DNB</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1.1910</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4"/>
              </w:rPr>
              <w:t>DNB</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June 2018</w:t>
            </w:r>
          </w:p>
        </w:tc>
        <w:tc>
          <w:tcPr>
            <w:tcW w:w="8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May 2019</w:t>
            </w:r>
          </w:p>
        </w:tc>
        <w:tc>
          <w:tcPr>
            <w:tcW w:w="124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1.1943</w:t>
            </w:r>
          </w:p>
        </w:tc>
        <w:tc>
          <w:tcPr>
            <w:tcW w:w="160" w:type="dxa"/>
            <w:vAlign w:val="bottom"/>
            <w:shd w:val="clear" w:color="auto" w:fill="E8FFFA"/>
          </w:tcPr>
          <w:p>
            <w:pPr>
              <w:spacing w:after="0"/>
              <w:rPr>
                <w:sz w:val="12"/>
                <w:szCs w:val="12"/>
                <w:color w:val="auto"/>
              </w:rPr>
            </w:pPr>
          </w:p>
        </w:tc>
        <w:tc>
          <w:tcPr>
            <w:tcW w:w="15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GasLog</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DNB</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2018</w:t>
            </w:r>
          </w:p>
        </w:tc>
        <w:tc>
          <w:tcPr>
            <w:tcW w:w="8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1.1975</w:t>
            </w: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2"/>
        </w:trPr>
        <w:tc>
          <w:tcPr>
            <w:tcW w:w="20" w:type="dxa"/>
            <w:vAlign w:val="bottom"/>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380" w:type="dxa"/>
            <w:vAlign w:val="bottom"/>
            <w:shd w:val="clear" w:color="auto" w:fill="E8FFFA"/>
          </w:tcPr>
          <w:p>
            <w:pPr>
              <w:spacing w:after="0"/>
              <w:rPr>
                <w:sz w:val="12"/>
                <w:szCs w:val="12"/>
                <w:color w:val="auto"/>
              </w:rPr>
            </w:pPr>
          </w:p>
        </w:tc>
        <w:tc>
          <w:tcPr>
            <w:tcW w:w="15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64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720" w:type="dxa"/>
            <w:vAlign w:val="bottom"/>
            <w:shd w:val="clear" w:color="auto" w:fill="E8FFFA"/>
          </w:tcPr>
          <w:p>
            <w:pPr>
              <w:spacing w:after="0"/>
              <w:rPr>
                <w:sz w:val="12"/>
                <w:szCs w:val="12"/>
                <w:color w:val="auto"/>
              </w:rPr>
            </w:pPr>
          </w:p>
        </w:tc>
        <w:tc>
          <w:tcPr>
            <w:tcW w:w="180" w:type="dxa"/>
            <w:vAlign w:val="bottom"/>
            <w:shd w:val="clear" w:color="auto" w:fill="E8FFFA"/>
          </w:tcPr>
          <w:p>
            <w:pPr>
              <w:spacing w:after="0"/>
              <w:rPr>
                <w:sz w:val="12"/>
                <w:szCs w:val="12"/>
                <w:color w:val="auto"/>
              </w:rPr>
            </w:pPr>
          </w:p>
        </w:tc>
        <w:tc>
          <w:tcPr>
            <w:tcW w:w="106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E8FFFA"/>
          </w:tcPr>
          <w:p>
            <w:pPr>
              <w:spacing w:after="0"/>
              <w:rPr>
                <w:sz w:val="12"/>
                <w:szCs w:val="12"/>
                <w:color w:val="auto"/>
              </w:rPr>
            </w:pPr>
          </w:p>
        </w:tc>
        <w:tc>
          <w:tcPr>
            <w:tcW w:w="1520" w:type="dxa"/>
            <w:vAlign w:val="bottom"/>
            <w:tcBorders>
              <w:top w:val="single" w:sz="8" w:color="auto"/>
              <w:bottom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b w:val="1"/>
                <w:bCs w:val="1"/>
                <w:color w:val="auto"/>
              </w:rPr>
              <w:t>€69,495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June 30, 2018. The change in the fair value of these contracts for the three and six months ended June 30, 2018 amounted to a net loss of $3,764 and $2,916 (for the three and six months ended June 30, 2017: net gain of $1,491 and $1,968), which was recognized against profit or loss in the period incurred and is included in Loss/gain on derivatives.</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14" w:right="4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15. Financial Costs and (Loss)/Gain on Derivatives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320" w:type="dxa"/>
            <w:vAlign w:val="bottom"/>
            <w:gridSpan w:val="4"/>
          </w:tcPr>
          <w:p>
            <w:pPr>
              <w:jc w:val="right"/>
              <w:ind w:right="820"/>
              <w:spacing w:after="0"/>
              <w:rPr>
                <w:sz w:val="20"/>
                <w:szCs w:val="20"/>
                <w:color w:val="auto"/>
              </w:rPr>
            </w:pPr>
            <w:r>
              <w:rPr>
                <w:rFonts w:ascii="Arial" w:cs="Arial" w:eastAsia="Arial" w:hAnsi="Arial"/>
                <w:sz w:val="18"/>
                <w:szCs w:val="18"/>
                <w:color w:val="auto"/>
                <w:w w:val="95"/>
              </w:rPr>
              <w:t>An analysis of financial costs and loss/(gain) on derivatives is as follows: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3760" w:type="dxa"/>
            <w:vAlign w:val="bottom"/>
            <w:gridSpan w:val="4"/>
          </w:tcPr>
          <w:p>
            <w:pPr>
              <w:ind w:left="3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June 30, 2017</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June 30, 2018</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June 30, 2017</w:t>
            </w:r>
          </w:p>
        </w:tc>
        <w:tc>
          <w:tcPr>
            <w:tcW w:w="24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2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rPr>
              <w:t>Amortization and write off of deferred loan/bond</w:t>
            </w:r>
          </w:p>
        </w:tc>
        <w:tc>
          <w:tcPr>
            <w:tcW w:w="11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60" w:type="dxa"/>
            <w:vAlign w:val="bottom"/>
            <w:tcBorders>
              <w:top w:val="single" w:sz="8" w:color="auto"/>
            </w:tcBorders>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16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80" w:type="dxa"/>
            <w:vAlign w:val="bottom"/>
            <w:tcBorders>
              <w:top w:val="single" w:sz="8" w:color="auto"/>
            </w:tcBorders>
            <w:shd w:val="clear" w:color="auto" w:fill="E8FFFA"/>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issuance costs and premium</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(2,978)</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(3,232)</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(6,437)</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(6,144)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(21,099)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(28,066)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(43,581)</w:t>
            </w:r>
          </w:p>
        </w:tc>
        <w:tc>
          <w:tcPr>
            <w:tcW w:w="1180" w:type="dxa"/>
            <w:vAlign w:val="bottom"/>
          </w:tcPr>
          <w:p>
            <w:pPr>
              <w:jc w:val="right"/>
              <w:spacing w:after="0"/>
              <w:rPr>
                <w:sz w:val="20"/>
                <w:szCs w:val="20"/>
                <w:color w:val="auto"/>
              </w:rPr>
            </w:pPr>
            <w:r>
              <w:rPr>
                <w:rFonts w:ascii="Arial" w:cs="Arial" w:eastAsia="Arial" w:hAnsi="Arial"/>
                <w:sz w:val="18"/>
                <w:szCs w:val="18"/>
                <w:color w:val="auto"/>
              </w:rPr>
              <w:t>(51,263)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Interest expense on bonds and realized loss on</w:t>
            </w:r>
          </w:p>
        </w:tc>
        <w:tc>
          <w:tcPr>
            <w:tcW w:w="1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cross-currency swaps</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(8,451)</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(7,442)</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(11,971)</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(14,915)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Finance lease charge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(2,722)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(2,634)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1180" w:type="dxa"/>
            <w:vAlign w:val="bottom"/>
          </w:tcPr>
          <w:p>
            <w:pPr>
              <w:jc w:val="right"/>
              <w:spacing w:after="0"/>
              <w:rPr>
                <w:sz w:val="20"/>
                <w:szCs w:val="20"/>
                <w:color w:val="auto"/>
              </w:rPr>
            </w:pPr>
            <w:r>
              <w:rPr>
                <w:rFonts w:ascii="Arial" w:cs="Arial" w:eastAsia="Arial" w:hAnsi="Arial"/>
                <w:sz w:val="18"/>
                <w:szCs w:val="18"/>
                <w:color w:val="auto"/>
              </w:rPr>
              <w:t>(5,262)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Loss arising on NOK bond repurchase at a</w:t>
            </w:r>
          </w:p>
        </w:tc>
        <w:tc>
          <w:tcPr>
            <w:tcW w:w="1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premium</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(1,459)</w:t>
            </w:r>
          </w:p>
        </w:tc>
        <w:tc>
          <w:tcPr>
            <w:tcW w:w="13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(1,459)</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financial costs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1180" w:type="dxa"/>
            <w:vAlign w:val="bottom"/>
          </w:tcPr>
          <w:p>
            <w:pPr>
              <w:jc w:val="right"/>
              <w:spacing w:after="0"/>
              <w:rPr>
                <w:sz w:val="20"/>
                <w:szCs w:val="20"/>
                <w:color w:val="auto"/>
              </w:rPr>
            </w:pPr>
            <w:r>
              <w:rPr>
                <w:rFonts w:ascii="Arial" w:cs="Arial" w:eastAsia="Arial" w:hAnsi="Arial"/>
                <w:sz w:val="18"/>
                <w:szCs w:val="18"/>
                <w:color w:val="auto"/>
              </w:rPr>
              <w:t>(1,013)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financial costs</w:t>
            </w: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(37,078)</w:t>
            </w:r>
          </w:p>
        </w:tc>
        <w:tc>
          <w:tcPr>
            <w:tcW w:w="1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(42,000)</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(69,602)</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(78,597)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Unrealized (loss)/gain on derivative financial</w:t>
            </w:r>
          </w:p>
        </w:tc>
        <w:tc>
          <w:tcPr>
            <w:tcW w:w="1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instruments held for trading (Note 14)</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(3,487)</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E8FFFA"/>
          </w:tcPr>
          <w:p>
            <w:pPr>
              <w:spacing w:after="0"/>
              <w:rPr>
                <w:sz w:val="19"/>
                <w:szCs w:val="19"/>
                <w:color w:val="auto"/>
              </w:rPr>
            </w:pP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(1,172)</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17,235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Realized (loss)/gain on interest rate swaps held for</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trading</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(2,226)</w:t>
            </w:r>
          </w:p>
        </w:tc>
        <w:tc>
          <w:tcPr>
            <w:tcW w:w="116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w w:val="97"/>
              </w:rPr>
              <w:t>Recycled loss of cash flow hedges reclassified to</w:t>
            </w:r>
          </w:p>
        </w:tc>
        <w:tc>
          <w:tcPr>
            <w:tcW w:w="1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profit or loss</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(4,368)</w:t>
            </w:r>
          </w:p>
        </w:tc>
        <w:tc>
          <w:tcPr>
            <w:tcW w:w="13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(4,368)</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Realized gain on forward foreign exchange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contracts held for trading</w:t>
            </w: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Ineffective portion of cash flow hedges</w:t>
            </w:r>
          </w:p>
        </w:tc>
        <w:tc>
          <w:tcPr>
            <w:tcW w:w="13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(267)</w:t>
            </w:r>
          </w:p>
        </w:tc>
        <w:tc>
          <w:tcPr>
            <w:tcW w:w="132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(loss)/gain on derivatives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(9,720)</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(9,722)</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F-23</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16. Cash Flow Reconciliations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of the Group's non-cash investing and financing activities for the period ended June 30, 2018 is presented in the tables below:</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12"/>
                <w:szCs w:val="12"/>
                <w:color w:val="auto"/>
              </w:rPr>
            </w:pPr>
          </w:p>
        </w:tc>
        <w:tc>
          <w:tcPr>
            <w:tcW w:w="10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Non-cash</w:t>
            </w: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financing</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1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6"/>
              </w:rPr>
              <w:t>Opening balance</w:t>
            </w:r>
          </w:p>
        </w:tc>
        <w:tc>
          <w:tcPr>
            <w:tcW w:w="16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Cash flows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costs, assets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31"/>
        </w:trPr>
        <w:tc>
          <w:tcPr>
            <w:tcW w:w="1480" w:type="dxa"/>
            <w:vAlign w:val="bottom"/>
            <w:shd w:val="clear" w:color="auto" w:fill="E8FFFA"/>
          </w:tcPr>
          <w:p>
            <w:pPr>
              <w:spacing w:after="0" w:line="131" w:lineRule="exact"/>
              <w:rPr>
                <w:sz w:val="20"/>
                <w:szCs w:val="20"/>
                <w:color w:val="auto"/>
              </w:rPr>
            </w:pPr>
            <w:r>
              <w:rPr>
                <w:rFonts w:ascii="Arial" w:cs="Arial" w:eastAsia="Arial" w:hAnsi="Arial"/>
                <w:sz w:val="14"/>
                <w:szCs w:val="14"/>
                <w:color w:val="auto"/>
                <w:w w:val="99"/>
              </w:rPr>
              <w:t>Borrowings outstanding</w:t>
            </w: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4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840" w:type="dxa"/>
            <w:vAlign w:val="bottom"/>
            <w:tcBorders>
              <w:top w:val="single" w:sz="8" w:color="auto"/>
            </w:tcBorders>
            <w:shd w:val="clear" w:color="auto" w:fill="E8FFFA"/>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480" w:type="dxa"/>
            <w:vAlign w:val="bottom"/>
            <w:shd w:val="clear" w:color="auto" w:fill="E8FFFA"/>
          </w:tcPr>
          <w:p>
            <w:pPr>
              <w:spacing w:after="0" w:line="159" w:lineRule="exact"/>
              <w:rPr>
                <w:sz w:val="20"/>
                <w:szCs w:val="20"/>
                <w:color w:val="auto"/>
              </w:rPr>
            </w:pPr>
            <w:r>
              <w:rPr>
                <w:rFonts w:ascii="Arial" w:cs="Arial" w:eastAsia="Arial" w:hAnsi="Arial"/>
                <w:sz w:val="14"/>
                <w:szCs w:val="14"/>
                <w:color w:val="auto"/>
              </w:rPr>
              <w:t>as of January 1, 2018</w:t>
            </w: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2,547,556</w:t>
            </w:r>
          </w:p>
        </w:tc>
        <w:tc>
          <w:tcPr>
            <w:tcW w:w="160" w:type="dxa"/>
            <w:vAlign w:val="bottom"/>
            <w:shd w:val="clear" w:color="auto" w:fill="E8FFFA"/>
          </w:tcPr>
          <w:p>
            <w:pPr>
              <w:spacing w:after="0"/>
              <w:rPr>
                <w:sz w:val="13"/>
                <w:szCs w:val="13"/>
                <w:color w:val="auto"/>
              </w:rPr>
            </w:pPr>
          </w:p>
        </w:tc>
        <w:tc>
          <w:tcPr>
            <w:tcW w:w="1200" w:type="dxa"/>
            <w:vAlign w:val="bottom"/>
            <w:gridSpan w:val="2"/>
            <w:shd w:val="clear" w:color="auto" w:fill="E8FFFA"/>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8FFFA"/>
          </w:tcPr>
          <w:p>
            <w:pPr>
              <w:spacing w:after="0"/>
              <w:rPr>
                <w:sz w:val="13"/>
                <w:szCs w:val="13"/>
                <w:color w:val="auto"/>
              </w:rPr>
            </w:pP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8FFFA"/>
          </w:tcPr>
          <w:p>
            <w:pPr>
              <w:spacing w:after="0"/>
              <w:rPr>
                <w:sz w:val="13"/>
                <w:szCs w:val="13"/>
                <w:color w:val="auto"/>
              </w:rPr>
            </w:pPr>
          </w:p>
        </w:tc>
        <w:tc>
          <w:tcPr>
            <w:tcW w:w="1220" w:type="dxa"/>
            <w:vAlign w:val="bottom"/>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2,547,556</w:t>
            </w:r>
          </w:p>
        </w:tc>
        <w:tc>
          <w:tcPr>
            <w:tcW w:w="40" w:type="dxa"/>
            <w:vAlign w:val="bottom"/>
          </w:tcPr>
          <w:p>
            <w:pPr>
              <w:spacing w:after="0"/>
              <w:rPr>
                <w:sz w:val="13"/>
                <w:szCs w:val="13"/>
                <w:color w:val="auto"/>
              </w:rPr>
            </w:pPr>
          </w:p>
        </w:tc>
      </w:tr>
      <w:tr>
        <w:trPr>
          <w:trHeight w:val="138"/>
        </w:trPr>
        <w:tc>
          <w:tcPr>
            <w:tcW w:w="1480" w:type="dxa"/>
            <w:vAlign w:val="bottom"/>
          </w:tcPr>
          <w:p>
            <w:pPr>
              <w:spacing w:after="0" w:line="138" w:lineRule="exact"/>
              <w:rPr>
                <w:sz w:val="20"/>
                <w:szCs w:val="20"/>
                <w:color w:val="auto"/>
              </w:rPr>
            </w:pPr>
            <w:r>
              <w:rPr>
                <w:rFonts w:ascii="Arial" w:cs="Arial" w:eastAsia="Arial" w:hAnsi="Arial"/>
                <w:sz w:val="14"/>
                <w:szCs w:val="14"/>
                <w:color w:val="auto"/>
              </w:rPr>
              <w:t>Proceeds from bank</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480" w:type="dxa"/>
            <w:vAlign w:val="bottom"/>
          </w:tcPr>
          <w:p>
            <w:pPr>
              <w:spacing w:after="0" w:line="159" w:lineRule="exact"/>
              <w:rPr>
                <w:sz w:val="20"/>
                <w:szCs w:val="20"/>
                <w:color w:val="auto"/>
              </w:rPr>
            </w:pPr>
            <w:r>
              <w:rPr>
                <w:rFonts w:ascii="Arial" w:cs="Arial" w:eastAsia="Arial" w:hAnsi="Arial"/>
                <w:sz w:val="14"/>
                <w:szCs w:val="14"/>
                <w:color w:val="auto"/>
              </w:rPr>
              <w:t>loans and bonds</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498,225</w:t>
            </w: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498,225</w:t>
            </w:r>
          </w:p>
        </w:tc>
        <w:tc>
          <w:tcPr>
            <w:tcW w:w="40" w:type="dxa"/>
            <w:vAlign w:val="bottom"/>
          </w:tcPr>
          <w:p>
            <w:pPr>
              <w:spacing w:after="0"/>
              <w:rPr>
                <w:sz w:val="13"/>
                <w:szCs w:val="13"/>
                <w:color w:val="auto"/>
              </w:rPr>
            </w:pPr>
          </w:p>
        </w:tc>
      </w:tr>
      <w:tr>
        <w:trPr>
          <w:trHeight w:val="138"/>
        </w:trPr>
        <w:tc>
          <w:tcPr>
            <w:tcW w:w="148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Bank loan and bond</w:t>
            </w: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4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840" w:type="dxa"/>
            <w:vAlign w:val="bottom"/>
            <w:shd w:val="clear" w:color="auto" w:fill="E8FFFA"/>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480" w:type="dxa"/>
            <w:vAlign w:val="bottom"/>
            <w:shd w:val="clear" w:color="auto" w:fill="E8FFFA"/>
          </w:tcPr>
          <w:p>
            <w:pPr>
              <w:ind w:left="140"/>
              <w:spacing w:after="0" w:line="159" w:lineRule="exact"/>
              <w:rPr>
                <w:sz w:val="20"/>
                <w:szCs w:val="20"/>
                <w:color w:val="auto"/>
              </w:rPr>
            </w:pPr>
            <w:r>
              <w:rPr>
                <w:rFonts w:ascii="Arial" w:cs="Arial" w:eastAsia="Arial" w:hAnsi="Arial"/>
                <w:sz w:val="14"/>
                <w:szCs w:val="14"/>
                <w:color w:val="auto"/>
              </w:rPr>
              <w:t>repayments</w:t>
            </w: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3"/>
            <w:shd w:val="clear" w:color="auto" w:fill="E8FFFA"/>
          </w:tcPr>
          <w:p>
            <w:pPr>
              <w:jc w:val="right"/>
              <w:ind w:right="120"/>
              <w:spacing w:after="0" w:line="159" w:lineRule="exact"/>
              <w:rPr>
                <w:sz w:val="20"/>
                <w:szCs w:val="20"/>
                <w:color w:val="auto"/>
              </w:rPr>
            </w:pPr>
            <w:r>
              <w:rPr>
                <w:rFonts w:ascii="Arial" w:cs="Arial" w:eastAsia="Arial" w:hAnsi="Arial"/>
                <w:sz w:val="14"/>
                <w:szCs w:val="14"/>
                <w:color w:val="auto"/>
              </w:rPr>
              <w:t>(108,958)</w:t>
            </w: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8FFFA"/>
          </w:tcPr>
          <w:p>
            <w:pPr>
              <w:spacing w:after="0"/>
              <w:rPr>
                <w:sz w:val="13"/>
                <w:szCs w:val="13"/>
                <w:color w:val="auto"/>
              </w:rPr>
            </w:pP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8FFFA"/>
          </w:tcPr>
          <w:p>
            <w:pPr>
              <w:spacing w:after="0"/>
              <w:rPr>
                <w:sz w:val="13"/>
                <w:szCs w:val="13"/>
                <w:color w:val="auto"/>
              </w:rPr>
            </w:pPr>
          </w:p>
        </w:tc>
        <w:tc>
          <w:tcPr>
            <w:tcW w:w="1220" w:type="dxa"/>
            <w:vAlign w:val="bottom"/>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(108,958)</w:t>
            </w:r>
          </w:p>
        </w:tc>
        <w:tc>
          <w:tcPr>
            <w:tcW w:w="40" w:type="dxa"/>
            <w:vAlign w:val="bottom"/>
          </w:tcPr>
          <w:p>
            <w:pPr>
              <w:spacing w:after="0"/>
              <w:rPr>
                <w:sz w:val="13"/>
                <w:szCs w:val="13"/>
                <w:color w:val="auto"/>
              </w:rPr>
            </w:pPr>
          </w:p>
        </w:tc>
      </w:tr>
      <w:tr>
        <w:trPr>
          <w:trHeight w:val="138"/>
        </w:trPr>
        <w:tc>
          <w:tcPr>
            <w:tcW w:w="1480" w:type="dxa"/>
            <w:vAlign w:val="bottom"/>
          </w:tcPr>
          <w:p>
            <w:pPr>
              <w:spacing w:after="0" w:line="138" w:lineRule="exact"/>
              <w:rPr>
                <w:sz w:val="20"/>
                <w:szCs w:val="20"/>
                <w:color w:val="auto"/>
              </w:rPr>
            </w:pPr>
            <w:r>
              <w:rPr>
                <w:rFonts w:ascii="Arial" w:cs="Arial" w:eastAsia="Arial" w:hAnsi="Arial"/>
                <w:sz w:val="14"/>
                <w:szCs w:val="14"/>
                <w:color w:val="auto"/>
              </w:rPr>
              <w:t>Additions in deferred</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480" w:type="dxa"/>
            <w:vAlign w:val="bottom"/>
          </w:tcPr>
          <w:p>
            <w:pPr>
              <w:ind w:left="140"/>
              <w:spacing w:after="0" w:line="159" w:lineRule="exact"/>
              <w:rPr>
                <w:sz w:val="20"/>
                <w:szCs w:val="20"/>
                <w:color w:val="auto"/>
              </w:rPr>
            </w:pPr>
            <w:r>
              <w:rPr>
                <w:rFonts w:ascii="Arial" w:cs="Arial" w:eastAsia="Arial" w:hAnsi="Arial"/>
                <w:sz w:val="14"/>
                <w:szCs w:val="14"/>
                <w:color w:val="auto"/>
              </w:rPr>
              <w:t>loan fees</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(7,295)</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1,447</w:t>
            </w:r>
          </w:p>
        </w:tc>
        <w:tc>
          <w:tcPr>
            <w:tcW w:w="13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(13,385)</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(19,233)</w:t>
            </w:r>
          </w:p>
        </w:tc>
      </w:tr>
      <w:tr>
        <w:trPr>
          <w:trHeight w:val="138"/>
        </w:trPr>
        <w:tc>
          <w:tcPr>
            <w:tcW w:w="148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Amortization of</w:t>
            </w: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4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840" w:type="dxa"/>
            <w:vAlign w:val="bottom"/>
            <w:shd w:val="clear" w:color="auto" w:fill="E8FFFA"/>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480" w:type="dxa"/>
            <w:vAlign w:val="bottom"/>
            <w:shd w:val="clear" w:color="auto" w:fill="E8FFFA"/>
          </w:tcPr>
          <w:p>
            <w:pPr>
              <w:ind w:left="140"/>
              <w:spacing w:after="0" w:line="149" w:lineRule="exact"/>
              <w:rPr>
                <w:sz w:val="20"/>
                <w:szCs w:val="20"/>
                <w:color w:val="auto"/>
              </w:rPr>
            </w:pPr>
            <w:r>
              <w:rPr>
                <w:rFonts w:ascii="Arial" w:cs="Arial" w:eastAsia="Arial" w:hAnsi="Arial"/>
                <w:sz w:val="14"/>
                <w:szCs w:val="14"/>
                <w:color w:val="auto"/>
              </w:rPr>
              <w:t>deferred loan</w:t>
            </w: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4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80" w:type="dxa"/>
            <w:vAlign w:val="bottom"/>
            <w:shd w:val="clear" w:color="auto" w:fill="E8FFFA"/>
          </w:tcPr>
          <w:p>
            <w:pPr>
              <w:ind w:left="140"/>
              <w:spacing w:after="0" w:line="149" w:lineRule="exact"/>
              <w:rPr>
                <w:sz w:val="20"/>
                <w:szCs w:val="20"/>
                <w:color w:val="auto"/>
              </w:rPr>
            </w:pPr>
            <w:r>
              <w:rPr>
                <w:rFonts w:ascii="Arial" w:cs="Arial" w:eastAsia="Arial" w:hAnsi="Arial"/>
                <w:sz w:val="14"/>
                <w:szCs w:val="14"/>
                <w:color w:val="auto"/>
              </w:rPr>
              <w:t>issuance costs and</w:t>
            </w: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4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1480" w:type="dxa"/>
            <w:vAlign w:val="bottom"/>
            <w:shd w:val="clear" w:color="auto" w:fill="E8FFFA"/>
          </w:tcPr>
          <w:p>
            <w:pPr>
              <w:ind w:left="140"/>
              <w:spacing w:after="0" w:line="159" w:lineRule="exact"/>
              <w:rPr>
                <w:sz w:val="20"/>
                <w:szCs w:val="20"/>
                <w:color w:val="auto"/>
              </w:rPr>
            </w:pPr>
            <w:r>
              <w:rPr>
                <w:rFonts w:ascii="Arial" w:cs="Arial" w:eastAsia="Arial" w:hAnsi="Arial"/>
                <w:sz w:val="14"/>
                <w:szCs w:val="14"/>
                <w:color w:val="auto"/>
              </w:rPr>
              <w:t>premium (Note 15)</w:t>
            </w: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8FFFA"/>
          </w:tcPr>
          <w:p>
            <w:pPr>
              <w:spacing w:after="0"/>
              <w:rPr>
                <w:sz w:val="13"/>
                <w:szCs w:val="13"/>
                <w:color w:val="auto"/>
              </w:rPr>
            </w:pPr>
          </w:p>
        </w:tc>
        <w:tc>
          <w:tcPr>
            <w:tcW w:w="1200" w:type="dxa"/>
            <w:vAlign w:val="bottom"/>
            <w:gridSpan w:val="2"/>
            <w:shd w:val="clear" w:color="auto" w:fill="E8FFFA"/>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6,144</w:t>
            </w:r>
          </w:p>
        </w:tc>
        <w:tc>
          <w:tcPr>
            <w:tcW w:w="160" w:type="dxa"/>
            <w:vAlign w:val="bottom"/>
            <w:shd w:val="clear" w:color="auto" w:fill="E8FFFA"/>
          </w:tcPr>
          <w:p>
            <w:pPr>
              <w:spacing w:after="0"/>
              <w:rPr>
                <w:sz w:val="13"/>
                <w:szCs w:val="13"/>
                <w:color w:val="auto"/>
              </w:rPr>
            </w:pPr>
          </w:p>
        </w:tc>
        <w:tc>
          <w:tcPr>
            <w:tcW w:w="1220" w:type="dxa"/>
            <w:vAlign w:val="bottom"/>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6,144</w:t>
            </w:r>
          </w:p>
        </w:tc>
        <w:tc>
          <w:tcPr>
            <w:tcW w:w="40" w:type="dxa"/>
            <w:vAlign w:val="bottom"/>
          </w:tcPr>
          <w:p>
            <w:pPr>
              <w:spacing w:after="0"/>
              <w:rPr>
                <w:sz w:val="13"/>
                <w:szCs w:val="13"/>
                <w:color w:val="auto"/>
              </w:rPr>
            </w:pPr>
          </w:p>
        </w:tc>
      </w:tr>
      <w:tr>
        <w:trPr>
          <w:trHeight w:val="138"/>
        </w:trPr>
        <w:tc>
          <w:tcPr>
            <w:tcW w:w="1480" w:type="dxa"/>
            <w:vAlign w:val="bottom"/>
          </w:tcPr>
          <w:p>
            <w:pPr>
              <w:spacing w:after="0" w:line="138" w:lineRule="exact"/>
              <w:rPr>
                <w:sz w:val="20"/>
                <w:szCs w:val="20"/>
                <w:color w:val="auto"/>
              </w:rPr>
            </w:pPr>
            <w:r>
              <w:rPr>
                <w:rFonts w:ascii="Arial" w:cs="Arial" w:eastAsia="Arial" w:hAnsi="Arial"/>
                <w:sz w:val="14"/>
                <w:szCs w:val="14"/>
                <w:color w:val="auto"/>
              </w:rPr>
              <w:t>Retranslation of the</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480" w:type="dxa"/>
            <w:vAlign w:val="bottom"/>
          </w:tcPr>
          <w:p>
            <w:pPr>
              <w:spacing w:after="0" w:line="149" w:lineRule="exact"/>
              <w:rPr>
                <w:sz w:val="20"/>
                <w:szCs w:val="20"/>
                <w:color w:val="auto"/>
              </w:rPr>
            </w:pPr>
            <w:r>
              <w:rPr>
                <w:rFonts w:ascii="Arial" w:cs="Arial" w:eastAsia="Arial" w:hAnsi="Arial"/>
                <w:sz w:val="14"/>
                <w:szCs w:val="14"/>
                <w:color w:val="auto"/>
              </w:rPr>
              <w:t>NOK Bonds in U.S.</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1480" w:type="dxa"/>
            <w:vAlign w:val="bottom"/>
          </w:tcPr>
          <w:p>
            <w:pPr>
              <w:spacing w:after="0" w:line="159" w:lineRule="exact"/>
              <w:rPr>
                <w:sz w:val="20"/>
                <w:szCs w:val="20"/>
                <w:color w:val="auto"/>
              </w:rPr>
            </w:pPr>
            <w:r>
              <w:rPr>
                <w:rFonts w:ascii="Arial" w:cs="Arial" w:eastAsia="Arial" w:hAnsi="Arial"/>
                <w:sz w:val="14"/>
                <w:szCs w:val="14"/>
                <w:color w:val="auto"/>
              </w:rPr>
              <w:t>dollars</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1,077</w:t>
            </w: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1,077</w:t>
            </w:r>
          </w:p>
        </w:tc>
        <w:tc>
          <w:tcPr>
            <w:tcW w:w="40" w:type="dxa"/>
            <w:vAlign w:val="bottom"/>
          </w:tcPr>
          <w:p>
            <w:pPr>
              <w:spacing w:after="0"/>
              <w:rPr>
                <w:sz w:val="13"/>
                <w:szCs w:val="13"/>
                <w:color w:val="auto"/>
              </w:rPr>
            </w:pPr>
          </w:p>
        </w:tc>
      </w:tr>
      <w:tr>
        <w:trPr>
          <w:trHeight w:val="129"/>
        </w:trPr>
        <w:tc>
          <w:tcPr>
            <w:tcW w:w="1480" w:type="dxa"/>
            <w:vAlign w:val="bottom"/>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Borrowings</w:t>
            </w: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4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1060" w:type="dxa"/>
            <w:vAlign w:val="bottom"/>
            <w:tcBorders>
              <w:top w:val="single" w:sz="8" w:color="auto"/>
            </w:tcBorders>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840" w:type="dxa"/>
            <w:vAlign w:val="bottom"/>
            <w:tcBorders>
              <w:top w:val="single" w:sz="8" w:color="auto"/>
            </w:tcBorders>
            <w:shd w:val="clear" w:color="auto" w:fill="E8FFFA"/>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480" w:type="dxa"/>
            <w:vAlign w:val="bottom"/>
            <w:shd w:val="clear" w:color="auto" w:fill="E8FFFA"/>
          </w:tcPr>
          <w:p>
            <w:pPr>
              <w:spacing w:after="0" w:line="149" w:lineRule="exact"/>
              <w:rPr>
                <w:sz w:val="20"/>
                <w:szCs w:val="20"/>
                <w:color w:val="auto"/>
              </w:rPr>
            </w:pPr>
            <w:r>
              <w:rPr>
                <w:rFonts w:ascii="Arial" w:cs="Arial" w:eastAsia="Arial" w:hAnsi="Arial"/>
                <w:sz w:val="14"/>
                <w:szCs w:val="14"/>
                <w:b w:val="1"/>
                <w:bCs w:val="1"/>
                <w:color w:val="auto"/>
              </w:rPr>
              <w:t>outstanding as of</w:t>
            </w: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4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spacing w:after="0"/>
              <w:rPr>
                <w:sz w:val="12"/>
                <w:szCs w:val="12"/>
                <w:color w:val="auto"/>
              </w:rPr>
            </w:pPr>
          </w:p>
        </w:tc>
        <w:tc>
          <w:tcPr>
            <w:tcW w:w="160" w:type="dxa"/>
            <w:vAlign w:val="bottom"/>
            <w:shd w:val="clear" w:color="auto" w:fill="E8FFFA"/>
          </w:tcPr>
          <w:p>
            <w:pPr>
              <w:spacing w:after="0"/>
              <w:rPr>
                <w:sz w:val="12"/>
                <w:szCs w:val="12"/>
                <w:color w:val="auto"/>
              </w:rPr>
            </w:pPr>
          </w:p>
        </w:tc>
        <w:tc>
          <w:tcPr>
            <w:tcW w:w="840" w:type="dxa"/>
            <w:vAlign w:val="bottom"/>
            <w:shd w:val="clear" w:color="auto" w:fill="E8FFFA"/>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148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June 30, 2018</w:t>
            </w:r>
          </w:p>
        </w:tc>
        <w:tc>
          <w:tcPr>
            <w:tcW w:w="10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2,547,556</w:t>
            </w:r>
          </w:p>
        </w:tc>
        <w:tc>
          <w:tcPr>
            <w:tcW w:w="120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381,972</w:t>
            </w:r>
          </w:p>
        </w:tc>
        <w:tc>
          <w:tcPr>
            <w:tcW w:w="160" w:type="dxa"/>
            <w:vAlign w:val="bottom"/>
            <w:shd w:val="clear" w:color="auto" w:fill="E8FFFA"/>
          </w:tcPr>
          <w:p>
            <w:pPr>
              <w:spacing w:after="0"/>
              <w:rPr>
                <w:sz w:val="14"/>
                <w:szCs w:val="14"/>
                <w:color w:val="auto"/>
              </w:rPr>
            </w:pPr>
          </w:p>
        </w:tc>
        <w:tc>
          <w:tcPr>
            <w:tcW w:w="10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1,077</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7,591</w:t>
            </w:r>
          </w:p>
        </w:tc>
        <w:tc>
          <w:tcPr>
            <w:tcW w:w="1380" w:type="dxa"/>
            <w:vAlign w:val="bottom"/>
            <w:gridSpan w:val="3"/>
            <w:shd w:val="clear" w:color="auto" w:fill="E8FFFA"/>
          </w:tcPr>
          <w:p>
            <w:pPr>
              <w:jc w:val="right"/>
              <w:ind w:right="120"/>
              <w:spacing w:after="0"/>
              <w:rPr>
                <w:sz w:val="20"/>
                <w:szCs w:val="20"/>
                <w:color w:val="auto"/>
              </w:rPr>
            </w:pPr>
            <w:r>
              <w:rPr>
                <w:rFonts w:ascii="Arial" w:cs="Arial" w:eastAsia="Arial" w:hAnsi="Arial"/>
                <w:sz w:val="14"/>
                <w:szCs w:val="14"/>
                <w:b w:val="1"/>
                <w:bCs w:val="1"/>
                <w:color w:val="auto"/>
              </w:rPr>
              <w:t>(13,385)</w:t>
            </w:r>
          </w:p>
        </w:tc>
        <w:tc>
          <w:tcPr>
            <w:tcW w:w="84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2,924,811</w:t>
            </w:r>
          </w:p>
        </w:tc>
        <w:tc>
          <w:tcPr>
            <w:tcW w:w="4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Other</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comprehensive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1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6"/>
              </w:rPr>
              <w:t>Opening balance</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Non-cash items</w:t>
            </w:r>
          </w:p>
        </w:tc>
        <w:tc>
          <w:tcPr>
            <w:tcW w:w="2820" w:type="dxa"/>
            <w:vAlign w:val="bottom"/>
            <w:gridSpan w:val="2"/>
          </w:tcPr>
          <w:p>
            <w:pPr>
              <w:jc w:val="right"/>
              <w:ind w:right="2040"/>
              <w:spacing w:after="0"/>
              <w:rPr>
                <w:sz w:val="20"/>
                <w:szCs w:val="20"/>
                <w:color w:val="auto"/>
              </w:rPr>
            </w:pPr>
            <w:r>
              <w:rPr>
                <w:rFonts w:ascii="Arial" w:cs="Arial" w:eastAsia="Arial" w:hAnsi="Arial"/>
                <w:sz w:val="18"/>
                <w:szCs w:val="18"/>
                <w:b w:val="1"/>
                <w:bCs w:val="1"/>
                <w:color w:val="auto"/>
              </w:rPr>
              <w:t>Total</w:t>
            </w:r>
          </w:p>
        </w:tc>
      </w:tr>
      <w:tr>
        <w:trPr>
          <w:trHeight w:val="202"/>
        </w:trPr>
        <w:tc>
          <w:tcPr>
            <w:tcW w:w="1380" w:type="dxa"/>
            <w:vAlign w:val="bottom"/>
          </w:tcPr>
          <w:p>
            <w:pPr>
              <w:spacing w:after="0"/>
              <w:rPr>
                <w:sz w:val="17"/>
                <w:szCs w:val="17"/>
                <w:color w:val="auto"/>
              </w:rPr>
            </w:pPr>
          </w:p>
        </w:tc>
        <w:tc>
          <w:tcPr>
            <w:tcW w:w="284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w w:val="93"/>
              </w:rPr>
              <w:t>Net derivative assets as of January 1,</w:t>
            </w:r>
          </w:p>
        </w:tc>
        <w:tc>
          <w:tcPr>
            <w:tcW w:w="132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3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80" w:type="dxa"/>
            <w:vAlign w:val="bottom"/>
            <w:tcBorders>
              <w:top w:val="single" w:sz="8" w:color="auto"/>
            </w:tcBorders>
            <w:shd w:val="clear" w:color="auto" w:fill="E8FFFA"/>
          </w:tcPr>
          <w:p>
            <w:pPr>
              <w:spacing w:after="0"/>
              <w:rPr>
                <w:sz w:val="17"/>
                <w:szCs w:val="17"/>
                <w:color w:val="auto"/>
              </w:rPr>
            </w:pPr>
          </w:p>
        </w:tc>
        <w:tc>
          <w:tcPr>
            <w:tcW w:w="1640" w:type="dxa"/>
            <w:vAlign w:val="bottom"/>
          </w:tcPr>
          <w:p>
            <w:pPr>
              <w:spacing w:after="0"/>
              <w:rPr>
                <w:sz w:val="17"/>
                <w:szCs w:val="17"/>
                <w:color w:val="auto"/>
              </w:rPr>
            </w:pPr>
          </w:p>
        </w:tc>
      </w:tr>
      <w:tr>
        <w:trPr>
          <w:trHeight w:val="224"/>
        </w:trPr>
        <w:tc>
          <w:tcPr>
            <w:tcW w:w="1380" w:type="dxa"/>
            <w:vAlign w:val="bottom"/>
          </w:tcPr>
          <w:p>
            <w:pPr>
              <w:spacing w:after="0"/>
              <w:rPr>
                <w:sz w:val="19"/>
                <w:szCs w:val="19"/>
                <w:color w:val="auto"/>
              </w:rPr>
            </w:pPr>
          </w:p>
        </w:tc>
        <w:tc>
          <w:tcPr>
            <w:tcW w:w="2840" w:type="dxa"/>
            <w:vAlign w:val="bottom"/>
            <w:shd w:val="clear" w:color="auto" w:fill="E8FFFA"/>
          </w:tcPr>
          <w:p>
            <w:pPr>
              <w:spacing w:after="0"/>
              <w:rPr>
                <w:sz w:val="20"/>
                <w:szCs w:val="20"/>
                <w:color w:val="auto"/>
              </w:rPr>
            </w:pPr>
            <w:r>
              <w:rPr>
                <w:rFonts w:ascii="Arial" w:cs="Arial" w:eastAsia="Arial" w:hAnsi="Arial"/>
                <w:sz w:val="18"/>
                <w:szCs w:val="18"/>
                <w:color w:val="auto"/>
              </w:rPr>
              <w:t>2018</w:t>
            </w:r>
          </w:p>
        </w:tc>
        <w:tc>
          <w:tcPr>
            <w:tcW w:w="1480" w:type="dxa"/>
            <w:vAlign w:val="bottom"/>
            <w:gridSpan w:val="2"/>
            <w:shd w:val="clear" w:color="auto" w:fill="E8FFFA"/>
          </w:tcPr>
          <w:p>
            <w:pPr>
              <w:jc w:val="right"/>
              <w:ind w:right="32"/>
              <w:spacing w:after="0"/>
              <w:rPr>
                <w:sz w:val="20"/>
                <w:szCs w:val="20"/>
                <w:color w:val="auto"/>
              </w:rPr>
            </w:pPr>
            <w:r>
              <w:rPr>
                <w:rFonts w:ascii="Arial" w:cs="Arial" w:eastAsia="Arial" w:hAnsi="Arial"/>
                <w:sz w:val="18"/>
                <w:szCs w:val="18"/>
                <w:color w:val="auto"/>
              </w:rPr>
              <w:t>(16,396)</w:t>
            </w:r>
          </w:p>
        </w:tc>
        <w:tc>
          <w:tcPr>
            <w:tcW w:w="146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(16,396)</w:t>
            </w:r>
          </w:p>
        </w:tc>
        <w:tc>
          <w:tcPr>
            <w:tcW w:w="1640" w:type="dxa"/>
            <w:vAlign w:val="bottom"/>
          </w:tcPr>
          <w:p>
            <w:pPr>
              <w:spacing w:after="0"/>
              <w:rPr>
                <w:sz w:val="19"/>
                <w:szCs w:val="19"/>
                <w:color w:val="auto"/>
              </w:rPr>
            </w:pPr>
          </w:p>
        </w:tc>
      </w:tr>
      <w:tr>
        <w:trPr>
          <w:trHeight w:val="208"/>
        </w:trPr>
        <w:tc>
          <w:tcPr>
            <w:tcW w:w="13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Unrealized gain on derivative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220" w:type="dxa"/>
            <w:vAlign w:val="bottom"/>
            <w:gridSpan w:val="2"/>
          </w:tcPr>
          <w:p>
            <w:pPr>
              <w:ind w:left="1380"/>
              <w:spacing w:after="0"/>
              <w:rPr>
                <w:sz w:val="20"/>
                <w:szCs w:val="20"/>
                <w:color w:val="auto"/>
              </w:rPr>
            </w:pPr>
            <w:r>
              <w:rPr>
                <w:rFonts w:ascii="Arial" w:cs="Arial" w:eastAsia="Arial" w:hAnsi="Arial"/>
                <w:sz w:val="18"/>
                <w:szCs w:val="18"/>
                <w:color w:val="auto"/>
                <w:w w:val="97"/>
              </w:rPr>
              <w:t>financial instruments held for trading</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4220" w:type="dxa"/>
            <w:vAlign w:val="bottom"/>
            <w:gridSpan w:val="2"/>
          </w:tcPr>
          <w:p>
            <w:pPr>
              <w:ind w:left="1380"/>
              <w:spacing w:after="0"/>
              <w:rPr>
                <w:sz w:val="20"/>
                <w:szCs w:val="20"/>
                <w:color w:val="auto"/>
              </w:rPr>
            </w:pPr>
            <w:r>
              <w:rPr>
                <w:rFonts w:ascii="Arial" w:cs="Arial" w:eastAsia="Arial" w:hAnsi="Arial"/>
                <w:sz w:val="18"/>
                <w:szCs w:val="18"/>
                <w:color w:val="auto"/>
              </w:rPr>
              <w:t>(Note 15)</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(17,235)</w:t>
            </w:r>
          </w:p>
        </w:tc>
        <w:tc>
          <w:tcPr>
            <w:tcW w:w="2820" w:type="dxa"/>
            <w:vAlign w:val="bottom"/>
            <w:gridSpan w:val="2"/>
          </w:tcPr>
          <w:p>
            <w:pPr>
              <w:jc w:val="right"/>
              <w:ind w:right="1600"/>
              <w:spacing w:after="0"/>
              <w:rPr>
                <w:sz w:val="20"/>
                <w:szCs w:val="20"/>
                <w:color w:val="auto"/>
              </w:rPr>
            </w:pPr>
            <w:r>
              <w:rPr>
                <w:rFonts w:ascii="Arial" w:cs="Arial" w:eastAsia="Arial" w:hAnsi="Arial"/>
                <w:sz w:val="18"/>
                <w:szCs w:val="18"/>
                <w:color w:val="auto"/>
              </w:rPr>
              <w:t>(17,235)</w:t>
            </w:r>
          </w:p>
        </w:tc>
      </w:tr>
      <w:tr>
        <w:trPr>
          <w:trHeight w:val="210"/>
        </w:trPr>
        <w:tc>
          <w:tcPr>
            <w:tcW w:w="1380" w:type="dxa"/>
            <w:vAlign w:val="bottom"/>
          </w:tcPr>
          <w:p>
            <w:pPr>
              <w:spacing w:after="0"/>
              <w:rPr>
                <w:sz w:val="18"/>
                <w:szCs w:val="18"/>
                <w:color w:val="auto"/>
              </w:rPr>
            </w:pPr>
          </w:p>
        </w:tc>
        <w:tc>
          <w:tcPr>
            <w:tcW w:w="2840" w:type="dxa"/>
            <w:vAlign w:val="bottom"/>
            <w:shd w:val="clear" w:color="auto" w:fill="E8FFFA"/>
          </w:tcPr>
          <w:p>
            <w:pPr>
              <w:spacing w:after="0"/>
              <w:rPr>
                <w:sz w:val="20"/>
                <w:szCs w:val="20"/>
                <w:color w:val="auto"/>
              </w:rPr>
            </w:pPr>
            <w:r>
              <w:rPr>
                <w:rFonts w:ascii="Arial" w:cs="Arial" w:eastAsia="Arial" w:hAnsi="Arial"/>
                <w:sz w:val="18"/>
                <w:szCs w:val="18"/>
                <w:color w:val="auto"/>
              </w:rPr>
              <w:t>Ineffective portion of cash flow</w:t>
            </w:r>
          </w:p>
        </w:tc>
        <w:tc>
          <w:tcPr>
            <w:tcW w:w="13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3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spacing w:after="0"/>
              <w:rPr>
                <w:sz w:val="18"/>
                <w:szCs w:val="18"/>
                <w:color w:val="auto"/>
              </w:rPr>
            </w:pPr>
          </w:p>
        </w:tc>
        <w:tc>
          <w:tcPr>
            <w:tcW w:w="1640" w:type="dxa"/>
            <w:vAlign w:val="bottom"/>
          </w:tcPr>
          <w:p>
            <w:pPr>
              <w:spacing w:after="0"/>
              <w:rPr>
                <w:sz w:val="18"/>
                <w:szCs w:val="18"/>
                <w:color w:val="auto"/>
              </w:rPr>
            </w:pPr>
          </w:p>
        </w:tc>
      </w:tr>
      <w:tr>
        <w:trPr>
          <w:trHeight w:val="224"/>
        </w:trPr>
        <w:tc>
          <w:tcPr>
            <w:tcW w:w="1380" w:type="dxa"/>
            <w:vAlign w:val="bottom"/>
          </w:tcPr>
          <w:p>
            <w:pPr>
              <w:spacing w:after="0"/>
              <w:rPr>
                <w:sz w:val="19"/>
                <w:szCs w:val="19"/>
                <w:color w:val="auto"/>
              </w:rPr>
            </w:pPr>
          </w:p>
        </w:tc>
        <w:tc>
          <w:tcPr>
            <w:tcW w:w="2840" w:type="dxa"/>
            <w:vAlign w:val="bottom"/>
            <w:shd w:val="clear" w:color="auto" w:fill="E8FFFA"/>
          </w:tcPr>
          <w:p>
            <w:pPr>
              <w:spacing w:after="0"/>
              <w:rPr>
                <w:sz w:val="20"/>
                <w:szCs w:val="20"/>
                <w:color w:val="auto"/>
              </w:rPr>
            </w:pPr>
            <w:r>
              <w:rPr>
                <w:rFonts w:ascii="Arial" w:cs="Arial" w:eastAsia="Arial" w:hAnsi="Arial"/>
                <w:sz w:val="18"/>
                <w:szCs w:val="18"/>
                <w:color w:val="auto"/>
              </w:rPr>
              <w:t>hedges (Note 15)</w:t>
            </w:r>
          </w:p>
        </w:tc>
        <w:tc>
          <w:tcPr>
            <w:tcW w:w="1480" w:type="dxa"/>
            <w:vAlign w:val="bottom"/>
            <w:gridSpan w:val="2"/>
            <w:shd w:val="clear" w:color="auto" w:fill="E8FFFA"/>
          </w:tcPr>
          <w:p>
            <w:pPr>
              <w:jc w:val="right"/>
              <w:ind w:right="9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E8FFFA"/>
          </w:tcPr>
          <w:p>
            <w:pPr>
              <w:spacing w:after="0"/>
              <w:rPr>
                <w:sz w:val="19"/>
                <w:szCs w:val="19"/>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530</w:t>
            </w:r>
          </w:p>
        </w:tc>
        <w:tc>
          <w:tcPr>
            <w:tcW w:w="1640" w:type="dxa"/>
            <w:vAlign w:val="bottom"/>
          </w:tcPr>
          <w:p>
            <w:pPr>
              <w:spacing w:after="0"/>
              <w:rPr>
                <w:sz w:val="19"/>
                <w:szCs w:val="19"/>
                <w:color w:val="auto"/>
              </w:rPr>
            </w:pPr>
          </w:p>
        </w:tc>
      </w:tr>
      <w:tr>
        <w:trPr>
          <w:trHeight w:val="208"/>
        </w:trPr>
        <w:tc>
          <w:tcPr>
            <w:tcW w:w="13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Effective portion of changes in the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220" w:type="dxa"/>
            <w:vAlign w:val="bottom"/>
            <w:gridSpan w:val="2"/>
          </w:tcPr>
          <w:p>
            <w:pPr>
              <w:ind w:left="1380"/>
              <w:spacing w:after="0"/>
              <w:rPr>
                <w:sz w:val="20"/>
                <w:szCs w:val="20"/>
                <w:color w:val="auto"/>
              </w:rPr>
            </w:pPr>
            <w:r>
              <w:rPr>
                <w:rFonts w:ascii="Arial" w:cs="Arial" w:eastAsia="Arial" w:hAnsi="Arial"/>
                <w:sz w:val="18"/>
                <w:szCs w:val="18"/>
                <w:color w:val="auto"/>
                <w:w w:val="93"/>
              </w:rPr>
              <w:t>fair value of derivatives designated as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4220" w:type="dxa"/>
            <w:vAlign w:val="bottom"/>
            <w:gridSpan w:val="2"/>
          </w:tcPr>
          <w:p>
            <w:pPr>
              <w:ind w:left="1380"/>
              <w:spacing w:after="0"/>
              <w:rPr>
                <w:sz w:val="20"/>
                <w:szCs w:val="20"/>
                <w:color w:val="auto"/>
              </w:rPr>
            </w:pPr>
            <w:r>
              <w:rPr>
                <w:rFonts w:ascii="Arial" w:cs="Arial" w:eastAsia="Arial" w:hAnsi="Arial"/>
                <w:sz w:val="18"/>
                <w:szCs w:val="18"/>
                <w:color w:val="auto"/>
              </w:rPr>
              <w:t>cash flow hedging instruments</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20" w:type="dxa"/>
            <w:vAlign w:val="bottom"/>
            <w:gridSpan w:val="2"/>
          </w:tcPr>
          <w:p>
            <w:pPr>
              <w:jc w:val="right"/>
              <w:ind w:right="1600"/>
              <w:spacing w:after="0"/>
              <w:rPr>
                <w:sz w:val="20"/>
                <w:szCs w:val="20"/>
                <w:color w:val="auto"/>
              </w:rPr>
            </w:pPr>
            <w:r>
              <w:rPr>
                <w:rFonts w:ascii="Arial" w:cs="Arial" w:eastAsia="Arial" w:hAnsi="Arial"/>
                <w:sz w:val="18"/>
                <w:szCs w:val="18"/>
                <w:color w:val="auto"/>
              </w:rPr>
              <w:t>(2,287)</w:t>
            </w:r>
          </w:p>
        </w:tc>
      </w:tr>
      <w:tr>
        <w:trPr>
          <w:trHeight w:val="197"/>
        </w:trPr>
        <w:tc>
          <w:tcPr>
            <w:tcW w:w="1380" w:type="dxa"/>
            <w:vAlign w:val="bottom"/>
          </w:tcPr>
          <w:p>
            <w:pPr>
              <w:spacing w:after="0"/>
              <w:rPr>
                <w:sz w:val="17"/>
                <w:szCs w:val="17"/>
                <w:color w:val="auto"/>
              </w:rPr>
            </w:pPr>
          </w:p>
        </w:tc>
        <w:tc>
          <w:tcPr>
            <w:tcW w:w="2840" w:type="dxa"/>
            <w:vAlign w:val="bottom"/>
            <w:shd w:val="clear" w:color="auto" w:fill="E8FFFA"/>
          </w:tcPr>
          <w:p>
            <w:pPr>
              <w:spacing w:after="0" w:line="197" w:lineRule="exact"/>
              <w:rPr>
                <w:sz w:val="20"/>
                <w:szCs w:val="20"/>
                <w:color w:val="auto"/>
              </w:rPr>
            </w:pPr>
            <w:r>
              <w:rPr>
                <w:rFonts w:ascii="Arial" w:cs="Arial" w:eastAsia="Arial" w:hAnsi="Arial"/>
                <w:sz w:val="18"/>
                <w:szCs w:val="18"/>
                <w:b w:val="1"/>
                <w:bCs w:val="1"/>
                <w:color w:val="auto"/>
                <w:w w:val="93"/>
              </w:rPr>
              <w:t>Net derivative assets as of June 30,</w:t>
            </w:r>
          </w:p>
        </w:tc>
        <w:tc>
          <w:tcPr>
            <w:tcW w:w="132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3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80" w:type="dxa"/>
            <w:vAlign w:val="bottom"/>
            <w:tcBorders>
              <w:top w:val="single" w:sz="8" w:color="auto"/>
            </w:tcBorders>
            <w:shd w:val="clear" w:color="auto" w:fill="E8FFFA"/>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28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2018</w:t>
            </w:r>
          </w:p>
        </w:tc>
        <w:tc>
          <w:tcPr>
            <w:tcW w:w="1480" w:type="dxa"/>
            <w:vAlign w:val="bottom"/>
            <w:gridSpan w:val="2"/>
            <w:shd w:val="clear" w:color="auto" w:fill="E8FFFA"/>
          </w:tcPr>
          <w:p>
            <w:pPr>
              <w:jc w:val="right"/>
              <w:ind w:right="32"/>
              <w:spacing w:after="0"/>
              <w:rPr>
                <w:sz w:val="20"/>
                <w:szCs w:val="20"/>
                <w:color w:val="auto"/>
              </w:rPr>
            </w:pPr>
            <w:r>
              <w:rPr>
                <w:rFonts w:ascii="Arial" w:cs="Arial" w:eastAsia="Arial" w:hAnsi="Arial"/>
                <w:sz w:val="18"/>
                <w:szCs w:val="18"/>
                <w:b w:val="1"/>
                <w:bCs w:val="1"/>
                <w:color w:val="auto"/>
              </w:rPr>
              <w:t>(16,396)</w:t>
            </w:r>
          </w:p>
        </w:tc>
        <w:tc>
          <w:tcPr>
            <w:tcW w:w="14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b w:val="1"/>
                <w:bCs w:val="1"/>
                <w:color w:val="auto"/>
              </w:rPr>
              <w:t>(2,287)</w:t>
            </w:r>
          </w:p>
        </w:tc>
        <w:tc>
          <w:tcPr>
            <w:tcW w:w="144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b w:val="1"/>
                <w:bCs w:val="1"/>
                <w:color w:val="auto"/>
              </w:rPr>
              <w:t>(16,705)</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(35,388)</w:t>
            </w:r>
          </w:p>
        </w:tc>
        <w:tc>
          <w:tcPr>
            <w:tcW w:w="1640" w:type="dxa"/>
            <w:vAlign w:val="bottom"/>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1"/>
        </w:trPr>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gridSpan w:val="3"/>
          </w:tcPr>
          <w:p>
            <w:pPr>
              <w:jc w:val="right"/>
              <w:ind w:right="1280"/>
              <w:spacing w:after="0"/>
              <w:rPr>
                <w:sz w:val="20"/>
                <w:szCs w:val="20"/>
                <w:color w:val="auto"/>
              </w:rPr>
            </w:pPr>
            <w:r>
              <w:rPr>
                <w:rFonts w:ascii="Arial" w:cs="Arial" w:eastAsia="Arial" w:hAnsi="Arial"/>
                <w:sz w:val="18"/>
                <w:szCs w:val="18"/>
                <w:color w:val="auto"/>
                <w:w w:val="86"/>
              </w:rPr>
              <w:t>F-24</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6"/>
          <w:szCs w:val="16"/>
          <w:color w:val="auto"/>
        </w:rPr>
        <w:t>A reconciliation of tangible fixed assets, vessels under construction and vessel held under finance lease arising from investing activities is as follows:</w:t>
      </w: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Opening balance</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2"/>
              </w:rPr>
              <w:t>Cash flows</w:t>
            </w:r>
          </w:p>
        </w:tc>
        <w:tc>
          <w:tcPr>
            <w:tcW w:w="1620" w:type="dxa"/>
            <w:vAlign w:val="bottom"/>
            <w:gridSpan w:val="5"/>
          </w:tcPr>
          <w:p>
            <w:pPr>
              <w:jc w:val="right"/>
              <w:ind w:right="332"/>
              <w:spacing w:after="0"/>
              <w:rPr>
                <w:sz w:val="20"/>
                <w:szCs w:val="20"/>
                <w:color w:val="auto"/>
              </w:rPr>
            </w:pPr>
            <w:r>
              <w:rPr>
                <w:rFonts w:ascii="Arial" w:cs="Arial" w:eastAsia="Arial" w:hAnsi="Arial"/>
                <w:sz w:val="18"/>
                <w:szCs w:val="18"/>
                <w:b w:val="1"/>
                <w:bCs w:val="1"/>
                <w:color w:val="auto"/>
                <w:w w:val="88"/>
              </w:rPr>
              <w:t>Non-cash items</w:t>
            </w:r>
          </w:p>
        </w:tc>
        <w:tc>
          <w:tcPr>
            <w:tcW w:w="1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w:t>
            </w:r>
          </w:p>
        </w:tc>
      </w:tr>
      <w:tr>
        <w:trPr>
          <w:trHeight w:val="202"/>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w w:val="95"/>
              </w:rPr>
              <w:t>Tangible fixed assets, vessels under</w:t>
            </w:r>
          </w:p>
        </w:tc>
        <w:tc>
          <w:tcPr>
            <w:tcW w:w="132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40" w:type="dxa"/>
            <w:vAlign w:val="bottom"/>
            <w:tcBorders>
              <w:top w:val="single" w:sz="8" w:color="auto"/>
            </w:tcBorders>
            <w:shd w:val="clear" w:color="auto" w:fill="E8FFFA"/>
          </w:tcPr>
          <w:p>
            <w:pPr>
              <w:spacing w:after="0"/>
              <w:rPr>
                <w:sz w:val="17"/>
                <w:szCs w:val="17"/>
                <w:color w:val="auto"/>
              </w:rPr>
            </w:pPr>
          </w:p>
        </w:tc>
        <w:tc>
          <w:tcPr>
            <w:tcW w:w="220" w:type="dxa"/>
            <w:vAlign w:val="bottom"/>
            <w:tcBorders>
              <w:top w:val="single" w:sz="8" w:color="auto"/>
            </w:tcBorders>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80" w:type="dxa"/>
            <w:vAlign w:val="bottom"/>
            <w:tcBorders>
              <w:top w:val="single" w:sz="8" w:color="auto"/>
            </w:tcBorders>
            <w:shd w:val="clear" w:color="auto" w:fill="E8FFFA"/>
          </w:tcPr>
          <w:p>
            <w:pPr>
              <w:spacing w:after="0"/>
              <w:rPr>
                <w:sz w:val="17"/>
                <w:szCs w:val="17"/>
                <w:color w:val="auto"/>
              </w:rPr>
            </w:pPr>
          </w:p>
        </w:tc>
        <w:tc>
          <w:tcPr>
            <w:tcW w:w="160" w:type="dxa"/>
            <w:vAlign w:val="bottom"/>
            <w:tcBorders>
              <w:top w:val="single" w:sz="8" w:color="auto"/>
            </w:tcBorders>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200" w:type="dxa"/>
            <w:vAlign w:val="bottom"/>
            <w:tcBorders>
              <w:top w:val="single" w:sz="8" w:color="auto"/>
            </w:tcBorders>
            <w:shd w:val="clear" w:color="auto" w:fill="E8FFFA"/>
          </w:tcPr>
          <w:p>
            <w:pPr>
              <w:spacing w:after="0"/>
              <w:rPr>
                <w:sz w:val="17"/>
                <w:szCs w:val="17"/>
                <w:color w:val="auto"/>
              </w:rPr>
            </w:pPr>
          </w:p>
        </w:tc>
        <w:tc>
          <w:tcPr>
            <w:tcW w:w="160" w:type="dxa"/>
            <w:vAlign w:val="bottom"/>
            <w:tcBorders>
              <w:top w:val="single" w:sz="8" w:color="auto"/>
            </w:tcBorders>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color w:val="auto"/>
                <w:w w:val="99"/>
              </w:rPr>
              <w:t>construction and vessel held under</w:t>
            </w:r>
          </w:p>
        </w:tc>
        <w:tc>
          <w:tcPr>
            <w:tcW w:w="13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22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2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color w:val="auto"/>
                <w:w w:val="97"/>
              </w:rPr>
              <w:t>finance lease as of January 1, 2018</w:t>
            </w: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4,153,550</w:t>
            </w:r>
          </w:p>
        </w:tc>
        <w:tc>
          <w:tcPr>
            <w:tcW w:w="160" w:type="dxa"/>
            <w:vAlign w:val="bottom"/>
            <w:shd w:val="clear" w:color="auto" w:fill="E8FFFA"/>
          </w:tcPr>
          <w:p>
            <w:pPr>
              <w:spacing w:after="0"/>
              <w:rPr>
                <w:sz w:val="19"/>
                <w:szCs w:val="19"/>
                <w:color w:val="auto"/>
              </w:rPr>
            </w:pPr>
          </w:p>
        </w:tc>
        <w:tc>
          <w:tcPr>
            <w:tcW w:w="140" w:type="dxa"/>
            <w:vAlign w:val="bottom"/>
            <w:shd w:val="clear" w:color="auto" w:fill="E8FFFA"/>
          </w:tcPr>
          <w:p>
            <w:pPr>
              <w:spacing w:after="0"/>
              <w:rPr>
                <w:sz w:val="19"/>
                <w:szCs w:val="19"/>
                <w:color w:val="auto"/>
              </w:rPr>
            </w:pPr>
          </w:p>
        </w:tc>
        <w:tc>
          <w:tcPr>
            <w:tcW w:w="220" w:type="dxa"/>
            <w:vAlign w:val="bottom"/>
            <w:shd w:val="clear" w:color="auto" w:fill="E8FFFA"/>
          </w:tcPr>
          <w:p>
            <w:pPr>
              <w:spacing w:after="0"/>
              <w:rPr>
                <w:sz w:val="19"/>
                <w:szCs w:val="19"/>
                <w:color w:val="auto"/>
              </w:rPr>
            </w:pPr>
          </w:p>
        </w:tc>
        <w:tc>
          <w:tcPr>
            <w:tcW w:w="108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8FFFA"/>
          </w:tcPr>
          <w:p>
            <w:pPr>
              <w:spacing w:after="0"/>
              <w:rPr>
                <w:sz w:val="19"/>
                <w:szCs w:val="19"/>
                <w:color w:val="auto"/>
              </w:rPr>
            </w:pPr>
          </w:p>
        </w:tc>
        <w:tc>
          <w:tcPr>
            <w:tcW w:w="160" w:type="dxa"/>
            <w:vAlign w:val="bottom"/>
            <w:shd w:val="clear" w:color="auto" w:fill="E8FFFA"/>
          </w:tcPr>
          <w:p>
            <w:pPr>
              <w:spacing w:after="0"/>
              <w:rPr>
                <w:sz w:val="19"/>
                <w:szCs w:val="19"/>
                <w:color w:val="auto"/>
              </w:rPr>
            </w:pPr>
          </w:p>
        </w:tc>
        <w:tc>
          <w:tcPr>
            <w:tcW w:w="1280" w:type="dxa"/>
            <w:vAlign w:val="bottom"/>
            <w:gridSpan w:val="3"/>
            <w:shd w:val="clear" w:color="auto" w:fill="E8FFFA"/>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4,153,550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Additions (Note 5)</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588,929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601,339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color w:val="auto"/>
              </w:rPr>
              <w:t>Transfer under "Other non-current</w:t>
            </w:r>
          </w:p>
        </w:tc>
        <w:tc>
          <w:tcPr>
            <w:tcW w:w="13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22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2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color w:val="auto"/>
              </w:rPr>
              <w:t>assets"</w:t>
            </w:r>
          </w:p>
        </w:tc>
        <w:tc>
          <w:tcPr>
            <w:tcW w:w="1620" w:type="dxa"/>
            <w:vAlign w:val="bottom"/>
            <w:gridSpan w:val="3"/>
            <w:shd w:val="clear" w:color="auto" w:fill="E8FFFA"/>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8FFFA"/>
          </w:tcPr>
          <w:p>
            <w:pPr>
              <w:spacing w:after="0"/>
              <w:rPr>
                <w:sz w:val="19"/>
                <w:szCs w:val="19"/>
                <w:color w:val="auto"/>
              </w:rPr>
            </w:pPr>
          </w:p>
        </w:tc>
        <w:tc>
          <w:tcPr>
            <w:tcW w:w="108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8FFFA"/>
          </w:tcPr>
          <w:p>
            <w:pPr>
              <w:spacing w:after="0"/>
              <w:rPr>
                <w:sz w:val="19"/>
                <w:szCs w:val="19"/>
                <w:color w:val="auto"/>
              </w:rPr>
            </w:pPr>
          </w:p>
        </w:tc>
        <w:tc>
          <w:tcPr>
            <w:tcW w:w="160" w:type="dxa"/>
            <w:vAlign w:val="bottom"/>
            <w:shd w:val="clear" w:color="auto" w:fill="E8FFFA"/>
          </w:tcPr>
          <w:p>
            <w:pPr>
              <w:spacing w:after="0"/>
              <w:rPr>
                <w:sz w:val="19"/>
                <w:szCs w:val="19"/>
                <w:color w:val="auto"/>
              </w:rPr>
            </w:pPr>
          </w:p>
        </w:tc>
        <w:tc>
          <w:tcPr>
            <w:tcW w:w="10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E8FFFA"/>
          </w:tcPr>
          <w:p>
            <w:pPr>
              <w:spacing w:after="0"/>
              <w:rPr>
                <w:sz w:val="19"/>
                <w:szCs w:val="19"/>
                <w:color w:val="auto"/>
              </w:rPr>
            </w:pPr>
          </w:p>
        </w:tc>
        <w:tc>
          <w:tcPr>
            <w:tcW w:w="10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(1,650)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Depreciation expense (Note 5)</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(74,342)</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(74,342)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shd w:val="clear" w:color="auto" w:fill="E8FFFA"/>
          </w:tcPr>
          <w:p>
            <w:pPr>
              <w:spacing w:after="0" w:line="195" w:lineRule="exact"/>
              <w:rPr>
                <w:sz w:val="20"/>
                <w:szCs w:val="20"/>
                <w:color w:val="auto"/>
              </w:rPr>
            </w:pPr>
            <w:r>
              <w:rPr>
                <w:rFonts w:ascii="Arial" w:cs="Arial" w:eastAsia="Arial" w:hAnsi="Arial"/>
                <w:sz w:val="18"/>
                <w:szCs w:val="18"/>
                <w:b w:val="1"/>
                <w:bCs w:val="1"/>
                <w:color w:val="auto"/>
                <w:w w:val="89"/>
              </w:rPr>
              <w:t>Tangible fixed assets vessels under</w:t>
            </w:r>
          </w:p>
        </w:tc>
        <w:tc>
          <w:tcPr>
            <w:tcW w:w="1320" w:type="dxa"/>
            <w:vAlign w:val="bottom"/>
            <w:tcBorders>
              <w:top w:val="single" w:sz="8" w:color="auto"/>
            </w:tcBorders>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140" w:type="dxa"/>
            <w:vAlign w:val="bottom"/>
            <w:tcBorders>
              <w:top w:val="single" w:sz="8" w:color="auto"/>
            </w:tcBorders>
            <w:shd w:val="clear" w:color="auto" w:fill="E8FFFA"/>
          </w:tcPr>
          <w:p>
            <w:pPr>
              <w:spacing w:after="0"/>
              <w:rPr>
                <w:sz w:val="16"/>
                <w:szCs w:val="16"/>
                <w:color w:val="auto"/>
              </w:rPr>
            </w:pPr>
          </w:p>
        </w:tc>
        <w:tc>
          <w:tcPr>
            <w:tcW w:w="220" w:type="dxa"/>
            <w:vAlign w:val="bottom"/>
            <w:tcBorders>
              <w:top w:val="single" w:sz="8" w:color="auto"/>
            </w:tcBorders>
            <w:shd w:val="clear" w:color="auto" w:fill="E8FFFA"/>
          </w:tcPr>
          <w:p>
            <w:pPr>
              <w:spacing w:after="0"/>
              <w:rPr>
                <w:sz w:val="16"/>
                <w:szCs w:val="16"/>
                <w:color w:val="auto"/>
              </w:rPr>
            </w:pPr>
          </w:p>
        </w:tc>
        <w:tc>
          <w:tcPr>
            <w:tcW w:w="900" w:type="dxa"/>
            <w:vAlign w:val="bottom"/>
            <w:tcBorders>
              <w:top w:val="single" w:sz="8" w:color="auto"/>
            </w:tcBorders>
            <w:shd w:val="clear" w:color="auto" w:fill="E8FFFA"/>
          </w:tcPr>
          <w:p>
            <w:pPr>
              <w:spacing w:after="0"/>
              <w:rPr>
                <w:sz w:val="16"/>
                <w:szCs w:val="16"/>
                <w:color w:val="auto"/>
              </w:rPr>
            </w:pPr>
          </w:p>
        </w:tc>
        <w:tc>
          <w:tcPr>
            <w:tcW w:w="180" w:type="dxa"/>
            <w:vAlign w:val="bottom"/>
            <w:shd w:val="clear" w:color="auto" w:fill="E8FFFA"/>
          </w:tcPr>
          <w:p>
            <w:pPr>
              <w:spacing w:after="0"/>
              <w:rPr>
                <w:sz w:val="16"/>
                <w:szCs w:val="16"/>
                <w:color w:val="auto"/>
              </w:rPr>
            </w:pPr>
          </w:p>
        </w:tc>
        <w:tc>
          <w:tcPr>
            <w:tcW w:w="180" w:type="dxa"/>
            <w:vAlign w:val="bottom"/>
            <w:tcBorders>
              <w:top w:val="single" w:sz="8" w:color="auto"/>
            </w:tcBorders>
            <w:shd w:val="clear" w:color="auto" w:fill="E8FFFA"/>
          </w:tcPr>
          <w:p>
            <w:pPr>
              <w:spacing w:after="0"/>
              <w:rPr>
                <w:sz w:val="16"/>
                <w:szCs w:val="16"/>
                <w:color w:val="auto"/>
              </w:rPr>
            </w:pPr>
          </w:p>
        </w:tc>
        <w:tc>
          <w:tcPr>
            <w:tcW w:w="160" w:type="dxa"/>
            <w:vAlign w:val="bottom"/>
            <w:tcBorders>
              <w:top w:val="single" w:sz="8" w:color="auto"/>
            </w:tcBorders>
            <w:shd w:val="clear" w:color="auto" w:fill="E8FFFA"/>
          </w:tcPr>
          <w:p>
            <w:pPr>
              <w:spacing w:after="0"/>
              <w:rPr>
                <w:sz w:val="16"/>
                <w:szCs w:val="16"/>
                <w:color w:val="auto"/>
              </w:rPr>
            </w:pPr>
          </w:p>
        </w:tc>
        <w:tc>
          <w:tcPr>
            <w:tcW w:w="920" w:type="dxa"/>
            <w:vAlign w:val="bottom"/>
            <w:tcBorders>
              <w:top w:val="single" w:sz="8" w:color="auto"/>
            </w:tcBorders>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200" w:type="dxa"/>
            <w:vAlign w:val="bottom"/>
            <w:tcBorders>
              <w:top w:val="single" w:sz="8" w:color="auto"/>
            </w:tcBorders>
            <w:shd w:val="clear" w:color="auto" w:fill="E8FFFA"/>
          </w:tcPr>
          <w:p>
            <w:pPr>
              <w:spacing w:after="0"/>
              <w:rPr>
                <w:sz w:val="16"/>
                <w:szCs w:val="16"/>
                <w:color w:val="auto"/>
              </w:rPr>
            </w:pPr>
          </w:p>
        </w:tc>
        <w:tc>
          <w:tcPr>
            <w:tcW w:w="160" w:type="dxa"/>
            <w:vAlign w:val="bottom"/>
            <w:tcBorders>
              <w:top w:val="single" w:sz="8" w:color="auto"/>
            </w:tcBorders>
            <w:shd w:val="clear" w:color="auto" w:fill="E8FFFA"/>
          </w:tcPr>
          <w:p>
            <w:pPr>
              <w:spacing w:after="0"/>
              <w:rPr>
                <w:sz w:val="16"/>
                <w:szCs w:val="16"/>
                <w:color w:val="auto"/>
              </w:rPr>
            </w:pPr>
          </w:p>
        </w:tc>
        <w:tc>
          <w:tcPr>
            <w:tcW w:w="920" w:type="dxa"/>
            <w:vAlign w:val="bottom"/>
            <w:tcBorders>
              <w:top w:val="single" w:sz="8" w:color="auto"/>
            </w:tcBorders>
            <w:shd w:val="clear" w:color="auto" w:fill="E8FFFA"/>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w w:val="91"/>
              </w:rPr>
              <w:t>construction and vessel held under</w:t>
            </w:r>
          </w:p>
        </w:tc>
        <w:tc>
          <w:tcPr>
            <w:tcW w:w="13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220" w:type="dxa"/>
            <w:vAlign w:val="bottom"/>
            <w:shd w:val="clear" w:color="auto" w:fill="E8FFFA"/>
          </w:tcPr>
          <w:p>
            <w:pPr>
              <w:spacing w:after="0"/>
              <w:rPr>
                <w:sz w:val="18"/>
                <w:szCs w:val="18"/>
                <w:color w:val="auto"/>
              </w:rPr>
            </w:pPr>
          </w:p>
        </w:tc>
        <w:tc>
          <w:tcPr>
            <w:tcW w:w="90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2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20" w:type="dxa"/>
            <w:vAlign w:val="bottom"/>
            <w:shd w:val="clear" w:color="auto" w:fill="E8FFFA"/>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w w:val="97"/>
              </w:rPr>
              <w:t>finance lease as of June 30, 2018</w:t>
            </w: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4,153,550</w:t>
            </w:r>
          </w:p>
        </w:tc>
        <w:tc>
          <w:tcPr>
            <w:tcW w:w="160" w:type="dxa"/>
            <w:vAlign w:val="bottom"/>
            <w:shd w:val="clear" w:color="auto" w:fill="E8FFFA"/>
          </w:tcPr>
          <w:p>
            <w:pPr>
              <w:spacing w:after="0"/>
              <w:rPr>
                <w:sz w:val="20"/>
                <w:szCs w:val="20"/>
                <w:color w:val="auto"/>
              </w:rPr>
            </w:pPr>
          </w:p>
        </w:tc>
        <w:tc>
          <w:tcPr>
            <w:tcW w:w="140" w:type="dxa"/>
            <w:vAlign w:val="bottom"/>
            <w:shd w:val="clear" w:color="auto" w:fill="E8FFFA"/>
          </w:tcPr>
          <w:p>
            <w:pPr>
              <w:spacing w:after="0"/>
              <w:rPr>
                <w:sz w:val="20"/>
                <w:szCs w:val="20"/>
                <w:color w:val="auto"/>
              </w:rPr>
            </w:pP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588,929</w:t>
            </w:r>
          </w:p>
        </w:tc>
        <w:tc>
          <w:tcPr>
            <w:tcW w:w="180" w:type="dxa"/>
            <w:vAlign w:val="bottom"/>
            <w:shd w:val="clear" w:color="auto" w:fill="E8FFFA"/>
          </w:tcPr>
          <w:p>
            <w:pPr>
              <w:spacing w:after="0"/>
              <w:rPr>
                <w:sz w:val="20"/>
                <w:szCs w:val="20"/>
                <w:color w:val="auto"/>
              </w:rPr>
            </w:pPr>
          </w:p>
        </w:tc>
        <w:tc>
          <w:tcPr>
            <w:tcW w:w="18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08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b w:val="1"/>
                <w:bCs w:val="1"/>
                <w:color w:val="auto"/>
              </w:rPr>
              <w:t>(63,582)</w:t>
            </w:r>
          </w:p>
        </w:tc>
        <w:tc>
          <w:tcPr>
            <w:tcW w:w="200" w:type="dxa"/>
            <w:vAlign w:val="bottom"/>
            <w:shd w:val="clear" w:color="auto" w:fill="E8FFFA"/>
          </w:tcPr>
          <w:p>
            <w:pPr>
              <w:spacing w:after="0"/>
              <w:rPr>
                <w:sz w:val="20"/>
                <w:szCs w:val="20"/>
                <w:color w:val="auto"/>
              </w:rPr>
            </w:pPr>
          </w:p>
        </w:tc>
        <w:tc>
          <w:tcPr>
            <w:tcW w:w="108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4,678,897</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6740" w:type="dxa"/>
            <w:vAlign w:val="bottom"/>
            <w:gridSpan w:val="9"/>
          </w:tcPr>
          <w:p>
            <w:pPr>
              <w:spacing w:after="0"/>
              <w:rPr>
                <w:sz w:val="20"/>
                <w:szCs w:val="20"/>
                <w:color w:val="auto"/>
              </w:rPr>
            </w:pPr>
            <w:r>
              <w:rPr>
                <w:rFonts w:ascii="Arial" w:cs="Arial" w:eastAsia="Arial" w:hAnsi="Arial"/>
                <w:sz w:val="18"/>
                <w:szCs w:val="18"/>
                <w:color w:val="auto"/>
                <w:w w:val="98"/>
              </w:rPr>
              <w:t>A reconciliation of finance lease liabilities arising from financing activities is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Opening balance</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2"/>
              </w:rPr>
              <w:t>Cash flows</w:t>
            </w:r>
          </w:p>
        </w:tc>
        <w:tc>
          <w:tcPr>
            <w:tcW w:w="1620" w:type="dxa"/>
            <w:vAlign w:val="bottom"/>
            <w:gridSpan w:val="5"/>
          </w:tcPr>
          <w:p>
            <w:pPr>
              <w:jc w:val="right"/>
              <w:ind w:right="332"/>
              <w:spacing w:after="0"/>
              <w:rPr>
                <w:sz w:val="20"/>
                <w:szCs w:val="20"/>
                <w:color w:val="auto"/>
              </w:rPr>
            </w:pPr>
            <w:r>
              <w:rPr>
                <w:rFonts w:ascii="Arial" w:cs="Arial" w:eastAsia="Arial" w:hAnsi="Arial"/>
                <w:sz w:val="18"/>
                <w:szCs w:val="18"/>
                <w:b w:val="1"/>
                <w:bCs w:val="1"/>
                <w:color w:val="auto"/>
                <w:w w:val="88"/>
              </w:rPr>
              <w:t>Non-cash items</w:t>
            </w:r>
          </w:p>
        </w:tc>
        <w:tc>
          <w:tcPr>
            <w:tcW w:w="16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w:t>
            </w:r>
          </w:p>
        </w:tc>
      </w:tr>
      <w:tr>
        <w:trPr>
          <w:trHeight w:val="202"/>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rPr>
              <w:t>Finance lease liabilities as of</w:t>
            </w:r>
          </w:p>
        </w:tc>
        <w:tc>
          <w:tcPr>
            <w:tcW w:w="132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40" w:type="dxa"/>
            <w:vAlign w:val="bottom"/>
            <w:tcBorders>
              <w:top w:val="single" w:sz="8" w:color="auto"/>
            </w:tcBorders>
            <w:shd w:val="clear" w:color="auto" w:fill="E8FFFA"/>
          </w:tcPr>
          <w:p>
            <w:pPr>
              <w:spacing w:after="0"/>
              <w:rPr>
                <w:sz w:val="17"/>
                <w:szCs w:val="17"/>
                <w:color w:val="auto"/>
              </w:rPr>
            </w:pPr>
          </w:p>
        </w:tc>
        <w:tc>
          <w:tcPr>
            <w:tcW w:w="220" w:type="dxa"/>
            <w:vAlign w:val="bottom"/>
            <w:tcBorders>
              <w:top w:val="single" w:sz="8" w:color="auto"/>
            </w:tcBorders>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80" w:type="dxa"/>
            <w:vAlign w:val="bottom"/>
            <w:tcBorders>
              <w:top w:val="single" w:sz="8" w:color="auto"/>
            </w:tcBorders>
            <w:shd w:val="clear" w:color="auto" w:fill="E8FFFA"/>
          </w:tcPr>
          <w:p>
            <w:pPr>
              <w:spacing w:after="0"/>
              <w:rPr>
                <w:sz w:val="17"/>
                <w:szCs w:val="17"/>
                <w:color w:val="auto"/>
              </w:rPr>
            </w:pPr>
          </w:p>
        </w:tc>
        <w:tc>
          <w:tcPr>
            <w:tcW w:w="160" w:type="dxa"/>
            <w:vAlign w:val="bottom"/>
            <w:tcBorders>
              <w:top w:val="single" w:sz="8" w:color="auto"/>
            </w:tcBorders>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200" w:type="dxa"/>
            <w:vAlign w:val="bottom"/>
            <w:tcBorders>
              <w:top w:val="single" w:sz="8" w:color="auto"/>
            </w:tcBorders>
            <w:shd w:val="clear" w:color="auto" w:fill="E8FFFA"/>
          </w:tcPr>
          <w:p>
            <w:pPr>
              <w:spacing w:after="0"/>
              <w:rPr>
                <w:sz w:val="17"/>
                <w:szCs w:val="17"/>
                <w:color w:val="auto"/>
              </w:rPr>
            </w:pPr>
          </w:p>
        </w:tc>
        <w:tc>
          <w:tcPr>
            <w:tcW w:w="160" w:type="dxa"/>
            <w:vAlign w:val="bottom"/>
            <w:tcBorders>
              <w:top w:val="single" w:sz="8" w:color="auto"/>
            </w:tcBorders>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color w:val="auto"/>
              </w:rPr>
              <w:t>January 1, 2018</w:t>
            </w: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213,428</w:t>
            </w:r>
          </w:p>
        </w:tc>
        <w:tc>
          <w:tcPr>
            <w:tcW w:w="160" w:type="dxa"/>
            <w:vAlign w:val="bottom"/>
            <w:shd w:val="clear" w:color="auto" w:fill="E8FFFA"/>
          </w:tcPr>
          <w:p>
            <w:pPr>
              <w:spacing w:after="0"/>
              <w:rPr>
                <w:sz w:val="19"/>
                <w:szCs w:val="19"/>
                <w:color w:val="auto"/>
              </w:rPr>
            </w:pPr>
          </w:p>
        </w:tc>
        <w:tc>
          <w:tcPr>
            <w:tcW w:w="140" w:type="dxa"/>
            <w:vAlign w:val="bottom"/>
            <w:shd w:val="clear" w:color="auto" w:fill="E8FFFA"/>
          </w:tcPr>
          <w:p>
            <w:pPr>
              <w:spacing w:after="0"/>
              <w:rPr>
                <w:sz w:val="19"/>
                <w:szCs w:val="19"/>
                <w:color w:val="auto"/>
              </w:rPr>
            </w:pPr>
          </w:p>
        </w:tc>
        <w:tc>
          <w:tcPr>
            <w:tcW w:w="220" w:type="dxa"/>
            <w:vAlign w:val="bottom"/>
            <w:shd w:val="clear" w:color="auto" w:fill="E8FFFA"/>
          </w:tcPr>
          <w:p>
            <w:pPr>
              <w:spacing w:after="0"/>
              <w:rPr>
                <w:sz w:val="19"/>
                <w:szCs w:val="19"/>
                <w:color w:val="auto"/>
              </w:rPr>
            </w:pPr>
          </w:p>
        </w:tc>
        <w:tc>
          <w:tcPr>
            <w:tcW w:w="108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8FFFA"/>
          </w:tcPr>
          <w:p>
            <w:pPr>
              <w:spacing w:after="0"/>
              <w:rPr>
                <w:sz w:val="19"/>
                <w:szCs w:val="19"/>
                <w:color w:val="auto"/>
              </w:rPr>
            </w:pPr>
          </w:p>
        </w:tc>
        <w:tc>
          <w:tcPr>
            <w:tcW w:w="160" w:type="dxa"/>
            <w:vAlign w:val="bottom"/>
            <w:shd w:val="clear" w:color="auto" w:fill="E8FFFA"/>
          </w:tcPr>
          <w:p>
            <w:pPr>
              <w:spacing w:after="0"/>
              <w:rPr>
                <w:sz w:val="19"/>
                <w:szCs w:val="19"/>
                <w:color w:val="auto"/>
              </w:rPr>
            </w:pPr>
          </w:p>
        </w:tc>
        <w:tc>
          <w:tcPr>
            <w:tcW w:w="1280" w:type="dxa"/>
            <w:vAlign w:val="bottom"/>
            <w:gridSpan w:val="3"/>
            <w:shd w:val="clear" w:color="auto" w:fill="E8FFFA"/>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213,428</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Finance lease charge (Note 15)</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5,262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color w:val="auto"/>
              </w:rPr>
              <w:t>Payments for interest</w:t>
            </w:r>
          </w:p>
        </w:tc>
        <w:tc>
          <w:tcPr>
            <w:tcW w:w="1620" w:type="dxa"/>
            <w:vAlign w:val="bottom"/>
            <w:gridSpan w:val="3"/>
            <w:shd w:val="clear" w:color="auto" w:fill="E8FFFA"/>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(5,262)</w:t>
            </w:r>
          </w:p>
        </w:tc>
        <w:tc>
          <w:tcPr>
            <w:tcW w:w="1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80" w:type="dxa"/>
            <w:vAlign w:val="bottom"/>
            <w:gridSpan w:val="3"/>
            <w:shd w:val="clear" w:color="auto" w:fill="E8FFFA"/>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(5,262)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9"/>
              </w:rPr>
              <w:t>Payments for finance lease liability</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(3,588)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(3,588)</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shd w:val="clear" w:color="auto" w:fill="E8FFFA"/>
          </w:tcPr>
          <w:p>
            <w:pPr>
              <w:spacing w:after="0" w:line="195" w:lineRule="exact"/>
              <w:rPr>
                <w:sz w:val="20"/>
                <w:szCs w:val="20"/>
                <w:color w:val="auto"/>
              </w:rPr>
            </w:pPr>
            <w:r>
              <w:rPr>
                <w:rFonts w:ascii="Arial" w:cs="Arial" w:eastAsia="Arial" w:hAnsi="Arial"/>
                <w:sz w:val="18"/>
                <w:szCs w:val="18"/>
                <w:b w:val="1"/>
                <w:bCs w:val="1"/>
                <w:color w:val="auto"/>
              </w:rPr>
              <w:t>Finance lease liabilities as of</w:t>
            </w:r>
          </w:p>
        </w:tc>
        <w:tc>
          <w:tcPr>
            <w:tcW w:w="1320" w:type="dxa"/>
            <w:vAlign w:val="bottom"/>
            <w:tcBorders>
              <w:top w:val="single" w:sz="8" w:color="auto"/>
            </w:tcBorders>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140" w:type="dxa"/>
            <w:vAlign w:val="bottom"/>
            <w:tcBorders>
              <w:top w:val="single" w:sz="8" w:color="auto"/>
            </w:tcBorders>
            <w:shd w:val="clear" w:color="auto" w:fill="E8FFFA"/>
          </w:tcPr>
          <w:p>
            <w:pPr>
              <w:spacing w:after="0"/>
              <w:rPr>
                <w:sz w:val="16"/>
                <w:szCs w:val="16"/>
                <w:color w:val="auto"/>
              </w:rPr>
            </w:pPr>
          </w:p>
        </w:tc>
        <w:tc>
          <w:tcPr>
            <w:tcW w:w="220" w:type="dxa"/>
            <w:vAlign w:val="bottom"/>
            <w:tcBorders>
              <w:top w:val="single" w:sz="8" w:color="auto"/>
            </w:tcBorders>
            <w:shd w:val="clear" w:color="auto" w:fill="E8FFFA"/>
          </w:tcPr>
          <w:p>
            <w:pPr>
              <w:spacing w:after="0"/>
              <w:rPr>
                <w:sz w:val="16"/>
                <w:szCs w:val="16"/>
                <w:color w:val="auto"/>
              </w:rPr>
            </w:pPr>
          </w:p>
        </w:tc>
        <w:tc>
          <w:tcPr>
            <w:tcW w:w="900" w:type="dxa"/>
            <w:vAlign w:val="bottom"/>
            <w:tcBorders>
              <w:top w:val="single" w:sz="8" w:color="auto"/>
            </w:tcBorders>
            <w:shd w:val="clear" w:color="auto" w:fill="E8FFFA"/>
          </w:tcPr>
          <w:p>
            <w:pPr>
              <w:spacing w:after="0"/>
              <w:rPr>
                <w:sz w:val="16"/>
                <w:szCs w:val="16"/>
                <w:color w:val="auto"/>
              </w:rPr>
            </w:pPr>
          </w:p>
        </w:tc>
        <w:tc>
          <w:tcPr>
            <w:tcW w:w="180" w:type="dxa"/>
            <w:vAlign w:val="bottom"/>
            <w:shd w:val="clear" w:color="auto" w:fill="E8FFFA"/>
          </w:tcPr>
          <w:p>
            <w:pPr>
              <w:spacing w:after="0"/>
              <w:rPr>
                <w:sz w:val="16"/>
                <w:szCs w:val="16"/>
                <w:color w:val="auto"/>
              </w:rPr>
            </w:pPr>
          </w:p>
        </w:tc>
        <w:tc>
          <w:tcPr>
            <w:tcW w:w="180" w:type="dxa"/>
            <w:vAlign w:val="bottom"/>
            <w:tcBorders>
              <w:top w:val="single" w:sz="8" w:color="auto"/>
            </w:tcBorders>
            <w:shd w:val="clear" w:color="auto" w:fill="E8FFFA"/>
          </w:tcPr>
          <w:p>
            <w:pPr>
              <w:spacing w:after="0"/>
              <w:rPr>
                <w:sz w:val="16"/>
                <w:szCs w:val="16"/>
                <w:color w:val="auto"/>
              </w:rPr>
            </w:pPr>
          </w:p>
        </w:tc>
        <w:tc>
          <w:tcPr>
            <w:tcW w:w="160" w:type="dxa"/>
            <w:vAlign w:val="bottom"/>
            <w:tcBorders>
              <w:top w:val="single" w:sz="8" w:color="auto"/>
            </w:tcBorders>
            <w:shd w:val="clear" w:color="auto" w:fill="E8FFFA"/>
          </w:tcPr>
          <w:p>
            <w:pPr>
              <w:spacing w:after="0"/>
              <w:rPr>
                <w:sz w:val="16"/>
                <w:szCs w:val="16"/>
                <w:color w:val="auto"/>
              </w:rPr>
            </w:pPr>
          </w:p>
        </w:tc>
        <w:tc>
          <w:tcPr>
            <w:tcW w:w="920" w:type="dxa"/>
            <w:vAlign w:val="bottom"/>
            <w:tcBorders>
              <w:top w:val="single" w:sz="8" w:color="auto"/>
            </w:tcBorders>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200" w:type="dxa"/>
            <w:vAlign w:val="bottom"/>
            <w:tcBorders>
              <w:top w:val="single" w:sz="8" w:color="auto"/>
            </w:tcBorders>
            <w:shd w:val="clear" w:color="auto" w:fill="E8FFFA"/>
          </w:tcPr>
          <w:p>
            <w:pPr>
              <w:spacing w:after="0"/>
              <w:rPr>
                <w:sz w:val="16"/>
                <w:szCs w:val="16"/>
                <w:color w:val="auto"/>
              </w:rPr>
            </w:pPr>
          </w:p>
        </w:tc>
        <w:tc>
          <w:tcPr>
            <w:tcW w:w="160" w:type="dxa"/>
            <w:vAlign w:val="bottom"/>
            <w:tcBorders>
              <w:top w:val="single" w:sz="8" w:color="auto"/>
            </w:tcBorders>
            <w:shd w:val="clear" w:color="auto" w:fill="E8FFFA"/>
          </w:tcPr>
          <w:p>
            <w:pPr>
              <w:spacing w:after="0"/>
              <w:rPr>
                <w:sz w:val="16"/>
                <w:szCs w:val="16"/>
                <w:color w:val="auto"/>
              </w:rPr>
            </w:pPr>
          </w:p>
        </w:tc>
        <w:tc>
          <w:tcPr>
            <w:tcW w:w="920" w:type="dxa"/>
            <w:vAlign w:val="bottom"/>
            <w:tcBorders>
              <w:top w:val="single" w:sz="8" w:color="auto"/>
            </w:tcBorders>
            <w:shd w:val="clear" w:color="auto" w:fill="E8FFFA"/>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June 30, 2018</w:t>
            </w: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shd w:val="clear" w:color="auto" w:fill="E8FFFA"/>
          </w:tcPr>
          <w:p>
            <w:pPr>
              <w:spacing w:after="0"/>
              <w:rPr>
                <w:sz w:val="20"/>
                <w:szCs w:val="20"/>
                <w:color w:val="auto"/>
              </w:rPr>
            </w:pPr>
          </w:p>
        </w:tc>
        <w:tc>
          <w:tcPr>
            <w:tcW w:w="140" w:type="dxa"/>
            <w:vAlign w:val="bottom"/>
            <w:shd w:val="clear" w:color="auto" w:fill="E8FFFA"/>
          </w:tcPr>
          <w:p>
            <w:pPr>
              <w:spacing w:after="0"/>
              <w:rPr>
                <w:sz w:val="20"/>
                <w:szCs w:val="20"/>
                <w:color w:val="auto"/>
              </w:rPr>
            </w:pPr>
          </w:p>
        </w:tc>
        <w:tc>
          <w:tcPr>
            <w:tcW w:w="13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b w:val="1"/>
                <w:bCs w:val="1"/>
                <w:color w:val="auto"/>
              </w:rPr>
              <w:t>(8,850)</w:t>
            </w:r>
          </w:p>
        </w:tc>
        <w:tc>
          <w:tcPr>
            <w:tcW w:w="18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92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5,262</w:t>
            </w:r>
          </w:p>
        </w:tc>
        <w:tc>
          <w:tcPr>
            <w:tcW w:w="160" w:type="dxa"/>
            <w:vAlign w:val="bottom"/>
            <w:shd w:val="clear" w:color="auto" w:fill="E8FFFA"/>
          </w:tcPr>
          <w:p>
            <w:pPr>
              <w:spacing w:after="0"/>
              <w:rPr>
                <w:sz w:val="20"/>
                <w:szCs w:val="20"/>
                <w:color w:val="auto"/>
              </w:rPr>
            </w:pPr>
          </w:p>
        </w:tc>
        <w:tc>
          <w:tcPr>
            <w:tcW w:w="200" w:type="dxa"/>
            <w:vAlign w:val="bottom"/>
            <w:shd w:val="clear" w:color="auto" w:fill="E8FFFA"/>
          </w:tcPr>
          <w:p>
            <w:pPr>
              <w:spacing w:after="0"/>
              <w:rPr>
                <w:sz w:val="20"/>
                <w:szCs w:val="20"/>
                <w:color w:val="auto"/>
              </w:rPr>
            </w:pPr>
          </w:p>
        </w:tc>
        <w:tc>
          <w:tcPr>
            <w:tcW w:w="108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209,840</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6740" w:type="dxa"/>
            <w:vAlign w:val="bottom"/>
            <w:gridSpan w:val="9"/>
          </w:tcPr>
          <w:p>
            <w:pPr>
              <w:spacing w:after="0"/>
              <w:rPr>
                <w:sz w:val="20"/>
                <w:szCs w:val="20"/>
                <w:color w:val="auto"/>
              </w:rPr>
            </w:pPr>
            <w:r>
              <w:rPr>
                <w:rFonts w:ascii="Arial" w:cs="Arial" w:eastAsia="Arial" w:hAnsi="Arial"/>
                <w:sz w:val="18"/>
                <w:szCs w:val="18"/>
                <w:color w:val="auto"/>
              </w:rPr>
              <w:t>A reconciliation of equity offerings arising from financing activities is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Cash flows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Non-cash items</w:t>
            </w:r>
          </w:p>
        </w:tc>
        <w:tc>
          <w:tcPr>
            <w:tcW w:w="160" w:type="dxa"/>
            <w:vAlign w:val="bottom"/>
          </w:tcPr>
          <w:p>
            <w:pPr>
              <w:spacing w:after="0"/>
              <w:rPr>
                <w:sz w:val="24"/>
                <w:szCs w:val="24"/>
                <w:color w:val="auto"/>
              </w:rPr>
            </w:pPr>
          </w:p>
        </w:tc>
        <w:tc>
          <w:tcPr>
            <w:tcW w:w="132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w:t>
            </w:r>
          </w:p>
        </w:tc>
      </w:tr>
      <w:tr>
        <w:trPr>
          <w:trHeight w:val="202"/>
        </w:trPr>
        <w:tc>
          <w:tcPr>
            <w:tcW w:w="820" w:type="dxa"/>
            <w:vAlign w:val="bottom"/>
          </w:tcPr>
          <w:p>
            <w:pPr>
              <w:spacing w:after="0"/>
              <w:rPr>
                <w:sz w:val="17"/>
                <w:szCs w:val="17"/>
                <w:color w:val="auto"/>
              </w:rPr>
            </w:pPr>
          </w:p>
        </w:tc>
        <w:tc>
          <w:tcPr>
            <w:tcW w:w="4620" w:type="dxa"/>
            <w:vAlign w:val="bottom"/>
            <w:gridSpan w:val="5"/>
            <w:shd w:val="clear" w:color="auto" w:fill="E8FFFA"/>
          </w:tcPr>
          <w:p>
            <w:pPr>
              <w:spacing w:after="0" w:line="202" w:lineRule="exact"/>
              <w:rPr>
                <w:sz w:val="20"/>
                <w:szCs w:val="20"/>
                <w:color w:val="auto"/>
              </w:rPr>
            </w:pPr>
            <w:r>
              <w:rPr>
                <w:rFonts w:ascii="Arial" w:cs="Arial" w:eastAsia="Arial" w:hAnsi="Arial"/>
                <w:sz w:val="18"/>
                <w:szCs w:val="18"/>
                <w:color w:val="auto"/>
                <w:w w:val="89"/>
              </w:rPr>
              <w:t>Proceeds from GasLog Partners' preference unit offerings (net of</w:t>
            </w:r>
          </w:p>
        </w:tc>
        <w:tc>
          <w:tcPr>
            <w:tcW w:w="220" w:type="dxa"/>
            <w:vAlign w:val="bottom"/>
            <w:shd w:val="clear" w:color="auto" w:fill="E8FFFA"/>
          </w:tcPr>
          <w:p>
            <w:pPr>
              <w:spacing w:after="0"/>
              <w:rPr>
                <w:sz w:val="17"/>
                <w:szCs w:val="17"/>
                <w:color w:val="auto"/>
              </w:rPr>
            </w:pPr>
          </w:p>
        </w:tc>
        <w:tc>
          <w:tcPr>
            <w:tcW w:w="900" w:type="dxa"/>
            <w:vAlign w:val="bottom"/>
            <w:tcBorders>
              <w:top w:val="single" w:sz="8" w:color="auto"/>
            </w:tcBorders>
            <w:shd w:val="clear" w:color="auto" w:fill="E8FFFA"/>
          </w:tcPr>
          <w:p>
            <w:pPr>
              <w:spacing w:after="0"/>
              <w:rPr>
                <w:sz w:val="17"/>
                <w:szCs w:val="17"/>
                <w:color w:val="auto"/>
              </w:rPr>
            </w:pPr>
          </w:p>
        </w:tc>
        <w:tc>
          <w:tcPr>
            <w:tcW w:w="180" w:type="dxa"/>
            <w:vAlign w:val="bottom"/>
            <w:tcBorders>
              <w:top w:val="single" w:sz="8" w:color="auto"/>
            </w:tcBorders>
            <w:shd w:val="clear" w:color="auto" w:fill="E8FFFA"/>
          </w:tcPr>
          <w:p>
            <w:pPr>
              <w:spacing w:after="0"/>
              <w:rPr>
                <w:sz w:val="17"/>
                <w:szCs w:val="17"/>
                <w:color w:val="auto"/>
              </w:rPr>
            </w:pPr>
          </w:p>
        </w:tc>
        <w:tc>
          <w:tcPr>
            <w:tcW w:w="1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160" w:type="dxa"/>
            <w:vAlign w:val="bottom"/>
            <w:tcBorders>
              <w:top w:val="single" w:sz="8" w:color="auto"/>
            </w:tcBorders>
            <w:shd w:val="clear" w:color="auto" w:fill="E8FFFA"/>
          </w:tcPr>
          <w:p>
            <w:pPr>
              <w:spacing w:after="0"/>
              <w:rPr>
                <w:sz w:val="17"/>
                <w:szCs w:val="17"/>
                <w:color w:val="auto"/>
              </w:rPr>
            </w:pPr>
          </w:p>
        </w:tc>
        <w:tc>
          <w:tcPr>
            <w:tcW w:w="20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340" w:type="dxa"/>
            <w:vAlign w:val="bottom"/>
            <w:tcBorders>
              <w:top w:val="single" w:sz="8" w:color="auto"/>
            </w:tcBorders>
            <w:shd w:val="clear" w:color="auto" w:fill="E8FFFA"/>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820" w:type="dxa"/>
            <w:vAlign w:val="bottom"/>
          </w:tcPr>
          <w:p>
            <w:pPr>
              <w:spacing w:after="0"/>
              <w:rPr>
                <w:sz w:val="19"/>
                <w:szCs w:val="19"/>
                <w:color w:val="auto"/>
              </w:rPr>
            </w:pPr>
          </w:p>
        </w:tc>
        <w:tc>
          <w:tcPr>
            <w:tcW w:w="4620" w:type="dxa"/>
            <w:vAlign w:val="bottom"/>
            <w:gridSpan w:val="5"/>
            <w:shd w:val="clear" w:color="auto" w:fill="E8FFFA"/>
          </w:tcPr>
          <w:p>
            <w:pPr>
              <w:ind w:left="160"/>
              <w:spacing w:after="0"/>
              <w:rPr>
                <w:sz w:val="20"/>
                <w:szCs w:val="20"/>
                <w:color w:val="auto"/>
              </w:rPr>
            </w:pPr>
            <w:r>
              <w:rPr>
                <w:rFonts w:ascii="Arial" w:cs="Arial" w:eastAsia="Arial" w:hAnsi="Arial"/>
                <w:sz w:val="18"/>
                <w:szCs w:val="18"/>
                <w:color w:val="auto"/>
              </w:rPr>
              <w:t>underwriting discounts and commissions)</w:t>
            </w:r>
          </w:p>
        </w:tc>
        <w:tc>
          <w:tcPr>
            <w:tcW w:w="1480" w:type="dxa"/>
            <w:vAlign w:val="bottom"/>
            <w:gridSpan w:val="4"/>
            <w:shd w:val="clear" w:color="auto" w:fill="E8FFFA"/>
          </w:tcPr>
          <w:p>
            <w:pPr>
              <w:jc w:val="right"/>
              <w:spacing w:after="0"/>
              <w:rPr>
                <w:sz w:val="20"/>
                <w:szCs w:val="20"/>
                <w:color w:val="auto"/>
              </w:rPr>
            </w:pPr>
            <w:r>
              <w:rPr>
                <w:rFonts w:ascii="Arial" w:cs="Arial" w:eastAsia="Arial" w:hAnsi="Arial"/>
                <w:sz w:val="18"/>
                <w:szCs w:val="18"/>
                <w:color w:val="auto"/>
              </w:rPr>
              <w:t>111,544</w:t>
            </w:r>
          </w:p>
        </w:tc>
        <w:tc>
          <w:tcPr>
            <w:tcW w:w="160" w:type="dxa"/>
            <w:vAlign w:val="bottom"/>
            <w:shd w:val="clear" w:color="auto" w:fill="E8FFFA"/>
          </w:tcPr>
          <w:p>
            <w:pPr>
              <w:spacing w:after="0"/>
              <w:rPr>
                <w:sz w:val="19"/>
                <w:szCs w:val="19"/>
                <w:color w:val="auto"/>
              </w:rPr>
            </w:pPr>
          </w:p>
        </w:tc>
        <w:tc>
          <w:tcPr>
            <w:tcW w:w="920" w:type="dxa"/>
            <w:vAlign w:val="bottom"/>
            <w:shd w:val="clear" w:color="auto" w:fill="E8FFFA"/>
          </w:tcPr>
          <w:p>
            <w:pPr>
              <w:spacing w:after="0"/>
              <w:rPr>
                <w:sz w:val="19"/>
                <w:szCs w:val="19"/>
                <w:color w:val="auto"/>
              </w:rPr>
            </w:pPr>
          </w:p>
        </w:tc>
        <w:tc>
          <w:tcPr>
            <w:tcW w:w="160" w:type="dxa"/>
            <w:vAlign w:val="bottom"/>
            <w:shd w:val="clear" w:color="auto" w:fill="E8FFFA"/>
          </w:tcPr>
          <w:p>
            <w:pPr>
              <w:spacing w:after="0"/>
              <w:rPr>
                <w:sz w:val="19"/>
                <w:szCs w:val="19"/>
                <w:color w:val="auto"/>
              </w:rPr>
            </w:pPr>
          </w:p>
        </w:tc>
        <w:tc>
          <w:tcPr>
            <w:tcW w:w="200" w:type="dxa"/>
            <w:vAlign w:val="bottom"/>
            <w:shd w:val="clear" w:color="auto" w:fill="E8FFFA"/>
          </w:tcPr>
          <w:p>
            <w:pPr>
              <w:jc w:val="right"/>
              <w:spacing w:after="0"/>
              <w:rPr>
                <w:sz w:val="20"/>
                <w:szCs w:val="20"/>
                <w:color w:val="auto"/>
              </w:rPr>
            </w:pPr>
            <w:r>
              <w:rPr>
                <w:rFonts w:ascii="Arial" w:cs="Arial" w:eastAsia="Arial" w:hAnsi="Arial"/>
                <w:sz w:val="18"/>
                <w:szCs w:val="18"/>
                <w:color w:val="auto"/>
                <w:w w:val="88"/>
              </w:rPr>
              <w:t>—</w:t>
            </w:r>
          </w:p>
        </w:tc>
        <w:tc>
          <w:tcPr>
            <w:tcW w:w="14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111,544</w:t>
            </w:r>
          </w:p>
        </w:tc>
        <w:tc>
          <w:tcPr>
            <w:tcW w:w="60" w:type="dxa"/>
            <w:vAlign w:val="bottom"/>
          </w:tcPr>
          <w:p>
            <w:pPr>
              <w:spacing w:after="0"/>
              <w:rPr>
                <w:sz w:val="19"/>
                <w:szCs w:val="19"/>
                <w:color w:val="auto"/>
              </w:rPr>
            </w:pPr>
          </w:p>
        </w:tc>
      </w:tr>
      <w:tr>
        <w:trPr>
          <w:trHeight w:val="208"/>
        </w:trPr>
        <w:tc>
          <w:tcPr>
            <w:tcW w:w="8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w w:val="95"/>
              </w:rPr>
              <w:t>Proceeds from public offerings and private placement (net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4620" w:type="dxa"/>
            <w:vAlign w:val="bottom"/>
            <w:gridSpan w:val="5"/>
          </w:tcPr>
          <w:p>
            <w:pPr>
              <w:ind w:left="160"/>
              <w:spacing w:after="0"/>
              <w:rPr>
                <w:sz w:val="20"/>
                <w:szCs w:val="20"/>
                <w:color w:val="auto"/>
              </w:rPr>
            </w:pPr>
            <w:r>
              <w:rPr>
                <w:rFonts w:ascii="Arial" w:cs="Arial" w:eastAsia="Arial" w:hAnsi="Arial"/>
                <w:sz w:val="18"/>
                <w:szCs w:val="18"/>
                <w:color w:val="auto"/>
              </w:rPr>
              <w:t>underwriting discounts and commissions)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24</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8"/>
        </w:trPr>
        <w:tc>
          <w:tcPr>
            <w:tcW w:w="820" w:type="dxa"/>
            <w:vAlign w:val="bottom"/>
          </w:tcPr>
          <w:p>
            <w:pPr>
              <w:spacing w:after="0"/>
              <w:rPr>
                <w:sz w:val="18"/>
                <w:szCs w:val="18"/>
                <w:color w:val="auto"/>
              </w:rPr>
            </w:pPr>
          </w:p>
        </w:tc>
        <w:tc>
          <w:tcPr>
            <w:tcW w:w="300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Offering costs</w:t>
            </w:r>
          </w:p>
        </w:tc>
        <w:tc>
          <w:tcPr>
            <w:tcW w:w="13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1640" w:type="dxa"/>
            <w:vAlign w:val="bottom"/>
            <w:gridSpan w:val="5"/>
            <w:shd w:val="clear" w:color="auto" w:fill="E8FFFA"/>
          </w:tcPr>
          <w:p>
            <w:pPr>
              <w:jc w:val="right"/>
              <w:ind w:right="100"/>
              <w:spacing w:after="0"/>
              <w:rPr>
                <w:sz w:val="20"/>
                <w:szCs w:val="20"/>
                <w:color w:val="auto"/>
              </w:rPr>
            </w:pPr>
            <w:r>
              <w:rPr>
                <w:rFonts w:ascii="Arial" w:cs="Arial" w:eastAsia="Arial" w:hAnsi="Arial"/>
                <w:sz w:val="18"/>
                <w:szCs w:val="18"/>
                <w:color w:val="auto"/>
              </w:rPr>
              <w:t>(660)</w:t>
            </w:r>
          </w:p>
        </w:tc>
        <w:tc>
          <w:tcPr>
            <w:tcW w:w="128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276</w:t>
            </w:r>
          </w:p>
        </w:tc>
        <w:tc>
          <w:tcPr>
            <w:tcW w:w="142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8"/>
                <w:szCs w:val="18"/>
                <w:color w:val="auto"/>
              </w:rPr>
            </w:pPr>
          </w:p>
        </w:tc>
      </w:tr>
      <w:tr>
        <w:trPr>
          <w:trHeight w:val="195"/>
        </w:trPr>
        <w:tc>
          <w:tcPr>
            <w:tcW w:w="820" w:type="dxa"/>
            <w:vAlign w:val="bottom"/>
          </w:tcPr>
          <w:p>
            <w:pPr>
              <w:spacing w:after="0"/>
              <w:rPr>
                <w:sz w:val="16"/>
                <w:szCs w:val="16"/>
                <w:color w:val="auto"/>
              </w:rPr>
            </w:pPr>
          </w:p>
        </w:tc>
        <w:tc>
          <w:tcPr>
            <w:tcW w:w="4620" w:type="dxa"/>
            <w:vAlign w:val="bottom"/>
            <w:gridSpan w:val="5"/>
          </w:tcPr>
          <w:p>
            <w:pPr>
              <w:spacing w:after="0" w:line="195" w:lineRule="exact"/>
              <w:rPr>
                <w:sz w:val="20"/>
                <w:szCs w:val="20"/>
                <w:color w:val="auto"/>
              </w:rPr>
            </w:pPr>
            <w:r>
              <w:rPr>
                <w:rFonts w:ascii="Arial" w:cs="Arial" w:eastAsia="Arial" w:hAnsi="Arial"/>
                <w:sz w:val="18"/>
                <w:szCs w:val="18"/>
                <w:b w:val="1"/>
                <w:bCs w:val="1"/>
                <w:color w:val="auto"/>
                <w:w w:val="97"/>
              </w:rPr>
              <w:t>Net proceeds from equity offerings in the period ended</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9"/>
        </w:trPr>
        <w:tc>
          <w:tcPr>
            <w:tcW w:w="820" w:type="dxa"/>
            <w:vAlign w:val="bottom"/>
          </w:tcPr>
          <w:p>
            <w:pPr>
              <w:spacing w:after="0"/>
              <w:rPr>
                <w:sz w:val="19"/>
                <w:szCs w:val="19"/>
                <w:color w:val="auto"/>
              </w:rPr>
            </w:pPr>
          </w:p>
        </w:tc>
        <w:tc>
          <w:tcPr>
            <w:tcW w:w="30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110,908</w:t>
            </w: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276</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111,184</w:t>
            </w:r>
          </w:p>
        </w:tc>
        <w:tc>
          <w:tcPr>
            <w:tcW w:w="6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Compensation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terms of the 2013 Omnibus Incentive Compensation Plan (the "Plan") and the assumptions for the valuation of Restricted Stock Units ("RSUs") and Stock Appreciation Rights or Stock Options (collectively the "SARs") have been disclosed in Note 21 "Share-Based Compensation" in the annual audited consolidated financial statements for the year ended December 31, 2017.</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60" w:name="page61"/>
    <w:bookmarkEnd w:id="60"/>
    <w:p>
      <w:pPr>
        <w:ind w:right="180" w:firstLine="351"/>
        <w:spacing w:after="0" w:line="306" w:lineRule="auto"/>
        <w:rPr>
          <w:sz w:val="20"/>
          <w:szCs w:val="20"/>
          <w:color w:val="auto"/>
        </w:rPr>
      </w:pPr>
      <w:r>
        <w:rPr>
          <w:rFonts w:ascii="Arial" w:cs="Arial" w:eastAsia="Arial" w:hAnsi="Arial"/>
          <w:sz w:val="16"/>
          <w:szCs w:val="16"/>
          <w:color w:val="auto"/>
        </w:rPr>
        <w:t>On April 2, 2018, GasLog granted to executives, managers and certain employees of the Group 149,786 RSUs and 416,458 SARs in accordance with the Plan. The RSUs will vest on April 2, 2021 while the SARs will vest incrementally with one-third of the SARs vesting on each of April 2, 2019, 2020 and 2021. The compensation cost for the SARs is recognized on an accelerated basis as though each separately vesting portion of the SARs is a separate award.</w:t>
      </w:r>
    </w:p>
    <w:p>
      <w:pPr>
        <w:spacing w:after="0" w:line="15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Exercise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3"/>
              </w:rPr>
              <w:t>Fair value at</w:t>
            </w:r>
          </w:p>
        </w:tc>
      </w:tr>
      <w:tr>
        <w:trPr>
          <w:trHeight w:val="229"/>
        </w:trPr>
        <w:tc>
          <w:tcPr>
            <w:tcW w:w="1820" w:type="dxa"/>
            <w:vAlign w:val="bottom"/>
          </w:tcPr>
          <w:p>
            <w:pPr>
              <w:spacing w:after="0"/>
              <w:rPr>
                <w:sz w:val="20"/>
                <w:szCs w:val="20"/>
                <w:color w:val="auto"/>
              </w:rPr>
            </w:pPr>
            <w:r>
              <w:rPr>
                <w:rFonts w:ascii="Arial" w:cs="Arial" w:eastAsia="Arial" w:hAnsi="Arial"/>
                <w:sz w:val="18"/>
                <w:szCs w:val="18"/>
                <w:b w:val="1"/>
                <w:bCs w:val="1"/>
                <w:color w:val="auto"/>
              </w:rPr>
              <w:t>Awards</w:t>
            </w:r>
          </w:p>
        </w:tc>
        <w:tc>
          <w:tcPr>
            <w:tcW w:w="13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6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Expiry date</w:t>
            </w:r>
          </w:p>
        </w:tc>
        <w:tc>
          <w:tcPr>
            <w:tcW w:w="16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grant date</w:t>
            </w:r>
          </w:p>
        </w:tc>
      </w:tr>
      <w:tr>
        <w:trPr>
          <w:trHeight w:val="211"/>
        </w:trPr>
        <w:tc>
          <w:tcPr>
            <w:tcW w:w="182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RSUs</w:t>
            </w:r>
          </w:p>
        </w:tc>
        <w:tc>
          <w:tcPr>
            <w:tcW w:w="160" w:type="dxa"/>
            <w:vAlign w:val="bottom"/>
            <w:shd w:val="clear" w:color="auto" w:fill="E8FFFA"/>
          </w:tcPr>
          <w:p>
            <w:pPr>
              <w:spacing w:after="0"/>
              <w:rPr>
                <w:sz w:val="18"/>
                <w:szCs w:val="18"/>
                <w:color w:val="auto"/>
              </w:rPr>
            </w:pPr>
          </w:p>
        </w:tc>
        <w:tc>
          <w:tcPr>
            <w:tcW w:w="1200" w:type="dxa"/>
            <w:vAlign w:val="bottom"/>
            <w:tcBorders>
              <w:top w:val="single" w:sz="8" w:color="auto"/>
            </w:tcBorders>
            <w:shd w:val="clear" w:color="auto" w:fill="E8FFFA"/>
          </w:tcPr>
          <w:p>
            <w:pPr>
              <w:jc w:val="right"/>
              <w:ind w:right="12"/>
              <w:spacing w:after="0"/>
              <w:rPr>
                <w:sz w:val="20"/>
                <w:szCs w:val="20"/>
                <w:color w:val="auto"/>
              </w:rPr>
            </w:pPr>
            <w:r>
              <w:rPr>
                <w:rFonts w:ascii="Arial" w:cs="Arial" w:eastAsia="Arial" w:hAnsi="Arial"/>
                <w:sz w:val="18"/>
                <w:szCs w:val="18"/>
                <w:color w:val="auto"/>
              </w:rPr>
              <w:t>149,786</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April 2, 2018</w:t>
            </w:r>
          </w:p>
        </w:tc>
        <w:tc>
          <w:tcPr>
            <w:tcW w:w="160" w:type="dxa"/>
            <w:vAlign w:val="bottom"/>
            <w:shd w:val="clear" w:color="auto" w:fill="E8FFFA"/>
          </w:tcPr>
          <w:p>
            <w:pPr>
              <w:spacing w:after="0"/>
              <w:rPr>
                <w:sz w:val="18"/>
                <w:szCs w:val="18"/>
                <w:color w:val="auto"/>
              </w:rPr>
            </w:pPr>
          </w:p>
        </w:tc>
        <w:tc>
          <w:tcPr>
            <w:tcW w:w="120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n/a</w:t>
            </w:r>
          </w:p>
        </w:tc>
        <w:tc>
          <w:tcPr>
            <w:tcW w:w="160" w:type="dxa"/>
            <w:vAlign w:val="bottom"/>
            <w:shd w:val="clear" w:color="auto" w:fill="E8FFFA"/>
          </w:tcPr>
          <w:p>
            <w:pPr>
              <w:spacing w:after="0"/>
              <w:rPr>
                <w:sz w:val="18"/>
                <w:szCs w:val="18"/>
                <w:color w:val="auto"/>
              </w:rPr>
            </w:pPr>
          </w:p>
        </w:tc>
        <w:tc>
          <w:tcPr>
            <w:tcW w:w="7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E8FFFA"/>
          </w:tcPr>
          <w:p>
            <w:pPr>
              <w:spacing w:after="0"/>
              <w:rPr>
                <w:sz w:val="18"/>
                <w:szCs w:val="18"/>
                <w:color w:val="auto"/>
              </w:rPr>
            </w:pPr>
          </w:p>
        </w:tc>
        <w:tc>
          <w:tcPr>
            <w:tcW w:w="10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$16.30</w:t>
            </w: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SARs</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416,458</w:t>
            </w:r>
          </w:p>
        </w:tc>
        <w:tc>
          <w:tcPr>
            <w:tcW w:w="16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April 2, 2018</w:t>
            </w:r>
          </w:p>
        </w:tc>
        <w:tc>
          <w:tcPr>
            <w:tcW w:w="16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April 2, 2028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$5.3001</w:t>
            </w:r>
          </w:p>
        </w:tc>
      </w:tr>
    </w:tbl>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significant assumptions used to estimate the fair value of the SARs are set out below:</w:t>
      </w:r>
    </w:p>
    <w:p>
      <w:pPr>
        <w:spacing w:after="0" w:line="133"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Inputs into the model</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568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Grant date share closing price</w:t>
            </w:r>
          </w:p>
        </w:tc>
        <w:tc>
          <w:tcPr>
            <w:tcW w:w="1440" w:type="dxa"/>
            <w:vAlign w:val="bottom"/>
            <w:tcBorders>
              <w:top w:val="single" w:sz="8" w:color="auto"/>
            </w:tcBorders>
            <w:shd w:val="clear" w:color="auto" w:fill="E8FFFA"/>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Exercise price</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Expected term</w:t>
            </w:r>
          </w:p>
        </w:tc>
        <w:tc>
          <w:tcPr>
            <w:tcW w:w="14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 years</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Risk-free interest rate for the period similar to the expected term</w:t>
            </w:r>
          </w:p>
        </w:tc>
        <w:tc>
          <w:tcPr>
            <w:tcW w:w="1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-410845</wp:posOffset>
            </wp:positionV>
            <wp:extent cx="496570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6570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-136525</wp:posOffset>
            </wp:positionV>
            <wp:extent cx="496570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6570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fair value of the RSUs was determined by using the grant date closing price of $16.30 per common unit and was not further adjusted since the holders are entitled to dividends.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3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Movement in RSUs and SARs during the period</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120" w:type="dxa"/>
            <w:vAlign w:val="bottom"/>
            <w:gridSpan w:val="4"/>
          </w:tcPr>
          <w:p>
            <w:pPr>
              <w:jc w:val="right"/>
              <w:ind w:right="1000"/>
              <w:spacing w:after="0"/>
              <w:rPr>
                <w:sz w:val="20"/>
                <w:szCs w:val="20"/>
                <w:color w:val="auto"/>
              </w:rPr>
            </w:pPr>
            <w:r>
              <w:rPr>
                <w:rFonts w:ascii="Arial" w:cs="Arial" w:eastAsia="Arial" w:hAnsi="Arial"/>
                <w:sz w:val="18"/>
                <w:szCs w:val="18"/>
                <w:color w:val="auto"/>
                <w:w w:val="95"/>
              </w:rPr>
              <w:t>The summary of RSUs and SARs is presented below:</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share price</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at the date</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160" w:type="dxa"/>
            <w:vAlign w:val="bottom"/>
          </w:tcPr>
          <w:p>
            <w:pPr>
              <w:spacing w:after="0"/>
              <w:rPr>
                <w:sz w:val="18"/>
                <w:szCs w:val="18"/>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Aggregate fair</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awards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per share</w:t>
            </w:r>
          </w:p>
        </w:tc>
        <w:tc>
          <w:tcPr>
            <w:tcW w:w="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2"/>
              </w:rPr>
              <w:t>of exercise</w:t>
            </w:r>
          </w:p>
        </w:tc>
        <w:tc>
          <w:tcPr>
            <w:tcW w:w="1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contractual life</w:t>
            </w:r>
          </w:p>
        </w:tc>
        <w:tc>
          <w:tcPr>
            <w:tcW w:w="160" w:type="dxa"/>
            <w:vAlign w:val="bottom"/>
          </w:tcPr>
          <w:p>
            <w:pPr>
              <w:spacing w:after="0"/>
              <w:rPr>
                <w:sz w:val="19"/>
                <w:szCs w:val="19"/>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5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RSUs</w:t>
            </w:r>
          </w:p>
        </w:tc>
        <w:tc>
          <w:tcPr>
            <w:tcW w:w="12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32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b w:val="1"/>
                <w:bCs w:val="1"/>
                <w:color w:val="auto"/>
              </w:rPr>
              <w:t>Outstanding as of January 1,</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gridSpan w:val="2"/>
          </w:tcPr>
          <w:p>
            <w:pPr>
              <w:jc w:val="right"/>
              <w:ind w:right="1952"/>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425,702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540" w:type="dxa"/>
            <w:vAlign w:val="bottom"/>
            <w:shd w:val="clear" w:color="auto" w:fill="E8FFFA"/>
          </w:tcPr>
          <w:p>
            <w:pPr>
              <w:spacing w:after="0"/>
              <w:rPr>
                <w:sz w:val="20"/>
                <w:szCs w:val="20"/>
                <w:color w:val="auto"/>
              </w:rPr>
            </w:pPr>
            <w:r>
              <w:rPr>
                <w:rFonts w:ascii="Arial" w:cs="Arial" w:eastAsia="Arial" w:hAnsi="Arial"/>
                <w:sz w:val="18"/>
                <w:szCs w:val="18"/>
                <w:color w:val="auto"/>
              </w:rPr>
              <w:t>Granted during the period</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149,786</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shd w:val="clear" w:color="auto" w:fill="E8FFFA"/>
          </w:tcPr>
          <w:p>
            <w:pPr>
              <w:spacing w:after="0"/>
              <w:rPr>
                <w:sz w:val="20"/>
                <w:szCs w:val="20"/>
                <w:color w:val="auto"/>
              </w:rPr>
            </w:pPr>
            <w:r>
              <w:rPr>
                <w:rFonts w:ascii="Arial" w:cs="Arial" w:eastAsia="Arial" w:hAnsi="Arial"/>
                <w:sz w:val="18"/>
                <w:szCs w:val="18"/>
                <w:color w:val="auto"/>
              </w:rPr>
              <w:t>Vested during the period</w:t>
            </w:r>
          </w:p>
        </w:tc>
        <w:tc>
          <w:tcPr>
            <w:tcW w:w="14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(86,136)</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w w:val="91"/>
              </w:rPr>
              <w:t>Outstanding as of June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488,173</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2540" w:type="dxa"/>
            <w:vAlign w:val="bottom"/>
            <w:shd w:val="clear" w:color="auto" w:fill="E8FFFA"/>
          </w:tcPr>
          <w:p>
            <w:pPr>
              <w:spacing w:after="0" w:line="196" w:lineRule="exact"/>
              <w:rPr>
                <w:sz w:val="20"/>
                <w:szCs w:val="20"/>
                <w:color w:val="auto"/>
              </w:rPr>
            </w:pPr>
            <w:r>
              <w:rPr>
                <w:rFonts w:ascii="Arial" w:cs="Arial" w:eastAsia="Arial" w:hAnsi="Arial"/>
                <w:sz w:val="18"/>
                <w:szCs w:val="18"/>
                <w:b w:val="1"/>
                <w:bCs w:val="1"/>
                <w:color w:val="auto"/>
              </w:rPr>
              <w:t>SARs</w:t>
            </w:r>
          </w:p>
        </w:tc>
        <w:tc>
          <w:tcPr>
            <w:tcW w:w="126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96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32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60" w:type="dxa"/>
            <w:vAlign w:val="bottom"/>
            <w:shd w:val="clear" w:color="auto" w:fill="E8FFFA"/>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b w:val="1"/>
                <w:bCs w:val="1"/>
                <w:color w:val="auto"/>
              </w:rPr>
              <w:t>Outstanding as of January 1,</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gridSpan w:val="2"/>
          </w:tcPr>
          <w:p>
            <w:pPr>
              <w:jc w:val="right"/>
              <w:ind w:right="1952"/>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2,031,279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14.59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7.68</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7,874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540" w:type="dxa"/>
            <w:vAlign w:val="bottom"/>
            <w:shd w:val="clear" w:color="auto" w:fill="E8FFFA"/>
          </w:tcPr>
          <w:p>
            <w:pPr>
              <w:spacing w:after="0"/>
              <w:rPr>
                <w:sz w:val="20"/>
                <w:szCs w:val="20"/>
                <w:color w:val="auto"/>
              </w:rPr>
            </w:pPr>
            <w:r>
              <w:rPr>
                <w:rFonts w:ascii="Arial" w:cs="Arial" w:eastAsia="Arial" w:hAnsi="Arial"/>
                <w:sz w:val="18"/>
                <w:szCs w:val="18"/>
                <w:color w:val="auto"/>
              </w:rPr>
              <w:t>Granted during the period</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416,458</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(12,878)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shd w:val="clear" w:color="auto" w:fill="E8FFFA"/>
          </w:tcPr>
          <w:p>
            <w:pPr>
              <w:spacing w:after="0"/>
              <w:rPr>
                <w:sz w:val="20"/>
                <w:szCs w:val="20"/>
                <w:color w:val="auto"/>
              </w:rPr>
            </w:pPr>
            <w:r>
              <w:rPr>
                <w:rFonts w:ascii="Arial" w:cs="Arial" w:eastAsia="Arial" w:hAnsi="Arial"/>
                <w:sz w:val="18"/>
                <w:szCs w:val="18"/>
                <w:color w:val="auto"/>
              </w:rPr>
              <w:t>Forfeited during the period</w:t>
            </w:r>
          </w:p>
        </w:tc>
        <w:tc>
          <w:tcPr>
            <w:tcW w:w="14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(3,333)</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13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Expired during the period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(12,198)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540" w:type="dxa"/>
            <w:vAlign w:val="bottom"/>
            <w:tcBorders>
              <w:bottom w:val="single" w:sz="8" w:color="E8FFFA"/>
            </w:tcBorders>
            <w:shd w:val="clear" w:color="auto" w:fill="E8FFFA"/>
          </w:tcPr>
          <w:p>
            <w:pPr>
              <w:spacing w:after="0"/>
              <w:rPr>
                <w:sz w:val="20"/>
                <w:szCs w:val="20"/>
                <w:color w:val="auto"/>
              </w:rPr>
            </w:pPr>
            <w:r>
              <w:rPr>
                <w:rFonts w:ascii="Arial" w:cs="Arial" w:eastAsia="Arial" w:hAnsi="Arial"/>
                <w:sz w:val="18"/>
                <w:szCs w:val="18"/>
                <w:b w:val="1"/>
                <w:bCs w:val="1"/>
                <w:color w:val="auto"/>
                <w:w w:val="91"/>
                <w:shd w:val="clear" w:color="auto" w:fill="E8FFFA"/>
              </w:rPr>
              <w:t>Outstanding as of June 30, 2018</w:t>
            </w:r>
          </w:p>
        </w:tc>
        <w:tc>
          <w:tcPr>
            <w:tcW w:w="126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2,419,328</w:t>
            </w:r>
          </w:p>
        </w:tc>
        <w:tc>
          <w:tcPr>
            <w:tcW w:w="160" w:type="dxa"/>
            <w:vAlign w:val="bottom"/>
            <w:tcBorders>
              <w:bottom w:val="single" w:sz="8" w:color="E8FFFA"/>
            </w:tcBorders>
            <w:shd w:val="clear" w:color="auto" w:fill="E8FFFA"/>
          </w:tcPr>
          <w:p>
            <w:pPr>
              <w:spacing w:after="0"/>
              <w:rPr>
                <w:sz w:val="18"/>
                <w:szCs w:val="18"/>
                <w:color w:val="auto"/>
              </w:rPr>
            </w:pPr>
          </w:p>
        </w:tc>
        <w:tc>
          <w:tcPr>
            <w:tcW w:w="110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14.86</w:t>
            </w:r>
          </w:p>
        </w:tc>
        <w:tc>
          <w:tcPr>
            <w:tcW w:w="160" w:type="dxa"/>
            <w:vAlign w:val="bottom"/>
            <w:tcBorders>
              <w:bottom w:val="single" w:sz="8" w:color="E8FFFA"/>
            </w:tcBorders>
            <w:shd w:val="clear" w:color="auto" w:fill="E8FFFA"/>
          </w:tcPr>
          <w:p>
            <w:pPr>
              <w:spacing w:after="0"/>
              <w:rPr>
                <w:sz w:val="18"/>
                <w:szCs w:val="18"/>
                <w:color w:val="auto"/>
              </w:rPr>
            </w:pPr>
          </w:p>
        </w:tc>
        <w:tc>
          <w:tcPr>
            <w:tcW w:w="96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E8FFFA"/>
            </w:tcBorders>
            <w:shd w:val="clear" w:color="auto" w:fill="E8FFFA"/>
          </w:tcPr>
          <w:p>
            <w:pPr>
              <w:spacing w:after="0"/>
              <w:rPr>
                <w:sz w:val="18"/>
                <w:szCs w:val="18"/>
                <w:color w:val="auto"/>
              </w:rPr>
            </w:pPr>
          </w:p>
        </w:tc>
        <w:tc>
          <w:tcPr>
            <w:tcW w:w="132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7.63</w:t>
            </w:r>
          </w:p>
        </w:tc>
        <w:tc>
          <w:tcPr>
            <w:tcW w:w="160" w:type="dxa"/>
            <w:vAlign w:val="bottom"/>
            <w:tcBorders>
              <w:bottom w:val="single" w:sz="8" w:color="E8FFFA"/>
            </w:tcBorders>
            <w:shd w:val="clear" w:color="auto" w:fill="E8FFFA"/>
          </w:tcPr>
          <w:p>
            <w:pPr>
              <w:spacing w:after="0"/>
              <w:rPr>
                <w:sz w:val="18"/>
                <w:szCs w:val="18"/>
                <w:color w:val="auto"/>
              </w:rPr>
            </w:pPr>
          </w:p>
        </w:tc>
        <w:tc>
          <w:tcPr>
            <w:tcW w:w="1260" w:type="dxa"/>
            <w:vAlign w:val="bottom"/>
            <w:tcBorders>
              <w:top w:val="single" w:sz="8" w:color="auto"/>
              <w:bottom w:val="single" w:sz="8" w:color="E8FFFA"/>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40" w:type="dxa"/>
            <w:vAlign w:val="bottom"/>
            <w:shd w:val="clear" w:color="auto" w:fill="E8FFFA"/>
          </w:tcPr>
          <w:p>
            <w:pPr>
              <w:spacing w:after="0" w:line="20" w:lineRule="exact"/>
              <w:rPr>
                <w:sz w:val="1"/>
                <w:szCs w:val="1"/>
                <w:color w:val="auto"/>
              </w:rPr>
            </w:pPr>
          </w:p>
        </w:tc>
        <w:tc>
          <w:tcPr>
            <w:tcW w:w="126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10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96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320" w:type="dxa"/>
            <w:vAlign w:val="bottom"/>
            <w:shd w:val="clear" w:color="auto" w:fill="E8FFFA"/>
          </w:tcPr>
          <w:p>
            <w:pPr>
              <w:spacing w:after="0" w:line="20" w:lineRule="exact"/>
              <w:rPr>
                <w:sz w:val="1"/>
                <w:szCs w:val="1"/>
                <w:color w:val="auto"/>
              </w:rPr>
            </w:pPr>
          </w:p>
        </w:tc>
        <w:tc>
          <w:tcPr>
            <w:tcW w:w="160" w:type="dxa"/>
            <w:vAlign w:val="bottom"/>
            <w:shd w:val="clear" w:color="auto" w:fill="E8FFFA"/>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1,406,290 SARs have vested but have not been exercised.</w:t>
      </w:r>
    </w:p>
    <w:p>
      <w:pPr>
        <w:spacing w:after="0" w:line="225" w:lineRule="exact"/>
        <w:rPr>
          <w:sz w:val="20"/>
          <w:szCs w:val="20"/>
          <w:color w:val="auto"/>
        </w:rPr>
      </w:pPr>
    </w:p>
    <w:p>
      <w:pPr>
        <w:jc w:val="both"/>
        <w:ind w:right="560" w:firstLine="348"/>
        <w:spacing w:after="0" w:line="259" w:lineRule="auto"/>
        <w:rPr>
          <w:sz w:val="20"/>
          <w:szCs w:val="20"/>
          <w:color w:val="auto"/>
        </w:rPr>
      </w:pPr>
      <w:r>
        <w:rPr>
          <w:rFonts w:ascii="Arial" w:cs="Arial" w:eastAsia="Arial" w:hAnsi="Arial"/>
          <w:sz w:val="18"/>
          <w:szCs w:val="18"/>
          <w:color w:val="auto"/>
        </w:rPr>
        <w:t>The terms of the GasLog Partners' 2015 Long-Term Incentive Plan (the "GasLog Partners' Plan") and the assumptions for the valuation of Restricted Common Units ("RCUs") and Performance Common Units ("PCUs") have been disclosed in Note 21 "Share-Based Compensation" in the annual audited consolidated financial statements for the year ended December 31, 2017.</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On April 2, 2018, GasLog Partners granted to its executives 24,608 RCUs and 24,608 PCUs in accordance with the GasLog Partners' Plan. The RCUs and PCUs will vest on April 2, 2021. The holders are entitled to cash distributions that will be accrued and settled on vesting.</w:t>
      </w:r>
    </w:p>
    <w:p>
      <w:pPr>
        <w:spacing w:after="0" w:line="13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Fair value at</w:t>
            </w:r>
          </w:p>
        </w:tc>
      </w:tr>
      <w:tr>
        <w:trPr>
          <w:trHeight w:val="229"/>
        </w:trPr>
        <w:tc>
          <w:tcPr>
            <w:tcW w:w="3020" w:type="dxa"/>
            <w:vAlign w:val="bottom"/>
          </w:tcPr>
          <w:p>
            <w:pPr>
              <w:spacing w:after="0"/>
              <w:rPr>
                <w:sz w:val="20"/>
                <w:szCs w:val="20"/>
                <w:color w:val="auto"/>
              </w:rPr>
            </w:pPr>
            <w:r>
              <w:rPr>
                <w:rFonts w:ascii="Arial" w:cs="Arial" w:eastAsia="Arial" w:hAnsi="Arial"/>
                <w:sz w:val="18"/>
                <w:szCs w:val="18"/>
                <w:b w:val="1"/>
                <w:bCs w:val="1"/>
                <w:color w:val="auto"/>
              </w:rPr>
              <w:t>Awards</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Number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1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Expiry date</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grant date</w:t>
            </w:r>
          </w:p>
        </w:tc>
      </w:tr>
      <w:tr>
        <w:trPr>
          <w:trHeight w:val="211"/>
        </w:trPr>
        <w:tc>
          <w:tcPr>
            <w:tcW w:w="302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RCUs</w:t>
            </w:r>
          </w:p>
        </w:tc>
        <w:tc>
          <w:tcPr>
            <w:tcW w:w="180" w:type="dxa"/>
            <w:vAlign w:val="bottom"/>
            <w:shd w:val="clear" w:color="auto" w:fill="E8FFFA"/>
          </w:tcPr>
          <w:p>
            <w:pPr>
              <w:spacing w:after="0"/>
              <w:rPr>
                <w:sz w:val="18"/>
                <w:szCs w:val="18"/>
                <w:color w:val="auto"/>
              </w:rPr>
            </w:pPr>
          </w:p>
        </w:tc>
        <w:tc>
          <w:tcPr>
            <w:tcW w:w="7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center"/>
              <w:spacing w:after="0"/>
              <w:rPr>
                <w:sz w:val="20"/>
                <w:szCs w:val="20"/>
                <w:color w:val="auto"/>
              </w:rPr>
            </w:pPr>
            <w:r>
              <w:rPr>
                <w:rFonts w:ascii="Arial" w:cs="Arial" w:eastAsia="Arial" w:hAnsi="Arial"/>
                <w:sz w:val="18"/>
                <w:szCs w:val="18"/>
                <w:color w:val="auto"/>
                <w:w w:val="92"/>
              </w:rPr>
              <w:t>April 2, 2018</w:t>
            </w:r>
          </w:p>
        </w:tc>
        <w:tc>
          <w:tcPr>
            <w:tcW w:w="160" w:type="dxa"/>
            <w:vAlign w:val="bottom"/>
            <w:shd w:val="clear" w:color="auto" w:fill="E8FFFA"/>
          </w:tcPr>
          <w:p>
            <w:pPr>
              <w:spacing w:after="0"/>
              <w:rPr>
                <w:sz w:val="18"/>
                <w:szCs w:val="18"/>
                <w:color w:val="auto"/>
              </w:rPr>
            </w:pPr>
          </w:p>
        </w:tc>
        <w:tc>
          <w:tcPr>
            <w:tcW w:w="1200" w:type="dxa"/>
            <w:vAlign w:val="bottom"/>
            <w:tcBorders>
              <w:top w:val="single" w:sz="8" w:color="auto"/>
            </w:tcBorders>
            <w:shd w:val="clear" w:color="auto" w:fill="E8FFFA"/>
          </w:tcPr>
          <w:p>
            <w:pPr>
              <w:ind w:left="98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PCUs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24,608</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2, 2018</w:t>
            </w:r>
          </w:p>
        </w:tc>
        <w:tc>
          <w:tcPr>
            <w:tcW w:w="1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9"/>
                <w:szCs w:val="19"/>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fair value of the RCUs and PCUs in accordance with the GasLog Partners' Plan was determined by using the grant date closing price of $23.40 per common unit and was not further adjusted since the holders are entitled to cash distributions.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The summary of RCUs and PCUs is presented below:</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average</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awards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contractual life</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7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RCUs</w:t>
            </w:r>
          </w:p>
        </w:tc>
        <w:tc>
          <w:tcPr>
            <w:tcW w:w="12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8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E8FFFA"/>
          </w:tcPr>
          <w:p>
            <w:pPr>
              <w:spacing w:after="0"/>
              <w:rPr>
                <w:sz w:val="20"/>
                <w:szCs w:val="20"/>
                <w:color w:val="auto"/>
              </w:rPr>
            </w:pPr>
            <w:r>
              <w:rPr>
                <w:rFonts w:ascii="Arial" w:cs="Arial" w:eastAsia="Arial" w:hAnsi="Arial"/>
                <w:sz w:val="18"/>
                <w:szCs w:val="18"/>
                <w:color w:val="auto"/>
              </w:rPr>
              <w:t>Granted during the period</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E8FFFA"/>
          </w:tcPr>
          <w:p>
            <w:pPr>
              <w:spacing w:after="0"/>
              <w:rPr>
                <w:sz w:val="18"/>
                <w:szCs w:val="18"/>
                <w:color w:val="auto"/>
              </w:rPr>
            </w:pPr>
          </w:p>
        </w:tc>
        <w:tc>
          <w:tcPr>
            <w:tcW w:w="14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Vested during the period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(16,999)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Outstanding as of June 30, 2018</w:t>
            </w: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shd w:val="clear" w:color="auto" w:fill="E8FFFA"/>
          </w:tcPr>
          <w:p>
            <w:pPr>
              <w:spacing w:after="0"/>
              <w:rPr>
                <w:sz w:val="18"/>
                <w:szCs w:val="18"/>
                <w:color w:val="auto"/>
              </w:rPr>
            </w:pP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1.75</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PCUs</w:t>
            </w: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2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7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shd w:val="clear" w:color="auto" w:fill="E8FFFA"/>
          </w:tcPr>
          <w:p>
            <w:pPr>
              <w:spacing w:after="0"/>
              <w:rPr>
                <w:sz w:val="18"/>
                <w:szCs w:val="18"/>
                <w:color w:val="auto"/>
              </w:rPr>
            </w:pPr>
          </w:p>
        </w:tc>
        <w:tc>
          <w:tcPr>
            <w:tcW w:w="14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E8FFFA"/>
          </w:tcPr>
          <w:p>
            <w:pPr>
              <w:spacing w:after="0"/>
              <w:rPr>
                <w:sz w:val="20"/>
                <w:szCs w:val="20"/>
                <w:color w:val="auto"/>
              </w:rPr>
            </w:pPr>
            <w:r>
              <w:rPr>
                <w:rFonts w:ascii="Arial" w:cs="Arial" w:eastAsia="Arial" w:hAnsi="Arial"/>
                <w:sz w:val="18"/>
                <w:szCs w:val="18"/>
                <w:color w:val="auto"/>
              </w:rPr>
              <w:t>Vested during the period</w:t>
            </w:r>
          </w:p>
        </w:tc>
        <w:tc>
          <w:tcPr>
            <w:tcW w:w="14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(16,999)</w:t>
            </w:r>
          </w:p>
        </w:tc>
        <w:tc>
          <w:tcPr>
            <w:tcW w:w="14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Outstanding as of June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April 3, 2018, 16,999 RCUs and 16,999 PCUs vested under the GasLog Partners' Plan.</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total expense recognized in respect of share-based compensation for the three and six months ended June 30, 2018 was $1,329 and $2,515 (for the three and six months ended June 30, 2017: $1,223 and $2,235). The total accrued cash distribution as of June 30, 2018 is $764 (December 31, 2017: $814).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Earnings/(losses) per Share ("EPS")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Basic earnings/(losses) per share was calculated by dividing the profit for the period attributable to the owners of the common shares by the weighted average number of common shares issued and outstanding during the period.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Diluted earnings/(losses)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3" w:name="page64"/>
    <w:bookmarkEnd w:id="63"/>
    <w:p>
      <w:pPr>
        <w:ind w:left="36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760" w:type="dxa"/>
            <w:vAlign w:val="bottom"/>
            <w:gridSpan w:val="4"/>
          </w:tcPr>
          <w:p>
            <w:pPr>
              <w:ind w:left="300"/>
              <w:spacing w:after="0"/>
              <w:rPr>
                <w:sz w:val="20"/>
                <w:szCs w:val="20"/>
                <w:color w:val="auto"/>
              </w:rPr>
            </w:pPr>
            <w:r>
              <w:rPr>
                <w:rFonts w:ascii="Arial" w:cs="Arial" w:eastAsia="Arial" w:hAnsi="Arial"/>
                <w:sz w:val="18"/>
                <w:szCs w:val="18"/>
                <w:b w:val="1"/>
                <w:bCs w:val="1"/>
                <w:color w:val="auto"/>
              </w:rPr>
              <w:t>For the three months ended</w:t>
            </w:r>
          </w:p>
        </w:tc>
      </w:tr>
      <w:tr>
        <w:trPr>
          <w:trHeight w:val="229"/>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June 30, 2017</w:t>
            </w: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2018</w:t>
            </w:r>
          </w:p>
        </w:tc>
      </w:tr>
      <w:tr>
        <w:trPr>
          <w:trHeight w:val="211"/>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i w:val="1"/>
                <w:iCs w:val="1"/>
                <w:color w:val="auto"/>
              </w:rPr>
              <w:t>Basic loss per share</w:t>
            </w:r>
          </w:p>
        </w:tc>
        <w:tc>
          <w:tcPr>
            <w:tcW w:w="128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Loss for the period attributable to owners of the Group</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(7,515)</w:t>
            </w:r>
          </w:p>
        </w:tc>
        <w:tc>
          <w:tcPr>
            <w:tcW w:w="1260" w:type="dxa"/>
            <w:vAlign w:val="bottom"/>
          </w:tcPr>
          <w:p>
            <w:pPr>
              <w:jc w:val="right"/>
              <w:spacing w:after="0"/>
              <w:rPr>
                <w:sz w:val="20"/>
                <w:szCs w:val="20"/>
                <w:color w:val="auto"/>
              </w:rPr>
            </w:pPr>
            <w:r>
              <w:rPr>
                <w:rFonts w:ascii="Arial" w:cs="Arial" w:eastAsia="Arial" w:hAnsi="Arial"/>
                <w:sz w:val="18"/>
                <w:szCs w:val="18"/>
                <w:color w:val="auto"/>
              </w:rPr>
              <w:t>(3,620)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Plus:</w:t>
            </w:r>
          </w:p>
        </w:tc>
        <w:tc>
          <w:tcPr>
            <w:tcW w:w="12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Dividend on preference shares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(2,516)</w:t>
            </w:r>
          </w:p>
        </w:tc>
        <w:tc>
          <w:tcPr>
            <w:tcW w:w="1260" w:type="dxa"/>
            <w:vAlign w:val="bottom"/>
          </w:tcPr>
          <w:p>
            <w:pPr>
              <w:jc w:val="right"/>
              <w:spacing w:after="0"/>
              <w:rPr>
                <w:sz w:val="20"/>
                <w:szCs w:val="20"/>
                <w:color w:val="auto"/>
              </w:rPr>
            </w:pPr>
            <w:r>
              <w:rPr>
                <w:rFonts w:ascii="Arial" w:cs="Arial" w:eastAsia="Arial" w:hAnsi="Arial"/>
                <w:sz w:val="18"/>
                <w:szCs w:val="18"/>
                <w:color w:val="auto"/>
              </w:rPr>
              <w:t>(2,516)</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Loss for the period available to owners of the Group</w:t>
            </w: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(10,031)</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(6,136)</w:t>
            </w:r>
          </w:p>
        </w:tc>
        <w:tc>
          <w:tcPr>
            <w:tcW w:w="60" w:type="dxa"/>
            <w:vAlign w:val="bottom"/>
          </w:tcPr>
          <w:p>
            <w:pPr>
              <w:spacing w:after="0"/>
              <w:rPr>
                <w:sz w:val="18"/>
                <w:szCs w:val="18"/>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80,624,124</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80,801,654</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Basic loss per share</w:t>
            </w:r>
          </w:p>
        </w:tc>
        <w:tc>
          <w:tcPr>
            <w:tcW w:w="12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(0.12)</w:t>
            </w:r>
          </w:p>
        </w:tc>
        <w:tc>
          <w:tcPr>
            <w:tcW w:w="160" w:type="dxa"/>
            <w:vAlign w:val="bottom"/>
            <w:shd w:val="clear" w:color="auto" w:fill="E8FFFA"/>
          </w:tcPr>
          <w:p>
            <w:pPr>
              <w:spacing w:after="0"/>
              <w:rPr>
                <w:sz w:val="18"/>
                <w:szCs w:val="18"/>
                <w:color w:val="auto"/>
              </w:rPr>
            </w:pP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(0.08)</w:t>
            </w:r>
          </w:p>
        </w:tc>
        <w:tc>
          <w:tcPr>
            <w:tcW w:w="60" w:type="dxa"/>
            <w:vAlign w:val="bottom"/>
          </w:tcPr>
          <w:p>
            <w:pPr>
              <w:spacing w:after="0"/>
              <w:rPr>
                <w:sz w:val="18"/>
                <w:szCs w:val="18"/>
                <w:color w:val="auto"/>
              </w:rPr>
            </w:pPr>
          </w:p>
        </w:tc>
      </w:tr>
      <w:tr>
        <w:trPr>
          <w:trHeight w:val="208"/>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Diluted loss per share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w w:val="92"/>
              </w:rPr>
              <w:t>Loss for the period available to owners of the Group used in the calculation of diluted</w:t>
            </w:r>
          </w:p>
        </w:tc>
        <w:tc>
          <w:tcPr>
            <w:tcW w:w="12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8FFFA"/>
          </w:tcPr>
          <w:p>
            <w:pPr>
              <w:ind w:left="160"/>
              <w:spacing w:after="0"/>
              <w:rPr>
                <w:sz w:val="20"/>
                <w:szCs w:val="20"/>
                <w:color w:val="auto"/>
              </w:rPr>
            </w:pPr>
            <w:r>
              <w:rPr>
                <w:rFonts w:ascii="Arial" w:cs="Arial" w:eastAsia="Arial" w:hAnsi="Arial"/>
                <w:sz w:val="18"/>
                <w:szCs w:val="18"/>
                <w:color w:val="auto"/>
              </w:rPr>
              <w:t>loss per share</w:t>
            </w:r>
          </w:p>
        </w:tc>
        <w:tc>
          <w:tcPr>
            <w:tcW w:w="14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(10,031)</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(6,136)</w:t>
            </w:r>
          </w:p>
        </w:tc>
        <w:tc>
          <w:tcPr>
            <w:tcW w:w="60" w:type="dxa"/>
            <w:vAlign w:val="bottom"/>
          </w:tcPr>
          <w:p>
            <w:pPr>
              <w:spacing w:after="0"/>
              <w:rPr>
                <w:sz w:val="19"/>
                <w:szCs w:val="19"/>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80,624,124</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80,801,654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Dilutive potential ordinary shares</w:t>
            </w:r>
          </w:p>
        </w:tc>
        <w:tc>
          <w:tcPr>
            <w:tcW w:w="14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w w:val="93"/>
              </w:rPr>
              <w:t>Weighted average number of shares used in the calculation of diluted loss per share</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80,624,124</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80,801,654</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Diluted loss per share</w:t>
            </w:r>
          </w:p>
        </w:tc>
        <w:tc>
          <w:tcPr>
            <w:tcW w:w="12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(0.12)</w:t>
            </w:r>
          </w:p>
        </w:tc>
        <w:tc>
          <w:tcPr>
            <w:tcW w:w="160" w:type="dxa"/>
            <w:vAlign w:val="bottom"/>
            <w:shd w:val="clear" w:color="auto" w:fill="E8FFFA"/>
          </w:tcPr>
          <w:p>
            <w:pPr>
              <w:spacing w:after="0"/>
              <w:rPr>
                <w:sz w:val="18"/>
                <w:szCs w:val="18"/>
                <w:color w:val="auto"/>
              </w:rPr>
            </w:pP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(0.08)</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Group excluded the dilutive effect of 971,911 SARs in calculating diluted EPS for the three months ended June 30, 2018, as they were anti-dilutive (June 30, 2017: 2,153,024 SARs and 438,595 RSUs).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760" w:type="dxa"/>
            <w:vAlign w:val="bottom"/>
            <w:gridSpan w:val="4"/>
          </w:tcPr>
          <w:p>
            <w:pPr>
              <w:ind w:left="400"/>
              <w:spacing w:after="0"/>
              <w:rPr>
                <w:sz w:val="20"/>
                <w:szCs w:val="20"/>
                <w:color w:val="auto"/>
              </w:rPr>
            </w:pPr>
            <w:r>
              <w:rPr>
                <w:rFonts w:ascii="Arial" w:cs="Arial" w:eastAsia="Arial" w:hAnsi="Arial"/>
                <w:sz w:val="18"/>
                <w:szCs w:val="18"/>
                <w:b w:val="1"/>
                <w:bCs w:val="1"/>
                <w:color w:val="auto"/>
              </w:rPr>
              <w:t>For the six months ended</w:t>
            </w:r>
          </w:p>
        </w:tc>
      </w:tr>
      <w:tr>
        <w:trPr>
          <w:trHeight w:val="229"/>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June 30, 2017</w:t>
            </w: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2018</w:t>
            </w:r>
          </w:p>
        </w:tc>
      </w:tr>
      <w:tr>
        <w:trPr>
          <w:trHeight w:val="211"/>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i w:val="1"/>
                <w:iCs w:val="1"/>
                <w:color w:val="auto"/>
              </w:rPr>
              <w:t>Basic (loss)/earnings per share</w:t>
            </w:r>
          </w:p>
        </w:tc>
        <w:tc>
          <w:tcPr>
            <w:tcW w:w="128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Profit for the period attributable to owners of the Group</w:t>
            </w:r>
          </w:p>
        </w:tc>
        <w:tc>
          <w:tcPr>
            <w:tcW w:w="128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Less:</w:t>
            </w:r>
          </w:p>
        </w:tc>
        <w:tc>
          <w:tcPr>
            <w:tcW w:w="12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Dividend on preference shares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(5,031)</w:t>
            </w:r>
          </w:p>
        </w:tc>
        <w:tc>
          <w:tcPr>
            <w:tcW w:w="1260" w:type="dxa"/>
            <w:vAlign w:val="bottom"/>
          </w:tcPr>
          <w:p>
            <w:pPr>
              <w:jc w:val="right"/>
              <w:spacing w:after="0"/>
              <w:rPr>
                <w:sz w:val="20"/>
                <w:szCs w:val="20"/>
                <w:color w:val="auto"/>
              </w:rPr>
            </w:pPr>
            <w:r>
              <w:rPr>
                <w:rFonts w:ascii="Arial" w:cs="Arial" w:eastAsia="Arial" w:hAnsi="Arial"/>
                <w:sz w:val="18"/>
                <w:szCs w:val="18"/>
                <w:color w:val="auto"/>
              </w:rPr>
              <w:t>(5,032)</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(Loss)/profit for the period available to owners of the Group</w:t>
            </w: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(3,794)</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10,652</w:t>
            </w:r>
          </w:p>
        </w:tc>
        <w:tc>
          <w:tcPr>
            <w:tcW w:w="60" w:type="dxa"/>
            <w:vAlign w:val="bottom"/>
          </w:tcPr>
          <w:p>
            <w:pPr>
              <w:spacing w:after="0"/>
              <w:rPr>
                <w:sz w:val="18"/>
                <w:szCs w:val="18"/>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80,592,912</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80,758,631</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Basic (loss)/earnings per share</w:t>
            </w:r>
          </w:p>
        </w:tc>
        <w:tc>
          <w:tcPr>
            <w:tcW w:w="12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(0.05)</w:t>
            </w:r>
          </w:p>
        </w:tc>
        <w:tc>
          <w:tcPr>
            <w:tcW w:w="160" w:type="dxa"/>
            <w:vAlign w:val="bottom"/>
            <w:shd w:val="clear" w:color="auto" w:fill="E8FFFA"/>
          </w:tcPr>
          <w:p>
            <w:pPr>
              <w:spacing w:after="0"/>
              <w:rPr>
                <w:sz w:val="18"/>
                <w:szCs w:val="18"/>
                <w:color w:val="auto"/>
              </w:rPr>
            </w:pP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0.13</w:t>
            </w:r>
          </w:p>
        </w:tc>
        <w:tc>
          <w:tcPr>
            <w:tcW w:w="60" w:type="dxa"/>
            <w:vAlign w:val="bottom"/>
          </w:tcPr>
          <w:p>
            <w:pPr>
              <w:spacing w:after="0"/>
              <w:rPr>
                <w:sz w:val="18"/>
                <w:szCs w:val="18"/>
                <w:color w:val="auto"/>
              </w:rPr>
            </w:pPr>
          </w:p>
        </w:tc>
      </w:tr>
      <w:tr>
        <w:trPr>
          <w:trHeight w:val="208"/>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Diluted (loss)/earnings per share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w w:val="92"/>
              </w:rPr>
              <w:t>(Loss)/profit for the period available to owners of the Group used in the calculation of</w:t>
            </w:r>
          </w:p>
        </w:tc>
        <w:tc>
          <w:tcPr>
            <w:tcW w:w="12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8FFFA"/>
          </w:tcPr>
          <w:p>
            <w:pPr>
              <w:ind w:left="160"/>
              <w:spacing w:after="0"/>
              <w:rPr>
                <w:sz w:val="20"/>
                <w:szCs w:val="20"/>
                <w:color w:val="auto"/>
              </w:rPr>
            </w:pPr>
            <w:r>
              <w:rPr>
                <w:rFonts w:ascii="Arial" w:cs="Arial" w:eastAsia="Arial" w:hAnsi="Arial"/>
                <w:sz w:val="18"/>
                <w:szCs w:val="18"/>
                <w:color w:val="auto"/>
              </w:rPr>
              <w:t>diluted (loss)/earnings per share</w:t>
            </w:r>
          </w:p>
        </w:tc>
        <w:tc>
          <w:tcPr>
            <w:tcW w:w="14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(3,794)</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10,652</w:t>
            </w:r>
          </w:p>
        </w:tc>
        <w:tc>
          <w:tcPr>
            <w:tcW w:w="60" w:type="dxa"/>
            <w:vAlign w:val="bottom"/>
          </w:tcPr>
          <w:p>
            <w:pPr>
              <w:spacing w:after="0"/>
              <w:rPr>
                <w:sz w:val="19"/>
                <w:szCs w:val="19"/>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80,592,912</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80,758,631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color w:val="auto"/>
              </w:rPr>
              <w:t>Dilutive potential ordinary shares</w:t>
            </w:r>
          </w:p>
        </w:tc>
        <w:tc>
          <w:tcPr>
            <w:tcW w:w="14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732,041</w:t>
            </w:r>
          </w:p>
        </w:tc>
        <w:tc>
          <w:tcPr>
            <w:tcW w:w="60" w:type="dxa"/>
            <w:vAlign w:val="bottom"/>
          </w:tcPr>
          <w:p>
            <w:pPr>
              <w:spacing w:after="0"/>
              <w:rPr>
                <w:sz w:val="18"/>
                <w:szCs w:val="18"/>
                <w:color w:val="auto"/>
              </w:rPr>
            </w:pPr>
          </w:p>
        </w:tc>
      </w:tr>
      <w:tr>
        <w:trPr>
          <w:trHeight w:val="201"/>
        </w:trPr>
        <w:tc>
          <w:tcPr>
            <w:tcW w:w="6280" w:type="dxa"/>
            <w:vAlign w:val="bottom"/>
            <w:gridSpan w:val="2"/>
          </w:tcPr>
          <w:p>
            <w:pPr>
              <w:spacing w:after="0" w:line="201" w:lineRule="exact"/>
              <w:rPr>
                <w:sz w:val="20"/>
                <w:szCs w:val="20"/>
                <w:color w:val="auto"/>
              </w:rPr>
            </w:pPr>
            <w:r>
              <w:rPr>
                <w:rFonts w:ascii="Arial" w:cs="Arial" w:eastAsia="Arial" w:hAnsi="Arial"/>
                <w:sz w:val="18"/>
                <w:szCs w:val="18"/>
                <w:color w:val="auto"/>
                <w:w w:val="92"/>
              </w:rPr>
              <w:t>Weighted average number of shares used in the calculation of diluted (loss)/earnings</w:t>
            </w: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80,592,912</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81,490,672</w:t>
            </w:r>
          </w:p>
        </w:tc>
        <w:tc>
          <w:tcPr>
            <w:tcW w:w="6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2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Diluted (loss)/earnings per share</w:t>
            </w:r>
          </w:p>
        </w:tc>
        <w:tc>
          <w:tcPr>
            <w:tcW w:w="12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(0.05)</w:t>
            </w:r>
          </w:p>
        </w:tc>
        <w:tc>
          <w:tcPr>
            <w:tcW w:w="160" w:type="dxa"/>
            <w:vAlign w:val="bottom"/>
            <w:shd w:val="clear" w:color="auto" w:fill="E8FFFA"/>
          </w:tcPr>
          <w:p>
            <w:pPr>
              <w:spacing w:after="0"/>
              <w:rPr>
                <w:sz w:val="18"/>
                <w:szCs w:val="18"/>
                <w:color w:val="auto"/>
              </w:rPr>
            </w:pP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0.13</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Group excluded the dilutive effect of 971,911 SARs in calculating diluted EPS for the six months ended June 30, 2018, as they were anti-dilutive (June 30, 2017: 2,153,024 SARs and 438,595 RSUs).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August 1, 2018, the board of directors declared a quarterly cash dividend of $0.15 per common share payable on August 23, 2018 to shareholders of record as of August 13, 2018.</w:t>
      </w:r>
    </w:p>
    <w:p>
      <w:pPr>
        <w:spacing w:after="0" w:line="1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 99.2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GASLOG LTD. INDEX TO UNAUDITED CONDENSED CONSOLIDATED FINANCIAL STATEMENTS</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2"/>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decimal"/>
      <w:start w:val="1"/>
    </w:lvl>
  </w:abstractNum>
  <w:abstractNum w:abstractNumId="15">
    <w:nsid w:val="436C6125"/>
    <w:multiLevelType w:val="hybridMultilevel"/>
    <w:lvl w:ilvl="0">
      <w:lvlJc w:val="left"/>
      <w:lvlText w:val="%1."/>
      <w:numFmt w:val="decimal"/>
      <w:start w:val="2"/>
    </w:lvl>
    <w:lvl w:ilvl="1">
      <w:lvlJc w:val="left"/>
      <w:lvlText w:val="%2"/>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lowerLetter"/>
      <w:start w:val="5"/>
    </w:lvl>
  </w:abstractNum>
  <w:abstractNum w:abstractNumId="22">
    <w:nsid w:val="75A2A8D4"/>
    <w:multiLevelType w:val="hybridMultilevel"/>
    <w:lvl w:ilvl="0">
      <w:lvlJc w:val="left"/>
      <w:lvlText w:val="(%1)"/>
      <w:numFmt w:val="lowerLetter"/>
      <w:start w:val="7"/>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2019-12-08T01:32:57Z</dcterms:created>
  <dcterms:modified xsi:type="dcterms:W3CDTF">2019-12-08T01:32:57Z</dcterms:modified>
</cp:coreProperties>
</file>