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279" w:lineRule="exact"/>
        <w:rPr>
          <w:sz w:val="24"/>
          <w:szCs w:val="24"/>
          <w:color w:val="auto"/>
        </w:rPr>
      </w:pPr>
    </w:p>
    <w:p>
      <w:pPr>
        <w:ind w:left="220" w:hanging="215"/>
        <w:spacing w:after="0" w:line="347" w:lineRule="auto"/>
        <w:rPr>
          <w:sz w:val="20"/>
          <w:szCs w:val="20"/>
          <w:color w:val="auto"/>
        </w:rPr>
      </w:pPr>
      <w:r>
        <w:rPr>
          <w:rFonts w:ascii="Arial" w:cs="Arial" w:eastAsia="Arial" w:hAnsi="Arial"/>
          <w:sz w:val="16"/>
          <w:szCs w:val="16"/>
          <w:b w:val="1"/>
          <w:bCs w:val="1"/>
          <w:color w:val="auto"/>
        </w:rPr>
        <w:t>Securities Offered:</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b w:val="1"/>
          <w:bCs w:val="1"/>
          <w:color w:val="auto"/>
        </w:rPr>
        <w:t>Issuer Free Writing Prospectus</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333-210169]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Dated March 17, 2017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Dated March 13, 2017</w:t>
      </w:r>
    </w:p>
    <w:p>
      <w:pPr>
        <w:spacing w:after="0" w:line="153"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PRICING TERM SHEET</w:t>
      </w:r>
    </w:p>
    <w:p>
      <w:pPr>
        <w:spacing w:after="0" w:line="252"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GasLog Ltd.</w:t>
      </w:r>
    </w:p>
    <w:p>
      <w:pPr>
        <w:spacing w:after="0" w:line="225"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$250,000,000</w:t>
      </w:r>
    </w:p>
    <w:p>
      <w:pPr>
        <w:spacing w:after="0" w:line="225"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8.875% Senior Notes due 2022</w:t>
      </w:r>
    </w:p>
    <w:p>
      <w:pPr>
        <w:spacing w:after="0" w:line="171"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March 17, 2017</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GasLog Ltd.</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8.875% Senior Notes due 2022 (the “Notes”)</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Blenheim Holdings Ltd., which is GasLog’s largest shareholder and is controlled by our chairman, Peter G. Livanos, has agreed to purchase $9,750,000 of Notes in this offering</w:t>
      </w:r>
    </w:p>
    <w:p>
      <w:pPr>
        <w:spacing w:after="0" w:line="193" w:lineRule="exact"/>
        <w:rPr>
          <w:sz w:val="24"/>
          <w:szCs w:val="24"/>
          <w:color w:val="auto"/>
        </w:rPr>
      </w:pPr>
    </w:p>
    <w:p>
      <w:pPr>
        <w:sectPr>
          <w:pgSz w:w="11900" w:h="16838" w:orient="portrait"/>
          <w:cols w:equalWidth="0" w:num="2">
            <w:col w:w="880" w:space="460"/>
            <w:col w:w="10080"/>
          </w:cols>
          <w:pgMar w:left="240" w:top="229" w:right="239" w:bottom="1440" w:gutter="0" w:footer="0" w:header="0"/>
        </w:sectPr>
      </w:pPr>
    </w:p>
    <w:p>
      <w:pPr>
        <w:spacing w:after="0"/>
        <w:rPr>
          <w:sz w:val="20"/>
          <w:szCs w:val="20"/>
          <w:color w:val="auto"/>
        </w:rPr>
      </w:pPr>
      <w:r>
        <w:rPr>
          <w:rFonts w:ascii="Arial" w:cs="Arial" w:eastAsia="Arial" w:hAnsi="Arial"/>
          <w:sz w:val="18"/>
          <w:szCs w:val="18"/>
          <w:b w:val="1"/>
          <w:bCs w:val="1"/>
          <w:color w:val="auto"/>
        </w:rPr>
        <w:t>Trade Date:</w:t>
      </w:r>
    </w:p>
    <w:p>
      <w:pPr>
        <w:spacing w:after="0" w:line="252"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Settlement Date (T+3):</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Principal</w:t>
      </w:r>
    </w:p>
    <w:p>
      <w:pPr>
        <w:spacing w:after="0" w:line="27"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Amount:</w:t>
      </w: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Denominations:</w:t>
      </w:r>
    </w:p>
    <w:p>
      <w:pPr>
        <w:spacing w:after="0" w:line="302" w:lineRule="exact"/>
        <w:rPr>
          <w:sz w:val="24"/>
          <w:szCs w:val="24"/>
          <w:color w:val="auto"/>
        </w:rPr>
      </w:pPr>
    </w:p>
    <w:p>
      <w:pPr>
        <w:ind w:left="220" w:right="80" w:hanging="215"/>
        <w:spacing w:after="0" w:line="313" w:lineRule="auto"/>
        <w:rPr>
          <w:sz w:val="20"/>
          <w:szCs w:val="20"/>
          <w:color w:val="auto"/>
        </w:rPr>
      </w:pPr>
      <w:r>
        <w:rPr>
          <w:rFonts w:ascii="Arial" w:cs="Arial" w:eastAsia="Arial" w:hAnsi="Arial"/>
          <w:sz w:val="17"/>
          <w:szCs w:val="17"/>
          <w:b w:val="1"/>
          <w:bCs w:val="1"/>
          <w:color w:val="auto"/>
        </w:rPr>
        <w:t>Final Maturity Date:</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7"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Payment</w:t>
      </w:r>
    </w:p>
    <w:p>
      <w:pPr>
        <w:spacing w:after="0" w:line="9"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Dates:</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Coupon:</w:t>
      </w:r>
    </w:p>
    <w:p>
      <w:pPr>
        <w:spacing w:after="0" w:line="279" w:lineRule="exact"/>
        <w:rPr>
          <w:sz w:val="24"/>
          <w:szCs w:val="24"/>
          <w:color w:val="auto"/>
        </w:rPr>
      </w:pPr>
    </w:p>
    <w:p>
      <w:pPr>
        <w:ind w:left="220" w:right="40" w:hanging="215"/>
        <w:spacing w:after="0" w:line="347" w:lineRule="auto"/>
        <w:rPr>
          <w:sz w:val="20"/>
          <w:szCs w:val="20"/>
          <w:color w:val="auto"/>
        </w:rPr>
      </w:pPr>
      <w:r>
        <w:rPr>
          <w:rFonts w:ascii="Arial" w:cs="Arial" w:eastAsia="Arial" w:hAnsi="Arial"/>
          <w:sz w:val="16"/>
          <w:szCs w:val="16"/>
          <w:b w:val="1"/>
          <w:bCs w:val="1"/>
          <w:color w:val="auto"/>
        </w:rPr>
        <w:t>Public Offering Price:</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Day Count:</w:t>
      </w: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Gross Proceeds:</w:t>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7"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Discount:</w:t>
      </w: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Net proceeds to</w:t>
      </w:r>
    </w:p>
    <w:p>
      <w:pPr>
        <w:spacing w:after="0" w:line="50"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Issuer after</w:t>
      </w:r>
    </w:p>
    <w:p>
      <w:pPr>
        <w:spacing w:after="0" w:line="9" w:lineRule="exact"/>
        <w:rPr>
          <w:sz w:val="24"/>
          <w:szCs w:val="24"/>
          <w:color w:val="auto"/>
        </w:rPr>
      </w:pPr>
    </w:p>
    <w:p>
      <w:pPr>
        <w:ind w:left="220"/>
        <w:spacing w:after="0"/>
        <w:rPr>
          <w:sz w:val="20"/>
          <w:szCs w:val="20"/>
          <w:color w:val="auto"/>
        </w:rPr>
      </w:pPr>
      <w:r>
        <w:rPr>
          <w:rFonts w:ascii="Arial" w:cs="Arial" w:eastAsia="Arial" w:hAnsi="Arial"/>
          <w:sz w:val="16"/>
          <w:szCs w:val="16"/>
          <w:b w:val="1"/>
          <w:bCs w:val="1"/>
          <w:color w:val="auto"/>
        </w:rPr>
        <w:t>underwriting</w:t>
      </w:r>
    </w:p>
    <w:p>
      <w:pPr>
        <w:spacing w:after="0" w:line="32" w:lineRule="exact"/>
        <w:rPr>
          <w:sz w:val="24"/>
          <w:szCs w:val="24"/>
          <w:color w:val="auto"/>
        </w:rPr>
      </w:pPr>
    </w:p>
    <w:p>
      <w:pPr>
        <w:ind w:left="220"/>
        <w:spacing w:after="0"/>
        <w:rPr>
          <w:sz w:val="20"/>
          <w:szCs w:val="20"/>
          <w:color w:val="auto"/>
        </w:rPr>
      </w:pPr>
      <w:r>
        <w:rPr>
          <w:rFonts w:ascii="Arial" w:cs="Arial" w:eastAsia="Arial" w:hAnsi="Arial"/>
          <w:sz w:val="16"/>
          <w:szCs w:val="16"/>
          <w:b w:val="1"/>
          <w:bCs w:val="1"/>
          <w:color w:val="auto"/>
        </w:rPr>
        <w:t>discount and</w:t>
      </w:r>
    </w:p>
    <w:p>
      <w:pPr>
        <w:spacing w:after="0" w:line="32"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estimated</w:t>
      </w:r>
    </w:p>
    <w:p>
      <w:pPr>
        <w:spacing w:after="0" w:line="9"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offering</w:t>
      </w:r>
    </w:p>
    <w:p>
      <w:pPr>
        <w:spacing w:after="0" w:line="9"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expenses:</w:t>
      </w:r>
    </w:p>
    <w:p>
      <w:pPr>
        <w:spacing w:after="0" w:line="234" w:lineRule="exact"/>
        <w:rPr>
          <w:sz w:val="24"/>
          <w:szCs w:val="24"/>
          <w:color w:val="auto"/>
        </w:rPr>
      </w:pPr>
    </w:p>
    <w:p>
      <w:pPr>
        <w:ind w:left="220" w:right="20" w:hanging="215"/>
        <w:spacing w:after="0" w:line="347" w:lineRule="auto"/>
        <w:rPr>
          <w:sz w:val="20"/>
          <w:szCs w:val="20"/>
          <w:color w:val="auto"/>
        </w:rPr>
      </w:pPr>
      <w:r>
        <w:rPr>
          <w:rFonts w:ascii="Arial" w:cs="Arial" w:eastAsia="Arial" w:hAnsi="Arial"/>
          <w:sz w:val="16"/>
          <w:szCs w:val="16"/>
          <w:b w:val="1"/>
          <w:bCs w:val="1"/>
          <w:color w:val="auto"/>
        </w:rPr>
        <w:t>Optional Redemption:</w:t>
      </w:r>
    </w:p>
    <w:p>
      <w:pPr>
        <w:spacing w:after="0" w:line="20" w:lineRule="exact"/>
        <w:rPr>
          <w:sz w:val="24"/>
          <w:szCs w:val="24"/>
          <w:color w:val="auto"/>
        </w:rPr>
      </w:pPr>
      <w:r>
        <w:rPr>
          <w:sz w:val="24"/>
          <w:szCs w:val="24"/>
          <w:color w:val="auto"/>
        </w:rPr>
        <w:br w:type="column"/>
      </w:r>
    </w:p>
    <w:p>
      <w:pPr>
        <w:ind w:left="8"/>
        <w:spacing w:after="0"/>
        <w:rPr>
          <w:sz w:val="20"/>
          <w:szCs w:val="20"/>
          <w:color w:val="auto"/>
        </w:rPr>
      </w:pPr>
      <w:r>
        <w:rPr>
          <w:rFonts w:ascii="Arial" w:cs="Arial" w:eastAsia="Arial" w:hAnsi="Arial"/>
          <w:sz w:val="18"/>
          <w:szCs w:val="18"/>
          <w:color w:val="auto"/>
        </w:rPr>
        <w:t>March 17, 2017</w:t>
      </w:r>
    </w:p>
    <w:p>
      <w:pPr>
        <w:spacing w:after="0" w:line="360" w:lineRule="exact"/>
        <w:rPr>
          <w:sz w:val="24"/>
          <w:szCs w:val="24"/>
          <w:color w:val="auto"/>
        </w:rPr>
      </w:pPr>
    </w:p>
    <w:p>
      <w:pPr>
        <w:ind w:left="8"/>
        <w:spacing w:after="0"/>
        <w:rPr>
          <w:sz w:val="20"/>
          <w:szCs w:val="20"/>
          <w:color w:val="auto"/>
        </w:rPr>
      </w:pPr>
      <w:r>
        <w:rPr>
          <w:rFonts w:ascii="Arial" w:cs="Arial" w:eastAsia="Arial" w:hAnsi="Arial"/>
          <w:sz w:val="18"/>
          <w:szCs w:val="18"/>
          <w:color w:val="auto"/>
        </w:rPr>
        <w:t>March 22, 2017 (DTC)</w:t>
      </w:r>
    </w:p>
    <w:p>
      <w:pPr>
        <w:spacing w:after="0" w:line="200" w:lineRule="exact"/>
        <w:rPr>
          <w:sz w:val="24"/>
          <w:szCs w:val="24"/>
          <w:color w:val="auto"/>
        </w:rPr>
      </w:pPr>
    </w:p>
    <w:p>
      <w:pPr>
        <w:spacing w:after="0" w:line="376" w:lineRule="exact"/>
        <w:rPr>
          <w:sz w:val="24"/>
          <w:szCs w:val="24"/>
          <w:color w:val="auto"/>
        </w:rPr>
      </w:pPr>
    </w:p>
    <w:p>
      <w:pPr>
        <w:ind w:left="8"/>
        <w:spacing w:after="0"/>
        <w:rPr>
          <w:sz w:val="20"/>
          <w:szCs w:val="20"/>
          <w:color w:val="auto"/>
        </w:rPr>
      </w:pPr>
      <w:r>
        <w:rPr>
          <w:rFonts w:ascii="Arial" w:cs="Arial" w:eastAsia="Arial" w:hAnsi="Arial"/>
          <w:sz w:val="18"/>
          <w:szCs w:val="18"/>
          <w:color w:val="auto"/>
        </w:rPr>
        <w:t>$250,000,000</w:t>
      </w:r>
    </w:p>
    <w:p>
      <w:pPr>
        <w:spacing w:after="0" w:line="279" w:lineRule="exact"/>
        <w:rPr>
          <w:sz w:val="24"/>
          <w:szCs w:val="24"/>
          <w:color w:val="auto"/>
        </w:rPr>
      </w:pPr>
    </w:p>
    <w:p>
      <w:pPr>
        <w:ind w:left="8"/>
        <w:spacing w:after="0"/>
        <w:rPr>
          <w:sz w:val="20"/>
          <w:szCs w:val="20"/>
          <w:color w:val="auto"/>
        </w:rPr>
      </w:pPr>
      <w:r>
        <w:rPr>
          <w:rFonts w:ascii="Arial" w:cs="Arial" w:eastAsia="Arial" w:hAnsi="Arial"/>
          <w:sz w:val="18"/>
          <w:szCs w:val="18"/>
          <w:color w:val="auto"/>
        </w:rPr>
        <w:t>$1,000 and integral multiples of $1,000 in excess thereof</w:t>
      </w:r>
    </w:p>
    <w:p>
      <w:pPr>
        <w:spacing w:after="0" w:line="200" w:lineRule="exact"/>
        <w:rPr>
          <w:sz w:val="24"/>
          <w:szCs w:val="24"/>
          <w:color w:val="auto"/>
        </w:rPr>
      </w:pPr>
    </w:p>
    <w:p>
      <w:pPr>
        <w:spacing w:after="0" w:line="268" w:lineRule="exact"/>
        <w:rPr>
          <w:sz w:val="24"/>
          <w:szCs w:val="24"/>
          <w:color w:val="auto"/>
        </w:rPr>
      </w:pPr>
    </w:p>
    <w:p>
      <w:pPr>
        <w:ind w:left="8"/>
        <w:spacing w:after="0"/>
        <w:rPr>
          <w:sz w:val="20"/>
          <w:szCs w:val="20"/>
          <w:color w:val="auto"/>
        </w:rPr>
      </w:pPr>
      <w:r>
        <w:rPr>
          <w:rFonts w:ascii="Arial" w:cs="Arial" w:eastAsia="Arial" w:hAnsi="Arial"/>
          <w:sz w:val="18"/>
          <w:szCs w:val="18"/>
          <w:color w:val="auto"/>
        </w:rPr>
        <w:t>March 22, 2022</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8"/>
        <w:spacing w:after="0"/>
        <w:rPr>
          <w:sz w:val="20"/>
          <w:szCs w:val="20"/>
          <w:color w:val="auto"/>
        </w:rPr>
      </w:pPr>
      <w:r>
        <w:rPr>
          <w:rFonts w:ascii="Arial" w:cs="Arial" w:eastAsia="Arial" w:hAnsi="Arial"/>
          <w:sz w:val="18"/>
          <w:szCs w:val="18"/>
          <w:color w:val="auto"/>
        </w:rPr>
        <w:t>March 30, June 30, September 30 and December 30, commencing on June 30, 2017</w:t>
      </w:r>
    </w:p>
    <w:p>
      <w:pPr>
        <w:spacing w:after="0" w:line="279" w:lineRule="exact"/>
        <w:rPr>
          <w:sz w:val="24"/>
          <w:szCs w:val="24"/>
          <w:color w:val="auto"/>
        </w:rPr>
      </w:pPr>
    </w:p>
    <w:p>
      <w:pPr>
        <w:ind w:left="8"/>
        <w:spacing w:after="0"/>
        <w:rPr>
          <w:sz w:val="20"/>
          <w:szCs w:val="20"/>
          <w:color w:val="auto"/>
        </w:rPr>
      </w:pPr>
      <w:r>
        <w:rPr>
          <w:rFonts w:ascii="Arial" w:cs="Arial" w:eastAsia="Arial" w:hAnsi="Arial"/>
          <w:sz w:val="18"/>
          <w:szCs w:val="18"/>
          <w:color w:val="auto"/>
        </w:rPr>
        <w:t>8.875%</w:t>
      </w:r>
    </w:p>
    <w:p>
      <w:pPr>
        <w:spacing w:after="0" w:line="200" w:lineRule="exact"/>
        <w:rPr>
          <w:sz w:val="24"/>
          <w:szCs w:val="24"/>
          <w:color w:val="auto"/>
        </w:rPr>
      </w:pPr>
    </w:p>
    <w:p>
      <w:pPr>
        <w:spacing w:after="0" w:line="268" w:lineRule="exact"/>
        <w:rPr>
          <w:sz w:val="24"/>
          <w:szCs w:val="24"/>
          <w:color w:val="auto"/>
        </w:rPr>
      </w:pPr>
    </w:p>
    <w:p>
      <w:pPr>
        <w:ind w:left="8"/>
        <w:spacing w:after="0"/>
        <w:rPr>
          <w:sz w:val="20"/>
          <w:szCs w:val="20"/>
          <w:color w:val="auto"/>
        </w:rPr>
      </w:pPr>
      <w:r>
        <w:rPr>
          <w:rFonts w:ascii="Arial" w:cs="Arial" w:eastAsia="Arial" w:hAnsi="Arial"/>
          <w:sz w:val="18"/>
          <w:szCs w:val="18"/>
          <w:color w:val="auto"/>
        </w:rPr>
        <w:t>100%, plus accrued and unpaid interest, if any, from March 22, 2017</w:t>
      </w:r>
    </w:p>
    <w:p>
      <w:pPr>
        <w:spacing w:after="0" w:line="279" w:lineRule="exact"/>
        <w:rPr>
          <w:sz w:val="24"/>
          <w:szCs w:val="24"/>
          <w:color w:val="auto"/>
        </w:rPr>
      </w:pPr>
    </w:p>
    <w:p>
      <w:pPr>
        <w:ind w:left="8"/>
        <w:spacing w:after="0"/>
        <w:rPr>
          <w:sz w:val="20"/>
          <w:szCs w:val="20"/>
          <w:color w:val="auto"/>
        </w:rPr>
      </w:pPr>
      <w:r>
        <w:rPr>
          <w:rFonts w:ascii="Arial" w:cs="Arial" w:eastAsia="Arial" w:hAnsi="Arial"/>
          <w:sz w:val="18"/>
          <w:szCs w:val="18"/>
          <w:color w:val="auto"/>
        </w:rPr>
        <w:t>30/360</w:t>
      </w:r>
    </w:p>
    <w:p>
      <w:pPr>
        <w:spacing w:after="0" w:line="279" w:lineRule="exact"/>
        <w:rPr>
          <w:sz w:val="24"/>
          <w:szCs w:val="24"/>
          <w:color w:val="auto"/>
        </w:rPr>
      </w:pPr>
    </w:p>
    <w:p>
      <w:pPr>
        <w:ind w:left="8"/>
        <w:spacing w:after="0"/>
        <w:rPr>
          <w:sz w:val="20"/>
          <w:szCs w:val="20"/>
          <w:color w:val="auto"/>
        </w:rPr>
      </w:pPr>
      <w:r>
        <w:rPr>
          <w:rFonts w:ascii="Arial" w:cs="Arial" w:eastAsia="Arial" w:hAnsi="Arial"/>
          <w:sz w:val="18"/>
          <w:szCs w:val="18"/>
          <w:color w:val="auto"/>
        </w:rPr>
        <w:t>$250,000,000</w:t>
      </w:r>
    </w:p>
    <w:p>
      <w:pPr>
        <w:spacing w:after="0" w:line="252" w:lineRule="exact"/>
        <w:rPr>
          <w:sz w:val="24"/>
          <w:szCs w:val="24"/>
          <w:color w:val="auto"/>
        </w:rPr>
      </w:pPr>
    </w:p>
    <w:p>
      <w:pPr>
        <w:ind w:left="8" w:right="20"/>
        <w:spacing w:after="0" w:line="277" w:lineRule="auto"/>
        <w:rPr>
          <w:sz w:val="20"/>
          <w:szCs w:val="20"/>
          <w:color w:val="auto"/>
        </w:rPr>
      </w:pPr>
      <w:r>
        <w:rPr>
          <w:rFonts w:ascii="Arial" w:cs="Arial" w:eastAsia="Arial" w:hAnsi="Arial"/>
          <w:sz w:val="18"/>
          <w:szCs w:val="18"/>
          <w:color w:val="auto"/>
        </w:rPr>
        <w:t>1.75% for institutional orders and 2.80% for retail orders. The underwriters will not receive an underwriting discount or commission on the sale of Notes to Blenheim Holdings Ltd. and any other Notes sold to certain GasLog-related investors.</w:t>
      </w:r>
    </w:p>
    <w:p>
      <w:pPr>
        <w:spacing w:after="0" w:line="197" w:lineRule="exact"/>
        <w:rPr>
          <w:sz w:val="24"/>
          <w:szCs w:val="24"/>
          <w:color w:val="auto"/>
        </w:rPr>
      </w:pPr>
    </w:p>
    <w:p>
      <w:pPr>
        <w:ind w:left="8"/>
        <w:spacing w:after="0"/>
        <w:rPr>
          <w:sz w:val="20"/>
          <w:szCs w:val="20"/>
          <w:color w:val="auto"/>
        </w:rPr>
      </w:pPr>
      <w:r>
        <w:rPr>
          <w:rFonts w:ascii="Arial" w:cs="Arial" w:eastAsia="Arial" w:hAnsi="Arial"/>
          <w:sz w:val="18"/>
          <w:szCs w:val="18"/>
          <w:color w:val="auto"/>
        </w:rPr>
        <w:t>$245,280,750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ind w:left="8"/>
        <w:spacing w:after="0"/>
        <w:rPr>
          <w:sz w:val="20"/>
          <w:szCs w:val="20"/>
          <w:color w:val="auto"/>
        </w:rPr>
      </w:pPr>
      <w:r>
        <w:rPr>
          <w:rFonts w:ascii="Arial" w:cs="Arial" w:eastAsia="Arial" w:hAnsi="Arial"/>
          <w:sz w:val="16"/>
          <w:szCs w:val="16"/>
          <w:color w:val="auto"/>
        </w:rPr>
        <w:t>We have the right to redeem the Notes, in whole or in part, at any time and from time to time at a redemption price equal to the greater of</w:t>
      </w:r>
    </w:p>
    <w:p>
      <w:pPr>
        <w:spacing w:after="0" w:line="46" w:lineRule="exact"/>
        <w:rPr>
          <w:sz w:val="24"/>
          <w:szCs w:val="24"/>
          <w:color w:val="auto"/>
        </w:rPr>
      </w:pPr>
    </w:p>
    <w:p>
      <w:pPr>
        <w:ind w:left="8" w:right="160" w:hanging="8"/>
        <w:spacing w:after="0" w:line="238" w:lineRule="auto"/>
        <w:tabs>
          <w:tab w:leader="none" w:pos="263" w:val="left"/>
        </w:tabs>
        <w:numPr>
          <w:ilvl w:val="0"/>
          <w:numId w:val="1"/>
        </w:numPr>
        <w:rPr>
          <w:rFonts w:ascii="Arial" w:cs="Arial" w:eastAsia="Arial" w:hAnsi="Arial"/>
          <w:sz w:val="18"/>
          <w:szCs w:val="18"/>
          <w:color w:val="auto"/>
        </w:rPr>
      </w:pPr>
      <w:r>
        <w:rPr>
          <w:rFonts w:ascii="Arial" w:cs="Arial" w:eastAsia="Arial" w:hAnsi="Arial"/>
          <w:sz w:val="18"/>
          <w:szCs w:val="18"/>
          <w:color w:val="auto"/>
        </w:rPr>
        <w:t>100% of the principal amount of such Notes plus accrued interest to the date of redemption and (2) determined by the quotation agent, the sum of the present values of the remaining scheduled payments of principal and interest thereon (not including any portion of such payments of interest accrued and unpaid as of the date of redemption) discounted to the redemption date on a quarterly basis (assuming a 360-day year consisting of twelve 30-day months) at the adjusted treasury rate, plus 50 basis points, plus accrued and unpaid interest thereon to the date of redemption.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-842010</wp:posOffset>
            </wp:positionH>
            <wp:positionV relativeFrom="paragraph">
              <wp:posOffset>478155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2">
            <w:col w:w="1240" w:space="92"/>
            <w:col w:w="10088"/>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will not be rated by any nationally recognized statistical rating organization</w:t>
      </w:r>
    </w:p>
    <w:p>
      <w:pPr>
        <w:spacing w:after="0" w:line="200" w:lineRule="exact"/>
        <w:rPr>
          <w:sz w:val="20"/>
          <w:szCs w:val="20"/>
          <w:color w:val="auto"/>
        </w:rPr>
      </w:pPr>
    </w:p>
    <w:p>
      <w:pPr>
        <w:sectPr>
          <w:pgSz w:w="11900" w:h="16838" w:orient="portrait"/>
          <w:cols w:equalWidth="0" w:num="2">
            <w:col w:w="2640" w:space="720"/>
            <w:col w:w="8020"/>
          </w:cols>
          <w:pgMar w:left="240" w:top="904" w:right="279"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Notes will not be listed on any securities exchange</w:t>
      </w:r>
    </w:p>
    <w:p>
      <w:pPr>
        <w:spacing w:after="0" w:line="200" w:lineRule="exact"/>
        <w:rPr>
          <w:sz w:val="20"/>
          <w:szCs w:val="20"/>
          <w:color w:val="auto"/>
        </w:rPr>
      </w:pPr>
    </w:p>
    <w:p>
      <w:pPr>
        <w:sectPr>
          <w:pgSz w:w="11900" w:h="16838" w:orient="portrait"/>
          <w:cols w:equalWidth="0" w:num="2">
            <w:col w:w="2640" w:space="720"/>
            <w:col w:w="8020"/>
          </w:cols>
          <w:pgMar w:left="240" w:top="904" w:right="27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CUSIP/ISIN:</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G37585 AC3 / USG 37585AC37</w:t>
      </w:r>
    </w:p>
    <w:p>
      <w:pPr>
        <w:spacing w:after="0" w:line="200" w:lineRule="exact"/>
        <w:rPr>
          <w:sz w:val="20"/>
          <w:szCs w:val="20"/>
          <w:color w:val="auto"/>
        </w:rPr>
      </w:pPr>
    </w:p>
    <w:p>
      <w:pPr>
        <w:sectPr>
          <w:pgSz w:w="11900" w:h="16838" w:orient="portrait"/>
          <w:cols w:equalWidth="0" w:num="2">
            <w:col w:w="2640" w:space="720"/>
            <w:col w:w="8020"/>
          </w:cols>
          <w:pgMar w:left="240" w:top="904" w:right="27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Stifel, Nicolaus &amp; Company, Incorporated</w:t>
      </w:r>
    </w:p>
    <w:p>
      <w:pPr>
        <w:spacing w:after="0" w:line="200" w:lineRule="exact"/>
        <w:rPr>
          <w:sz w:val="20"/>
          <w:szCs w:val="20"/>
          <w:color w:val="auto"/>
        </w:rPr>
      </w:pPr>
    </w:p>
    <w:p>
      <w:pPr>
        <w:sectPr>
          <w:pgSz w:w="11900" w:h="16838" w:orient="portrait"/>
          <w:cols w:equalWidth="0" w:num="2">
            <w:col w:w="2640" w:space="720"/>
            <w:col w:w="8020"/>
          </w:cols>
          <w:pgMar w:left="240" w:top="904" w:right="27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Arctic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DVB Capital Markets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Pareto Securities Inc.</w:t>
      </w:r>
    </w:p>
    <w:p>
      <w:pPr>
        <w:spacing w:after="0" w:line="200" w:lineRule="exact"/>
        <w:rPr>
          <w:sz w:val="20"/>
          <w:szCs w:val="20"/>
          <w:color w:val="auto"/>
        </w:rPr>
      </w:pPr>
    </w:p>
    <w:p>
      <w:pPr>
        <w:sectPr>
          <w:pgSz w:w="11900" w:h="16838" w:orient="portrait"/>
          <w:cols w:equalWidth="0" w:num="2">
            <w:col w:w="2640" w:space="720"/>
            <w:col w:w="8020"/>
          </w:cols>
          <w:pgMar w:left="240" w:top="904" w:right="27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17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All information (including financial information) presented in the Preliminary Prospectus is deemed to have changed to the extent affected by the changes described herein.</w:t>
      </w:r>
    </w:p>
    <w:p>
      <w:pPr>
        <w:spacing w:after="0" w:line="11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communication is intended for the sole use of the person to whom it is provided by us. This communication does not constitute an offer to sell the Notes and is not soliciting an offer to buy the Notes in any jurisdiction where the offer or sale is not permitted.</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obtain these documents for free by visiting EDGAR on the SEC website at www.sec.gov. Alternatively, the Issuer, any underwriter or any dealer participating in the offering will arrange to send you the prospectus if you request it by contacting DNB Markets, Inc. at 1-212-551-9814 or Stifel, Nicolaus &amp; Company, Incorporated at 1-855-300-7136.</w:t>
      </w:r>
    </w:p>
    <w:p>
      <w:pPr>
        <w:spacing w:after="0" w:line="1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490855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80"/>
      </w:cols>
      <w:pgMar w:left="240" w:top="904"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2019-12-07T16:45:53Z</dcterms:created>
  <dcterms:modified xsi:type="dcterms:W3CDTF">2019-12-07T16:45:53Z</dcterms:modified>
</cp:coreProperties>
</file>