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001-35466</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GasLog Ltd.</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Address: Gildo Pastor Center 7 Rue du Gabian</w:t>
      </w:r>
    </w:p>
    <w:p>
      <w:pPr>
        <w:spacing w:after="0" w:line="44" w:lineRule="exact"/>
        <w:rPr>
          <w:sz w:val="24"/>
          <w:szCs w:val="24"/>
          <w:color w:val="auto"/>
        </w:rPr>
      </w:pPr>
    </w:p>
    <w:tbl>
      <w:tblPr>
        <w:tblLayout w:type="fixed"/>
        <w:tblInd w:w="1740" w:type="dxa"/>
        <w:tblCellMar>
          <w:top w:w="0" w:type="dxa"/>
          <w:left w:w="0" w:type="dxa"/>
          <w:bottom w:w="0" w:type="dxa"/>
          <w:right w:w="0" w:type="dxa"/>
        </w:tblCellMar>
      </w:tblPr>
      <w:tr>
        <w:trPr>
          <w:trHeight w:val="274"/>
        </w:trPr>
        <w:tc>
          <w:tcPr>
            <w:tcW w:w="2800" w:type="dxa"/>
            <w:vAlign w:val="bottom"/>
          </w:tcPr>
          <w:p>
            <w:pPr>
              <w:ind w:left="1720"/>
              <w:spacing w:after="0"/>
              <w:rPr>
                <w:sz w:val="20"/>
                <w:szCs w:val="20"/>
                <w:color w:val="auto"/>
              </w:rPr>
            </w:pPr>
            <w:r>
              <w:rPr>
                <w:rFonts w:ascii="Arial" w:cs="Arial" w:eastAsia="Arial" w:hAnsi="Arial"/>
                <w:sz w:val="22"/>
                <w:szCs w:val="22"/>
                <w:color w:val="auto"/>
              </w:rPr>
              <w:t>Monaco</w:t>
            </w:r>
          </w:p>
        </w:tc>
        <w:tc>
          <w:tcPr>
            <w:tcW w:w="3740" w:type="dxa"/>
            <w:vAlign w:val="bottom"/>
          </w:tcPr>
          <w:p>
            <w:pPr>
              <w:jc w:val="right"/>
              <w:ind w:right="2332"/>
              <w:spacing w:after="0"/>
              <w:rPr>
                <w:sz w:val="20"/>
                <w:szCs w:val="20"/>
                <w:color w:val="auto"/>
              </w:rPr>
            </w:pPr>
            <w:r>
              <w:rPr>
                <w:rFonts w:ascii="Arial" w:cs="Arial" w:eastAsia="Arial" w:hAnsi="Arial"/>
                <w:sz w:val="22"/>
                <w:szCs w:val="22"/>
                <w:color w:val="auto"/>
              </w:rPr>
              <w:t>MC 98000</w:t>
            </w:r>
          </w:p>
        </w:tc>
      </w:tr>
      <w:tr>
        <w:trPr>
          <w:trHeight w:val="297"/>
        </w:trPr>
        <w:tc>
          <w:tcPr>
            <w:tcW w:w="2800" w:type="dxa"/>
            <w:vAlign w:val="bottom"/>
          </w:tcPr>
          <w:p>
            <w:pPr>
              <w:spacing w:after="0"/>
              <w:rPr>
                <w:sz w:val="20"/>
                <w:szCs w:val="20"/>
                <w:color w:val="auto"/>
              </w:rPr>
            </w:pPr>
            <w:r>
              <w:rPr>
                <w:rFonts w:ascii="Arial" w:cs="Arial" w:eastAsia="Arial" w:hAnsi="Arial"/>
                <w:sz w:val="22"/>
                <w:szCs w:val="22"/>
                <w:color w:val="auto"/>
              </w:rPr>
              <w:t>Telephone number:</w:t>
            </w:r>
          </w:p>
        </w:tc>
        <w:tc>
          <w:tcPr>
            <w:tcW w:w="3740" w:type="dxa"/>
            <w:vAlign w:val="bottom"/>
          </w:tcPr>
          <w:p>
            <w:pPr>
              <w:jc w:val="right"/>
              <w:spacing w:after="0"/>
              <w:rPr>
                <w:sz w:val="20"/>
                <w:szCs w:val="20"/>
                <w:color w:val="auto"/>
              </w:rPr>
            </w:pPr>
            <w:r>
              <w:rPr>
                <w:rFonts w:ascii="Arial" w:cs="Arial" w:eastAsia="Arial" w:hAnsi="Arial"/>
                <w:sz w:val="22"/>
                <w:szCs w:val="22"/>
                <w:color w:val="auto"/>
              </w:rPr>
              <w:t>+377 97 97 51 15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Issuer's principal</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executive offices)</w:t>
      </w:r>
    </w:p>
    <w:p>
      <w:pPr>
        <w:spacing w:after="0" w:line="26" w:lineRule="exact"/>
        <w:rPr>
          <w:sz w:val="24"/>
          <w:szCs w:val="24"/>
          <w:color w:val="auto"/>
        </w:rPr>
      </w:pPr>
    </w:p>
    <w:p>
      <w:pPr>
        <w:ind w:left="4300"/>
        <w:spacing w:after="0"/>
        <w:rPr>
          <w:sz w:val="20"/>
          <w:szCs w:val="20"/>
          <w:color w:val="auto"/>
        </w:rPr>
      </w:pPr>
      <w:r>
        <w:rPr>
          <w:rFonts w:ascii="Arial" w:cs="Arial" w:eastAsia="Arial" w:hAnsi="Arial"/>
          <w:sz w:val="22"/>
          <w:szCs w:val="22"/>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2021-06-09</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020"/>
              <w:spacing w:after="0"/>
              <w:rPr>
                <w:sz w:val="20"/>
                <w:szCs w:val="20"/>
                <w:color w:val="auto"/>
              </w:rPr>
            </w:pPr>
            <w:r>
              <w:rPr>
                <w:rFonts w:ascii="Arial" w:cs="Arial" w:eastAsia="Arial" w:hAnsi="Arial"/>
                <w:sz w:val="22"/>
                <w:szCs w:val="22"/>
                <w:color w:val="auto"/>
              </w:rPr>
              <w:t>Lauren Frawley</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Regulation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45"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21, 2021, pursuant to the provisions of Rule 12d2-2 (a). [ X ] 17 CFR 240.12d2-2(a)(3) That on June 09, 2021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GasLog Ltd. and BlackRock's Global Energy &amp; Power Infrastructure team became effective before market open on June 09, 2021. Each Common Share of GasLog Ltd. was converted into USD 5.80 in cash, without interest and less any applicable withholding taxes. The Exchange also notifies the Securities and Exchange Commission that as a result of the above indicated conditions this security was suspended from trading on June 09, 2021.</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5466" TargetMode="External"/><Relationship Id="rId10" Type="http://schemas.openxmlformats.org/officeDocument/2006/relationships/hyperlink" Target="http://www.sec.gov/cgi-bin/browse-edgar?action=getcompany&amp;CIK=0001534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2021-06-09T10:13:05Z</dcterms:created>
  <dcterms:modified xsi:type="dcterms:W3CDTF">2021-06-09T10:13:05Z</dcterms:modified>
</cp:coreProperties>
</file>