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Form 6-K</w:t>
            </w:r>
          </w:p>
        </w:tc>
        <w:tc>
          <w:tcPr>
            <w:tcW w:w="640" w:type="dxa"/>
            <w:vAlign w:val="bottom"/>
          </w:tcPr>
          <w:p>
            <w:pPr>
              <w:spacing w:after="0"/>
              <w:rPr>
                <w:sz w:val="20"/>
                <w:szCs w:val="20"/>
                <w:color w:val="auto"/>
              </w:rPr>
            </w:pPr>
          </w:p>
        </w:tc>
      </w:tr>
      <w:tr>
        <w:trPr>
          <w:trHeight w:val="414"/>
        </w:trPr>
        <w:tc>
          <w:tcPr>
            <w:tcW w:w="106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640" w:type="dxa"/>
            <w:vAlign w:val="bottom"/>
          </w:tcPr>
          <w:p>
            <w:pPr>
              <w:spacing w:after="0"/>
              <w:rPr>
                <w:sz w:val="24"/>
                <w:szCs w:val="24"/>
                <w:color w:val="auto"/>
              </w:rPr>
            </w:pPr>
          </w:p>
        </w:tc>
      </w:t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EXCHANGE ACT OF 1934</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64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640" w:type="dxa"/>
            <w:vAlign w:val="bottom"/>
          </w:tcPr>
          <w:p>
            <w:pPr>
              <w:spacing w:after="0"/>
              <w:rPr>
                <w:sz w:val="24"/>
                <w:szCs w:val="24"/>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GasLog Ltd.</w:t>
            </w:r>
          </w:p>
        </w:tc>
        <w:tc>
          <w:tcPr>
            <w:tcW w:w="640" w:type="dxa"/>
            <w:vAlign w:val="bottom"/>
          </w:tcPr>
          <w:p>
            <w:pPr>
              <w:spacing w:after="0"/>
              <w:rPr>
                <w:sz w:val="24"/>
                <w:szCs w:val="24"/>
                <w:color w:val="auto"/>
              </w:rPr>
            </w:pPr>
          </w:p>
        </w:tc>
      </w:tr>
      <w:tr>
        <w:trPr>
          <w:trHeight w:val="230"/>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1"/>
              </w:rPr>
              <w:t>(Translation of registrant’s name into English)</w:t>
            </w:r>
          </w:p>
        </w:tc>
        <w:tc>
          <w:tcPr>
            <w:tcW w:w="640" w:type="dxa"/>
            <w:vAlign w:val="bottom"/>
          </w:tcPr>
          <w:p>
            <w:pPr>
              <w:spacing w:after="0"/>
              <w:rPr>
                <w:sz w:val="20"/>
                <w:szCs w:val="20"/>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2"/>
              </w:rPr>
              <w:t>c/o GasLog LNG Services Ltd.</w:t>
            </w:r>
          </w:p>
        </w:tc>
        <w:tc>
          <w:tcPr>
            <w:tcW w:w="640" w:type="dxa"/>
            <w:vAlign w:val="bottom"/>
          </w:tcPr>
          <w:p>
            <w:pPr>
              <w:spacing w:after="0"/>
              <w:rPr>
                <w:sz w:val="24"/>
                <w:szCs w:val="24"/>
                <w:color w:val="auto"/>
              </w:rPr>
            </w:pPr>
          </w:p>
        </w:tc>
      </w:tr>
      <w:tr>
        <w:trPr>
          <w:trHeight w:val="216"/>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6"/>
              </w:rPr>
              <w:t>69 Akti Miaouli 18537</w:t>
            </w:r>
          </w:p>
        </w:tc>
        <w:tc>
          <w:tcPr>
            <w:tcW w:w="640" w:type="dxa"/>
            <w:vAlign w:val="bottom"/>
          </w:tcPr>
          <w:p>
            <w:pPr>
              <w:spacing w:after="0"/>
              <w:rPr>
                <w:sz w:val="18"/>
                <w:szCs w:val="18"/>
                <w:color w:val="auto"/>
              </w:rPr>
            </w:pPr>
          </w:p>
        </w:tc>
      </w:tr>
      <w:tr>
        <w:trPr>
          <w:trHeight w:val="216"/>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86"/>
              </w:rPr>
              <w:t>Piraeus Greece</w:t>
            </w:r>
          </w:p>
        </w:tc>
        <w:tc>
          <w:tcPr>
            <w:tcW w:w="640" w:type="dxa"/>
            <w:vAlign w:val="bottom"/>
          </w:tcPr>
          <w:p>
            <w:pPr>
              <w:spacing w:after="0"/>
              <w:rPr>
                <w:sz w:val="18"/>
                <w:szCs w:val="18"/>
                <w:color w:val="auto"/>
              </w:rPr>
            </w:pPr>
          </w:p>
        </w:tc>
      </w:tr>
      <w:tr>
        <w:trPr>
          <w:trHeight w:val="230"/>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2"/>
              </w:rPr>
              <w:t>(Address of principal executive office)</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64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o</w:t>
            </w: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o</w:t>
            </w:r>
          </w:p>
        </w:tc>
      </w:tr>
      <w:tr>
        <w:trPr>
          <w:trHeight w:val="348"/>
        </w:trPr>
        <w:tc>
          <w:tcPr>
            <w:tcW w:w="106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360" w:firstLine="356"/>
        <w:spacing w:after="0" w:line="293" w:lineRule="auto"/>
        <w:rPr>
          <w:sz w:val="20"/>
          <w:szCs w:val="20"/>
          <w:color w:val="auto"/>
        </w:rPr>
      </w:pPr>
      <w:r>
        <w:rPr>
          <w:rFonts w:ascii="Arial" w:cs="Arial" w:eastAsia="Arial" w:hAnsi="Arial"/>
          <w:sz w:val="16"/>
          <w:szCs w:val="16"/>
          <w:color w:val="auto"/>
        </w:rPr>
        <w:t>The press release issued by GasLog Ltd. on May 7, 2020 relating to its results for the first quarter of 2020 and the related financial report are attached hereto as Exhibits 99.1 and 99.2, respectively.</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333-194894 and 333-230205), initially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6040" w:type="dxa"/>
            <w:vAlign w:val="bottom"/>
          </w:tcPr>
          <w:p>
            <w:pPr>
              <w:ind w:left="4340"/>
              <w:spacing w:after="0"/>
              <w:rPr>
                <w:sz w:val="20"/>
                <w:szCs w:val="20"/>
                <w:color w:val="auto"/>
              </w:rPr>
            </w:pPr>
            <w:r>
              <w:rPr>
                <w:rFonts w:ascii="Arial" w:cs="Arial" w:eastAsia="Arial" w:hAnsi="Arial"/>
                <w:sz w:val="16"/>
                <w:szCs w:val="16"/>
                <w:color w:val="auto"/>
              </w:rPr>
              <w:t>EXHIBIT LIST</w:t>
            </w:r>
          </w:p>
        </w:tc>
      </w:tr>
      <w:tr>
        <w:trPr>
          <w:trHeight w:val="418"/>
        </w:trPr>
        <w:tc>
          <w:tcPr>
            <w:tcW w:w="780" w:type="dxa"/>
            <w:vAlign w:val="bottom"/>
          </w:tcPr>
          <w:p>
            <w:pPr>
              <w:spacing w:after="0"/>
              <w:rPr>
                <w:sz w:val="20"/>
                <w:szCs w:val="20"/>
                <w:color w:val="auto"/>
              </w:rPr>
            </w:pPr>
            <w:r>
              <w:rPr>
                <w:rFonts w:ascii="Arial" w:cs="Arial" w:eastAsia="Arial" w:hAnsi="Arial"/>
                <w:sz w:val="16"/>
                <w:szCs w:val="16"/>
                <w:color w:val="auto"/>
              </w:rPr>
              <w:t>Exhibit</w:t>
            </w:r>
          </w:p>
        </w:tc>
        <w:tc>
          <w:tcPr>
            <w:tcW w:w="6040" w:type="dxa"/>
            <w:vAlign w:val="bottom"/>
          </w:tcPr>
          <w:p>
            <w:pPr>
              <w:ind w:left="280"/>
              <w:spacing w:after="0"/>
              <w:rPr>
                <w:sz w:val="20"/>
                <w:szCs w:val="20"/>
                <w:color w:val="auto"/>
              </w:rPr>
            </w:pPr>
            <w:r>
              <w:rPr>
                <w:rFonts w:ascii="Arial" w:cs="Arial" w:eastAsia="Arial" w:hAnsi="Arial"/>
                <w:sz w:val="16"/>
                <w:szCs w:val="16"/>
                <w:color w:val="auto"/>
              </w:rPr>
              <w:t>Description</w:t>
            </w:r>
          </w:p>
        </w:tc>
      </w:tr>
      <w:tr>
        <w:trPr>
          <w:trHeight w:val="459"/>
        </w:trPr>
        <w:tc>
          <w:tcPr>
            <w:tcW w:w="780" w:type="dxa"/>
            <w:vAlign w:val="bottom"/>
          </w:tcPr>
          <w:p>
            <w:pPr>
              <w:spacing w:after="0"/>
              <w:rPr>
                <w:sz w:val="20"/>
                <w:szCs w:val="20"/>
                <w:color w:val="auto"/>
              </w:rPr>
            </w:pPr>
            <w:r>
              <w:rPr>
                <w:rFonts w:ascii="Arial" w:cs="Arial" w:eastAsia="Arial" w:hAnsi="Arial"/>
                <w:sz w:val="16"/>
                <w:szCs w:val="16"/>
                <w:color w:val="auto"/>
              </w:rPr>
              <w:t>99.1</w:t>
            </w:r>
          </w:p>
        </w:tc>
        <w:tc>
          <w:tcPr>
            <w:tcW w:w="6040" w:type="dxa"/>
            <w:vAlign w:val="bottom"/>
          </w:tcPr>
          <w:p>
            <w:pPr>
              <w:ind w:left="280"/>
              <w:spacing w:after="0"/>
              <w:rPr>
                <w:sz w:val="20"/>
                <w:szCs w:val="20"/>
                <w:color w:val="auto"/>
              </w:rPr>
            </w:pPr>
            <w:r>
              <w:rPr>
                <w:rFonts w:ascii="Arial" w:cs="Arial" w:eastAsia="Arial" w:hAnsi="Arial"/>
                <w:sz w:val="16"/>
                <w:szCs w:val="16"/>
                <w:color w:val="auto"/>
              </w:rPr>
              <w:t>Press Release dated May 7, 2020</w:t>
            </w:r>
          </w:p>
        </w:tc>
      </w:tr>
      <w:tr>
        <w:trPr>
          <w:trHeight w:val="459"/>
        </w:trPr>
        <w:tc>
          <w:tcPr>
            <w:tcW w:w="780" w:type="dxa"/>
            <w:vAlign w:val="bottom"/>
          </w:tcPr>
          <w:p>
            <w:pPr>
              <w:spacing w:after="0"/>
              <w:rPr>
                <w:sz w:val="20"/>
                <w:szCs w:val="20"/>
                <w:color w:val="auto"/>
              </w:rPr>
            </w:pPr>
            <w:r>
              <w:rPr>
                <w:rFonts w:ascii="Arial" w:cs="Arial" w:eastAsia="Arial" w:hAnsi="Arial"/>
                <w:sz w:val="16"/>
                <w:szCs w:val="16"/>
                <w:color w:val="auto"/>
              </w:rPr>
              <w:t>99.2</w:t>
            </w:r>
          </w:p>
        </w:tc>
        <w:tc>
          <w:tcPr>
            <w:tcW w:w="6040" w:type="dxa"/>
            <w:vAlign w:val="bottom"/>
          </w:tcPr>
          <w:p>
            <w:pPr>
              <w:ind w:left="280"/>
              <w:spacing w:after="0"/>
              <w:rPr>
                <w:sz w:val="20"/>
                <w:szCs w:val="20"/>
                <w:color w:val="auto"/>
              </w:rPr>
            </w:pPr>
            <w:r>
              <w:rPr>
                <w:rFonts w:ascii="Arial" w:cs="Arial" w:eastAsia="Arial" w:hAnsi="Arial"/>
                <w:sz w:val="16"/>
                <w:szCs w:val="16"/>
                <w:color w:val="auto"/>
              </w:rPr>
              <w:t>Financial Report for the Three Months Ended March 31, 2020</w:t>
            </w:r>
          </w:p>
        </w:tc>
      </w:tr>
      <w:tr>
        <w:trPr>
          <w:trHeight w:val="459"/>
        </w:trPr>
        <w:tc>
          <w:tcPr>
            <w:tcW w:w="780" w:type="dxa"/>
            <w:vAlign w:val="bottom"/>
          </w:tcPr>
          <w:p>
            <w:pPr>
              <w:spacing w:after="0"/>
              <w:rPr>
                <w:sz w:val="24"/>
                <w:szCs w:val="24"/>
                <w:color w:val="auto"/>
              </w:rPr>
            </w:pPr>
          </w:p>
        </w:tc>
        <w:tc>
          <w:tcPr>
            <w:tcW w:w="6040" w:type="dxa"/>
            <w:vAlign w:val="bottom"/>
          </w:tcPr>
          <w:p>
            <w:pPr>
              <w:ind w:left="28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5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Unaudited Condensed Consolidated Financial Statements</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46"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GASLOG LTD.,</w:t>
      </w:r>
    </w:p>
    <w:p>
      <w:pPr>
        <w:spacing w:after="0" w:line="275" w:lineRule="exact"/>
        <w:rPr>
          <w:sz w:val="20"/>
          <w:szCs w:val="20"/>
          <w:color w:val="auto"/>
        </w:rPr>
      </w:pPr>
    </w:p>
    <w:p>
      <w:pPr>
        <w:ind w:left="6000"/>
        <w:spacing w:after="0"/>
        <w:tabs>
          <w:tab w:leader="none" w:pos="6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Paul Wogan</w:t>
      </w:r>
    </w:p>
    <w:p>
      <w:pPr>
        <w:spacing w:after="0" w:line="35" w:lineRule="exact"/>
        <w:rPr>
          <w:sz w:val="20"/>
          <w:szCs w:val="20"/>
          <w:color w:val="auto"/>
        </w:rPr>
      </w:pPr>
    </w:p>
    <w:tbl>
      <w:tblPr>
        <w:tblLayout w:type="fixed"/>
        <w:tblInd w:w="6320" w:type="dxa"/>
        <w:tblCellMar>
          <w:top w:w="0" w:type="dxa"/>
          <w:left w:w="0" w:type="dxa"/>
          <w:bottom w:w="0" w:type="dxa"/>
          <w:right w:w="0" w:type="dxa"/>
        </w:tblCellMar>
      </w:tblPr>
      <w:tr>
        <w:trPr>
          <w:trHeight w:val="220"/>
        </w:trPr>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5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Wogan</w:t>
            </w:r>
          </w:p>
        </w:tc>
      </w:t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5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March 31, 2020</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Piraeus, Greece, May 7, 2020, GasLog Ltd. and its subsidiaries (“GasLog”, “Group” or “Company”) (NYSE: GLOG)</w:t>
      </w:r>
      <w:r>
        <w:rPr>
          <w:rFonts w:ascii="Arial" w:cs="Arial" w:eastAsia="Arial" w:hAnsi="Arial"/>
          <w:sz w:val="16"/>
          <w:szCs w:val="16"/>
          <w:color w:val="auto"/>
        </w:rPr>
        <w:t>, an international owner, operator and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of liquefied natural gas (“LNG”) carriers, today reported its financial results for the quarter ended March 31, 2020.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700" w:right="420" w:hanging="692"/>
        <w:spacing w:after="0" w:line="284" w:lineRule="auto"/>
        <w:tabs>
          <w:tab w:leader="none" w:pos="70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Dedicated COVID-19 task force established to manage the impact of COVID-19 on all aspects of our business and operations and to review and update our business continuity plan as required, including strict guidelines regarding access to all vessels and a company-wide “work from home” policy.</w:t>
      </w:r>
    </w:p>
    <w:p>
      <w:pPr>
        <w:ind w:left="700" w:right="720" w:hanging="692"/>
        <w:spacing w:after="0" w:line="264"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on April 1, 2020, a 180,000 cubic meters (“cbm”) LNG carrier with dual fuel medium speed propulsion (“X-DF”) and commencement of its seven-year time charter agreement with a wholly owned subsidiary of Centrica plc. (“Centrica”).</w:t>
      </w:r>
    </w:p>
    <w:p>
      <w:pPr>
        <w:ind w:left="700" w:right="80" w:hanging="692"/>
        <w:spacing w:after="0" w:line="264"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Announcement by Gastrade S.A. (“Gastrade”) of the successful conclusion of the binding phase of the market test for reservation of capacity at the floating LNG terminal being developed in Alexandroupolis. This reservation of up to 2.6 billion cubic meters (“cbm”) of capacity for periods out to 15 years represents a key milestone for the project.</w:t>
      </w:r>
    </w:p>
    <w:p>
      <w:pPr>
        <w:ind w:left="700" w:hanging="692"/>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Repurchase and cancellation of NOK 434,000 of the outstanding senior unsecured bonds due in May 2021 (the “NOK 2021 Bonds”).</w:t>
      </w:r>
    </w:p>
    <w:p>
      <w:pPr>
        <w:spacing w:after="0" w:line="18" w:lineRule="exact"/>
        <w:rPr>
          <w:rFonts w:ascii="Arial" w:cs="Arial" w:eastAsia="Arial" w:hAnsi="Arial"/>
          <w:sz w:val="16"/>
          <w:szCs w:val="16"/>
          <w:color w:val="auto"/>
        </w:rPr>
      </w:pPr>
    </w:p>
    <w:p>
      <w:pPr>
        <w:ind w:left="700" w:right="280" w:hanging="692"/>
        <w:spacing w:after="0" w:line="264"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Scheduled delivery for May 11, 2020, of the </w:t>
      </w:r>
      <w:r>
        <w:rPr>
          <w:rFonts w:ascii="Arial" w:cs="Arial" w:eastAsia="Arial" w:hAnsi="Arial"/>
          <w:sz w:val="16"/>
          <w:szCs w:val="16"/>
          <w:i w:val="1"/>
          <w:iCs w:val="1"/>
          <w:color w:val="auto"/>
        </w:rPr>
        <w:t>GasLog Wales</w:t>
      </w:r>
      <w:r>
        <w:rPr>
          <w:rFonts w:ascii="Arial" w:cs="Arial" w:eastAsia="Arial" w:hAnsi="Arial"/>
          <w:sz w:val="16"/>
          <w:szCs w:val="16"/>
          <w:color w:val="auto"/>
        </w:rPr>
        <w:t>, a 180,000 cbm LNG carrier with X-DF propulsion and commencement of its 12-year time charter agreement with the principal LNG shipping entity of Japan’s Jera Co., Inc. (“JERA”).</w:t>
      </w:r>
    </w:p>
    <w:p>
      <w:pPr>
        <w:ind w:left="700" w:hanging="692"/>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Contracted time charter revenues of approximately $430.0 million for the remainder of 2020, representing 77.0% charter coverage.</w:t>
      </w:r>
    </w:p>
    <w:p>
      <w:pPr>
        <w:spacing w:after="0" w:line="18" w:lineRule="exact"/>
        <w:rPr>
          <w:rFonts w:ascii="Arial" w:cs="Arial" w:eastAsia="Arial" w:hAnsi="Arial"/>
          <w:sz w:val="16"/>
          <w:szCs w:val="16"/>
          <w:color w:val="auto"/>
        </w:rPr>
      </w:pPr>
    </w:p>
    <w:p>
      <w:pPr>
        <w:ind w:left="700" w:hanging="692"/>
        <w:spacing w:after="0" w:line="211"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Revenues of $165.9 million, Loss of ($39.4) million and Loss per share of ($0.67)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quarter ended March 31, 2020.</w:t>
      </w:r>
    </w:p>
    <w:p>
      <w:pPr>
        <w:ind w:left="700" w:hanging="692"/>
        <w:spacing w:after="0" w:line="222"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$114.0 million,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$26.8 million and Adjusted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$0.15</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quarter ended March 31, 2020.</w:t>
      </w:r>
    </w:p>
    <w:p>
      <w:pPr>
        <w:spacing w:after="0" w:line="1" w:lineRule="exact"/>
        <w:rPr>
          <w:rFonts w:ascii="Arial" w:cs="Arial" w:eastAsia="Arial" w:hAnsi="Arial"/>
          <w:sz w:val="16"/>
          <w:szCs w:val="16"/>
          <w:color w:val="auto"/>
        </w:rPr>
      </w:pPr>
    </w:p>
    <w:p>
      <w:pPr>
        <w:ind w:left="700" w:hanging="692"/>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Reduced quarterly dividend of $0.05 per common share payable on May 28, 2020.</w:t>
      </w:r>
    </w:p>
    <w:p>
      <w:pPr>
        <w:spacing w:after="0" w:line="200" w:lineRule="exact"/>
        <w:rPr>
          <w:sz w:val="20"/>
          <w:szCs w:val="20"/>
          <w:color w:val="auto"/>
        </w:rPr>
      </w:pPr>
    </w:p>
    <w:p>
      <w:pPr>
        <w:spacing w:after="0" w:line="224" w:lineRule="exact"/>
        <w:rPr>
          <w:sz w:val="20"/>
          <w:szCs w:val="20"/>
          <w:color w:val="auto"/>
        </w:rPr>
      </w:pPr>
    </w:p>
    <w:p>
      <w:pPr>
        <w:ind w:left="140" w:right="80" w:hanging="132"/>
        <w:spacing w:after="0" w:line="230"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Earnings/(loss) per share (“EPS”) and Adjusted EPS are net of the profit attributable to the non-controlling interests of $12.0 million and the dividend on preferred stock of $2.5 million for the quarter ended March 31, 2020 ($16.8 million and $2.5 million, respectively, for the quarter ended March 31, 2019).</w:t>
      </w:r>
    </w:p>
    <w:p>
      <w:pPr>
        <w:spacing w:after="0" w:line="182" w:lineRule="exact"/>
        <w:rPr>
          <w:rFonts w:ascii="Arial" w:cs="Arial" w:eastAsia="Arial" w:hAnsi="Arial"/>
          <w:sz w:val="17"/>
          <w:szCs w:val="17"/>
          <w:color w:val="auto"/>
          <w:vertAlign w:val="superscript"/>
        </w:rPr>
      </w:pPr>
    </w:p>
    <w:p>
      <w:pPr>
        <w:ind w:left="140" w:right="140" w:hanging="132"/>
        <w:spacing w:after="0" w:line="238" w:lineRule="auto"/>
        <w:tabs>
          <w:tab w:leader="none" w:pos="145"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Paul Wogan, Chief Executive Officer, stated: “GasLog’s business model and strategy demonstrated its resilience in the first quarter of 2020, despite the challenges imposed by the COVID-19 outbreak. Our proactive approach to mitigating the impact of the outbreak on our seafarers and onshore staff allowed the Company to deliver uninterrupted service for our customers with fleet availability of close to 100%. I have been deeply impressed with the dedication and hard work of our employees, and I am especially grateful to our seafarers for their commitment and professionalism while apart from their loved ones.</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In light of the uncertainties created by the current environment, we have taken actions to improve our liquidity, including drawing on our existing revolving capacity of $100.0 million as well as reducing our dividend for the first quarter of 2020 to $0.05 per share. We continue to expect to realise approximately $6.0 million of general and administrative cost reductions in 2021, resulting from the personnel relocations and headcount reductions announced earlier this year. We also anticipate finding additional ways to reduce meaningfully our operating and overhead expenses.</w:t>
      </w:r>
    </w:p>
    <w:p>
      <w:pPr>
        <w:spacing w:after="0" w:line="189"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 xml:space="preserve">Although the COVID-19 outbreak creates an uncertain outlook for near term economic activity and LNG demand, underlying demand for LNG has held up well in 2020 to date and I have been pleased with the utilisation we have achieved with our vessels operating in the spot market. We have also had several positive commercial and operational developments in recent weeks, including the delivery of the </w:t>
      </w:r>
      <w:r>
        <w:rPr>
          <w:rFonts w:ascii="Arial" w:cs="Arial" w:eastAsia="Arial" w:hAnsi="Arial"/>
          <w:sz w:val="15"/>
          <w:szCs w:val="15"/>
          <w:i w:val="1"/>
          <w:iCs w:val="1"/>
          <w:color w:val="auto"/>
        </w:rPr>
        <w:t>GasLog Windsor</w:t>
      </w:r>
      <w:r>
        <w:rPr>
          <w:rFonts w:ascii="Arial" w:cs="Arial" w:eastAsia="Arial" w:hAnsi="Arial"/>
          <w:sz w:val="15"/>
          <w:szCs w:val="15"/>
          <w:color w:val="auto"/>
        </w:rPr>
        <w:t xml:space="preserve"> which delivered last month on time and on budget. The vessel is chartered for seven years to Centrica, providing added visibility for our future revenues and cash flows. In addition, the Alexandroupolis Floating Storage and Regasification Unit (“FSRU”) project in northern Greece successfully completed its second and binding market test, an important milestone toward the sanctioning of the project.”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GasLog’s main focus is on securing the health and safety of our employees and ensuring safe and reliable operations for our customers. To date, there have been no confirmed cases of COVID-19 infection amongst sea-going or shore-based personnel. During 2020 to date, extensive measures have been taken to limit the impact of COVID-19 on GasLog’s business. These include:</w:t>
      </w:r>
    </w:p>
    <w:p>
      <w:pPr>
        <w:spacing w:after="0" w:line="198" w:lineRule="exact"/>
        <w:rPr>
          <w:sz w:val="20"/>
          <w:szCs w:val="20"/>
          <w:color w:val="auto"/>
        </w:rPr>
      </w:pPr>
    </w:p>
    <w:p>
      <w:pPr>
        <w:ind w:left="660" w:right="60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6"/>
          <w:szCs w:val="16"/>
          <w:color w:val="auto"/>
        </w:rPr>
        <w:t>A dedicated task force established to manage the impact of COVID-19 on all aspects of our business and operations and to review and amend our business continuity plan as required;</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6"/>
          <w:szCs w:val="16"/>
          <w:color w:val="auto"/>
        </w:rPr>
        <w:t>A company-wide “work from home” policy instituted for all onshore employees;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6"/>
          <w:szCs w:val="16"/>
          <w:color w:val="auto"/>
        </w:rPr>
        <w:t>Strict guidelines imposed, restricting access to all vessels and suspending shore leave and crew changes from mid-March 2020.</w:t>
      </w:r>
    </w:p>
    <w:p>
      <w:pPr>
        <w:sectPr>
          <w:pgSz w:w="11900" w:h="16838" w:orient="portrait"/>
          <w:cols w:equalWidth="0" w:num="1">
            <w:col w:w="11240"/>
          </w:cols>
          <w:pgMar w:left="320" w:top="126"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line="278" w:lineRule="auto"/>
        <w:rPr>
          <w:sz w:val="20"/>
          <w:szCs w:val="20"/>
          <w:color w:val="auto"/>
        </w:rPr>
      </w:pPr>
      <w:r>
        <w:rPr>
          <w:rFonts w:ascii="Arial" w:cs="Arial" w:eastAsia="Arial" w:hAnsi="Arial"/>
          <w:sz w:val="16"/>
          <w:szCs w:val="16"/>
          <w:color w:val="auto"/>
        </w:rPr>
        <w:t>As a result of these measures and the dedication of our employees onshore and aboard our vessels, approximately 100% of our fleet continues to be available for commercial use. These measures have also allowed GasLog to opportunistically bring forward the scheduled dry-dockings of three vessels such that their dry-dockings were completed entirely during the slowdown of LNG trade in February and March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Given the continuing impact of COVID-19 on economic activity and energy demand, there is uncertainty regarding future LNG demand and, consequently, near-term LNG shipping requirements.</w:t>
      </w:r>
    </w:p>
    <w:p>
      <w:pPr>
        <w:spacing w:after="0" w:line="185" w:lineRule="exact"/>
        <w:rPr>
          <w:sz w:val="20"/>
          <w:szCs w:val="20"/>
          <w:color w:val="auto"/>
        </w:rPr>
      </w:pPr>
    </w:p>
    <w:p>
      <w:pPr>
        <w:ind w:left="66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6"/>
          <w:szCs w:val="16"/>
          <w:color w:val="auto"/>
        </w:rPr>
        <w:t>To date, we have not experienced any disruption to the charter parties, including contracted revenues, for our term- or spot-chartered vessels, as a result of COVID-19;</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vessels operating in the spot and short-term market are currently chartered through to at least June 2020; and</w:t>
      </w:r>
    </w:p>
    <w:p>
      <w:pPr>
        <w:spacing w:after="0" w:line="9" w:lineRule="exact"/>
        <w:rPr>
          <w:rFonts w:ascii="Arial" w:cs="Arial" w:eastAsia="Arial" w:hAnsi="Arial"/>
          <w:sz w:val="18"/>
          <w:szCs w:val="18"/>
          <w:color w:val="auto"/>
        </w:rPr>
      </w:pPr>
    </w:p>
    <w:p>
      <w:pPr>
        <w:ind w:left="660" w:right="260" w:hanging="328"/>
        <w:spacing w:after="0" w:line="263"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may lead to greater volatility in spot rates and to lower utilization of vessels trading in the spot and short-term markets.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significant impact on the global capital and bank credit markets, including access to and cost of liquidity.</w:t>
      </w:r>
    </w:p>
    <w:p>
      <w:pPr>
        <w:spacing w:after="0" w:line="248" w:lineRule="exact"/>
        <w:rPr>
          <w:sz w:val="20"/>
          <w:szCs w:val="20"/>
          <w:color w:val="auto"/>
        </w:rPr>
      </w:pPr>
    </w:p>
    <w:p>
      <w:pPr>
        <w:ind w:left="660" w:right="100" w:hanging="328"/>
        <w:spacing w:after="0" w:line="25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recent fall in interest rates and the Norwegian Krone/U.S. Dollar exchange rate as a result of central bank measures to support economies affected by the COVID-19 pandemic and the significant fall in oil prices, respectively, have resulted in an increase in the mark-to-market derivative liabilities with respect to our derivative instruments and a significant increase in cash collateral posted with our swaps counterparties which amounted to $81.2 million as of March 31, 2020; and</w:t>
      </w:r>
    </w:p>
    <w:p>
      <w:pPr>
        <w:spacing w:after="0" w:line="10" w:lineRule="exact"/>
        <w:rPr>
          <w:rFonts w:ascii="Arial" w:cs="Arial" w:eastAsia="Arial" w:hAnsi="Arial"/>
          <w:sz w:val="18"/>
          <w:szCs w:val="18"/>
          <w:color w:val="auto"/>
        </w:rPr>
      </w:pPr>
    </w:p>
    <w:p>
      <w:pPr>
        <w:jc w:val="both"/>
        <w:ind w:left="660" w:right="80" w:hanging="328"/>
        <w:spacing w:after="0" w:line="262"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There have been no other material impacts to date of the COVID-19 pandemic on our financial position and we are continuing the process of refinancing our bank loans maturing in April and July 2021. We are also in discussion with our swaps counterparties in order to identify and execute measures to reduce cash collateral posted under the existing interest rate and cross-currency swaps.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LNG demand faced several headwinds in the first quarter of 2020 including a warmer than average winter in the northern hemisphere, high inventory levels of natural gas and LNG in several of the largest end markets for LNG and the outbreak of COVID-19, the impact of which has had an uneven distribution around the world during the year to date. For example, Chinese demand was 15 million tonnes (“mt”) in the first quarter of 2020, a decrease of 5% over the first quarter of 2019, according to Poten, but apparent demand in April has increased year-on-year based on vessel tracking data, including several cargoes exported from the U.S.. Meanwhile, demand from Northern Asia more broadly (Japan, China, South Korea and Taiwan) grew by approximately 1 mt in the first quarter or 3% year-over-year. In addition, demand from India grew by nearly 2 mt in the first quarter of 2020 (or 37%) as the country looked to take advantage of historically low gas prices, although apparent demand in April is likely to be lower year-on-year based on vessel tracking data. Finally, demand from Europe grew by over 4 mt (or 37%) as gas pricing favored coal-to-gas switching for power generation and LNG replaces indigenous gas production. In total, LNG demand was 98 mt in the first quarter of 2020, compared to 89 mt in the first quarter of 2019, or an increase of 10%.</w:t>
      </w:r>
    </w:p>
    <w:p>
      <w:pPr>
        <w:spacing w:after="0" w:line="196" w:lineRule="exact"/>
        <w:rPr>
          <w:sz w:val="20"/>
          <w:szCs w:val="20"/>
          <w:color w:val="auto"/>
        </w:rPr>
      </w:pPr>
    </w:p>
    <w:p>
      <w:pPr>
        <w:ind w:right="140"/>
        <w:spacing w:after="0" w:line="318" w:lineRule="auto"/>
        <w:rPr>
          <w:sz w:val="20"/>
          <w:szCs w:val="20"/>
          <w:color w:val="auto"/>
        </w:rPr>
      </w:pPr>
      <w:r>
        <w:rPr>
          <w:rFonts w:ascii="Arial" w:cs="Arial" w:eastAsia="Arial" w:hAnsi="Arial"/>
          <w:sz w:val="14"/>
          <w:szCs w:val="14"/>
          <w:color w:val="auto"/>
        </w:rPr>
        <w:t>Wood Mackenzie currently expects global LNG demand to grow 21 mt or 6% this year, slower than the 26 mt or 7% it anticipated earlier this year prior to the global outbreak of COVID-19. Nonetheless, the demand for LNG over the near-term continues to be uncertain as many LNG importing countries either continue to have in effect shelter-in-place orders which prevent the operation of businesses deemed to be “non-essential” or are in the early stages of reopening their economies. Consequently, measures of global economic activity have declined significantly from comparable periods in 2019. However, the longer-term outlook for LNG demand remains favorable with demand growth of 92 mt estimated over the 2019-2025 timeframe, or compound annual growth of approximately 4%, according to Wood Mackenzie.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Global LNG supply was approximately 98 mt in the first quarter of 2020, an increase of 10 mt over the first quarter of 2019 (or 11%), primarily due to new supply additions in the U.S. (Cameron T1 and T2, Freeport T1, T2 and T3 and Elba Island), according to estimates from Wood Mackenzie. LNG supply is estimated to grow by 22 mt this year as the third train of Cameron begins operations and recent capacity additions continue to increase production. Further ahead, approximately 97 mt of new LNG capacity is expected to begin production during 2021-2025. However, Wood Mackenzie expects the pace of new project sanctions to slow significantly in 2020 due to the uncertainties caused by the COVID-19 outbreak in long-term demand for LNG and low global energy prices, in particular crude oil prices due to oversupply following a collapse in oil demand due to the COVID-19 virus.</w:t>
      </w:r>
    </w:p>
    <w:p>
      <w:pPr>
        <w:spacing w:after="0" w:line="19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the LNG shipping spot market, tri-fuel diesel electric vessel (“TFDE”) headline rates, as reported by Clarksons, averaged $57,000 per day in the first quarter of 2020, a decrease from the averages of $108,000 in the fourth quarter of 2019 and $59,500 in the first quarter of 2019. Headline spot rates for steam turbine propulsion (“Steam”) vessels averaged $40,000 per day in the first quarter of 2020, a decrease from the average of $78,000 per day in the fourth quarter of 2019 but approximately in line with the $39,000 per day observed in the first quarter of 2019. Slower than expected LNG demand growth due in part to the impact of COVID-19 (as detailed above), high global inventories of natural gas and LNG following a warmer than average winter in the Northern Hemisphere and limited opportunities for LNG arbitrage trading between Atlantic and Pacific basins impacted headline spot rates in the first quarter of 2020.</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Clarksons currently assesses headline spot rates for TFDE and Steam LNG carriers at $32,500 per day and $23,000 per day, respectively. The COVID-19 outbreak has introduced significant uncertainty regarding demand for LNG, and consequently, demand for LNG shipping over the near term. The combined impact of the COVID-19 outbreak and normal seasonality may lead to greater volatility in spot rates and to lower utilization of vessels trading in the spot and short-term markets, in particular Steam vessels. In addition, global gas prices and gas price differentials remain near historic lows in the key markets of North Asia and Europe, limiting the opportunities for inter-basin arbitrage trading and likely reducing average voyage distances as well as potentially reducing global output of LNG over the near-term, particularly in the U.S., where a number of cargo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deferrals and/or cancellations have been reported for this summer.</w:t>
      </w:r>
    </w:p>
    <w:p>
      <w:pPr>
        <w:spacing w:after="0" w:line="235" w:lineRule="exact"/>
        <w:rPr>
          <w:sz w:val="20"/>
          <w:szCs w:val="20"/>
          <w:color w:val="auto"/>
        </w:rPr>
      </w:pPr>
    </w:p>
    <w:p>
      <w:pPr>
        <w:jc w:val="both"/>
        <w:ind w:right="240"/>
        <w:spacing w:after="0" w:line="305" w:lineRule="auto"/>
        <w:rPr>
          <w:sz w:val="20"/>
          <w:szCs w:val="20"/>
          <w:color w:val="auto"/>
        </w:rPr>
      </w:pPr>
      <w:r>
        <w:rPr>
          <w:rFonts w:ascii="Arial" w:cs="Arial" w:eastAsia="Arial" w:hAnsi="Arial"/>
          <w:sz w:val="15"/>
          <w:szCs w:val="15"/>
          <w:color w:val="auto"/>
        </w:rPr>
        <w:t>As of May 5, 2020, the orderbook totals 118 dedicated LNG carriers (&gt;100,000 cbm), according to estimates from Poten, representing 22% of the on-the-water fleet. Of these, 74 vessels (or 63%) have multi-year charters. The pace of newbuild ordering has slowed significantly relative to 2018-19, with only 4 newbuildings ordered so far in 2020 and all of them ordered against multi-year contracts, an encouraging development for the future supply and demand balance of LNG carriers.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On 23 December 2019, the board of directors of the Public Gas Corporation in Greece (“DEPA”) approved the acquisition of a 20% stake in Gastrade, which was completed in early 2020. Through this participation, DEPA assumes an active role in the implementation of the project together with the existing shareholders.</w:t>
      </w:r>
    </w:p>
    <w:p>
      <w:pPr>
        <w:spacing w:after="0" w:line="150"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On March 26, 2020, Gastrade announced the successful conclusion of the binding phase of the market test for reservation of capacity at the floating LNG terminal being developed at Alexandroupolis in northern Greece. This reservation of up to 2.6 billion cbm of capacity for periods out to 15 years represents a key milestone for the project.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Windsor</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On April 1, 2020, GasLog took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a 180,000 cbm LNG carrier with X-DF propulsion constructed by Samsung Heavy Industries Co., Ltd. (“Samsung”). Despite the industrial disruption in South Korea caused by the COVID-19 outbreak, the vessel was delivered on time and on budget. Upon delivery, the vessel immediately commenced its seven-year charter with Centrica.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Wales</w:t>
      </w:r>
    </w:p>
    <w:p>
      <w:pPr>
        <w:spacing w:after="0" w:line="23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On May 11, 2020, GasLog is scheduled to take delivery of the </w:t>
      </w:r>
      <w:r>
        <w:rPr>
          <w:rFonts w:ascii="Arial" w:cs="Arial" w:eastAsia="Arial" w:hAnsi="Arial"/>
          <w:sz w:val="16"/>
          <w:szCs w:val="16"/>
          <w:i w:val="1"/>
          <w:iCs w:val="1"/>
          <w:color w:val="auto"/>
        </w:rPr>
        <w:t>GasLog Wales</w:t>
      </w:r>
      <w:r>
        <w:rPr>
          <w:rFonts w:ascii="Arial" w:cs="Arial" w:eastAsia="Arial" w:hAnsi="Arial"/>
          <w:sz w:val="16"/>
          <w:szCs w:val="16"/>
          <w:color w:val="auto"/>
        </w:rPr>
        <w:t>, a 180,000 cbm LNG carrier with X-DF propulsion constructed by Samsung. Upon delivery, the vessel will immediately commence its 12-year charter with JERA.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460"/>
        <w:spacing w:after="0" w:line="328" w:lineRule="auto"/>
        <w:rPr>
          <w:sz w:val="20"/>
          <w:szCs w:val="20"/>
          <w:color w:val="auto"/>
        </w:rPr>
      </w:pPr>
      <w:r>
        <w:rPr>
          <w:rFonts w:ascii="Arial" w:cs="Arial" w:eastAsia="Arial" w:hAnsi="Arial"/>
          <w:sz w:val="15"/>
          <w:szCs w:val="15"/>
          <w:color w:val="auto"/>
        </w:rPr>
        <w:t>On March 12, 2020, the board of directors declared a dividend on the Series A Preference Shares of $0.546875 per share, or $2.5 million in the aggregate, payable on April 1, 2020 to holders of record as of March 31, 2020. GasLog paid the declared dividend to the transfer agent on April 1, 2020.</w:t>
      </w:r>
    </w:p>
    <w:p>
      <w:pPr>
        <w:spacing w:after="0" w:line="15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On May 6, 2020, the board of directors declared a quarterly cash dividend of $0.05 per common share, or $4.0 million in the aggregate, payable on May 28, 2020 to shareholders of record as of May 18,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Office Relocation Update</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November 2019, GasLog announced plans to relocate more of its employees including several members of senior management to Piraeus, Greece, home of our operational platform, in order to enhance execution, efficiency and operational excellence and to reduce overheads. These plans are being executed as scheduled and will be fully implemented in the second half of 2020, generating annualized general and administrative savings of $6.0 million with effect from 2021. For the quarter and the year ended December 31, 2019, the Group had recognized total restructuring costs of $4.7 million, the majority of which will be paid in 2020. In the three months ended March 31, 2020, additional restructuring costs of $0.4 million were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Chief Financial Officer (“CFO”) Transition</w:t>
      </w:r>
    </w:p>
    <w:p>
      <w:pPr>
        <w:spacing w:after="0" w:line="239"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Alastair Maxwell, CFO of GasLog and GasLog Partners, has informed the Company that, as a result of the relocation of his role to Piraeus, Greece, he will be stepping down from his position on June 30, 2020. Achilleas Tasioulas, currently Deputy CFO, will assume the responsibilities of CFO of GasLog and GasLog Partners on July 1, 2020. Please see the separate press release of today’s date on this matter.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w w:val="92"/>
              </w:rPr>
              <w:t>For the three months ended</w:t>
            </w: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 except per share data</w:t>
            </w:r>
          </w:p>
        </w:tc>
        <w:tc>
          <w:tcPr>
            <w:tcW w:w="640" w:type="dxa"/>
            <w:vAlign w:val="bottom"/>
          </w:tcPr>
          <w:p>
            <w:pPr>
              <w:spacing w:after="0"/>
              <w:rPr>
                <w:sz w:val="24"/>
                <w:szCs w:val="24"/>
                <w:color w:val="auto"/>
              </w:rPr>
            </w:pPr>
          </w:p>
        </w:tc>
        <w:tc>
          <w:tcPr>
            <w:tcW w:w="216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March 31, 2019</w:t>
            </w:r>
          </w:p>
        </w:tc>
        <w:tc>
          <w:tcPr>
            <w:tcW w:w="14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13"/>
        </w:trPr>
        <w:tc>
          <w:tcPr>
            <w:tcW w:w="77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640" w:type="dxa"/>
            <w:vAlign w:val="bottom"/>
            <w:tcBorders>
              <w:top w:val="single" w:sz="8" w:color="auto"/>
            </w:tcBorders>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4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spacing w:after="0"/>
              <w:rPr>
                <w:sz w:val="20"/>
                <w:szCs w:val="20"/>
                <w:color w:val="auto"/>
              </w:rPr>
            </w:pPr>
            <w:r>
              <w:rPr>
                <w:rFonts w:ascii="Arial" w:cs="Arial" w:eastAsia="Arial" w:hAnsi="Arial"/>
                <w:sz w:val="16"/>
                <w:szCs w:val="16"/>
                <w:color w:val="auto"/>
              </w:rPr>
              <w:t>Profit/(loss) for the period</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5,899</w:t>
            </w:r>
          </w:p>
        </w:tc>
        <w:tc>
          <w:tcPr>
            <w:tcW w:w="40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(39,437)</w:t>
            </w:r>
          </w:p>
        </w:tc>
        <w:tc>
          <w:tcPr>
            <w:tcW w:w="0" w:type="dxa"/>
            <w:vAlign w:val="bottom"/>
          </w:tcPr>
          <w:p>
            <w:pPr>
              <w:spacing w:after="0"/>
              <w:rPr>
                <w:sz w:val="1"/>
                <w:szCs w:val="1"/>
                <w:color w:val="auto"/>
              </w:rPr>
            </w:pPr>
          </w:p>
        </w:tc>
      </w:tr>
      <w:tr>
        <w:trPr>
          <w:trHeight w:val="233"/>
        </w:trPr>
        <w:tc>
          <w:tcPr>
            <w:tcW w:w="7700" w:type="dxa"/>
            <w:vAlign w:val="bottom"/>
            <w:gridSpan w:val="2"/>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6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28,140</w:t>
            </w:r>
          </w:p>
        </w:tc>
        <w:tc>
          <w:tcPr>
            <w:tcW w:w="400" w:type="dxa"/>
            <w:vAlign w:val="bottom"/>
            <w:shd w:val="clear" w:color="auto" w:fill="E5FFFF"/>
          </w:tcPr>
          <w:p>
            <w:pPr>
              <w:spacing w:after="0"/>
              <w:rPr>
                <w:sz w:val="20"/>
                <w:szCs w:val="20"/>
                <w:color w:val="auto"/>
              </w:rPr>
            </w:pPr>
          </w:p>
        </w:tc>
        <w:tc>
          <w:tcPr>
            <w:tcW w:w="800" w:type="dxa"/>
            <w:vAlign w:val="bottom"/>
            <w:shd w:val="clear" w:color="auto" w:fill="E5FF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26,790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109,940</w:t>
            </w:r>
          </w:p>
        </w:tc>
        <w:tc>
          <w:tcPr>
            <w:tcW w:w="40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113,970</w:t>
            </w:r>
          </w:p>
        </w:tc>
        <w:tc>
          <w:tcPr>
            <w:tcW w:w="0" w:type="dxa"/>
            <w:vAlign w:val="bottom"/>
          </w:tcPr>
          <w:p>
            <w:pPr>
              <w:spacing w:after="0"/>
              <w:rPr>
                <w:sz w:val="1"/>
                <w:szCs w:val="1"/>
                <w:color w:val="auto"/>
              </w:rPr>
            </w:pPr>
          </w:p>
        </w:tc>
      </w:tr>
      <w:tr>
        <w:trPr>
          <w:trHeight w:val="229"/>
        </w:trPr>
        <w:tc>
          <w:tcPr>
            <w:tcW w:w="7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 attributable to the owners of GasLog</w:t>
            </w:r>
          </w:p>
        </w:tc>
        <w:tc>
          <w:tcPr>
            <w:tcW w:w="6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(10,947)</w:t>
            </w:r>
          </w:p>
        </w:tc>
        <w:tc>
          <w:tcPr>
            <w:tcW w:w="800" w:type="dxa"/>
            <w:vAlign w:val="bottom"/>
            <w:shd w:val="clear" w:color="auto" w:fill="E5FF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7"/>
              </w:rPr>
              <w:t>(51,479)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00" w:type="dxa"/>
            <w:vAlign w:val="bottom"/>
            <w:gridSpan w:val="2"/>
          </w:tcPr>
          <w:p>
            <w:pPr>
              <w:spacing w:after="0"/>
              <w:rPr>
                <w:sz w:val="20"/>
                <w:szCs w:val="20"/>
                <w:color w:val="auto"/>
              </w:rPr>
            </w:pPr>
            <w:r>
              <w:rPr>
                <w:rFonts w:ascii="Arial" w:cs="Arial" w:eastAsia="Arial" w:hAnsi="Arial"/>
                <w:sz w:val="16"/>
                <w:szCs w:val="16"/>
                <w:color w:val="auto"/>
              </w:rPr>
              <w:t>EPS, basic</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(0.17)</w:t>
            </w:r>
          </w:p>
        </w:tc>
        <w:tc>
          <w:tcPr>
            <w:tcW w:w="80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33"/>
        </w:trPr>
        <w:tc>
          <w:tcPr>
            <w:tcW w:w="7700" w:type="dxa"/>
            <w:vAlign w:val="bottom"/>
            <w:gridSpan w:val="2"/>
            <w:shd w:val="clear" w:color="auto" w:fill="E5FFFF"/>
          </w:tcPr>
          <w:p>
            <w:pPr>
              <w:spacing w:after="0" w:line="233" w:lineRule="exact"/>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6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400"/>
              <w:spacing w:after="0"/>
              <w:rPr>
                <w:sz w:val="20"/>
                <w:szCs w:val="20"/>
                <w:color w:val="auto"/>
              </w:rPr>
            </w:pPr>
            <w:r>
              <w:rPr>
                <w:rFonts w:ascii="Arial" w:cs="Arial" w:eastAsia="Arial" w:hAnsi="Arial"/>
                <w:sz w:val="16"/>
                <w:szCs w:val="16"/>
                <w:color w:val="auto"/>
              </w:rPr>
              <w:t>0.11</w:t>
            </w:r>
          </w:p>
        </w:tc>
        <w:tc>
          <w:tcPr>
            <w:tcW w:w="800" w:type="dxa"/>
            <w:vAlign w:val="bottom"/>
            <w:shd w:val="clear" w:color="auto" w:fill="E5FF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40" w:right="80" w:hanging="132"/>
        <w:spacing w:after="0" w:line="222" w:lineRule="auto"/>
        <w:tabs>
          <w:tab w:leader="none" w:pos="166"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 xml:space="preserve">There were 2,250 revenue operating days for the quarter ended March 31, 2020, as compared to 2,350 revenue operating days (including 540 days in the LNG carrier pooling agreement (the “Cool Pool”) for the quarter ended March 31, 2019. The decrease in revenue operating days was mainly driven by the increased unchartered days from the vessels operating in the spot market, including the vessels whose initial time charters have expired and the increased off-hire days for dry-dockings, partially offset by the increased operating days from the delivery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on March 15, 2019 and the delivery of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on July 31, 2019.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6" w:name="page7"/>
    <w:bookmarkEnd w:id="6"/>
    <w:p>
      <w:pPr>
        <w:ind w:right="160"/>
        <w:spacing w:after="0" w:line="273" w:lineRule="auto"/>
        <w:rPr>
          <w:sz w:val="20"/>
          <w:szCs w:val="20"/>
          <w:color w:val="auto"/>
        </w:rPr>
      </w:pPr>
      <w:r>
        <w:rPr>
          <w:rFonts w:ascii="Arial" w:cs="Arial" w:eastAsia="Arial" w:hAnsi="Arial"/>
          <w:sz w:val="16"/>
          <w:szCs w:val="16"/>
          <w:color w:val="auto"/>
        </w:rPr>
        <w:t xml:space="preserve">Following the exit from the Cool Pool, management allocates vessel revenues to two categories: (a) variable rate charters (“VR Revenues”) and (b) fixed rate charters (“FR Revenues”). The variable rate charter category contains vessels operating in the LNG carrier spot and short-term market or those which have a variable rate of hire across the charter period. The vessels in this category during the first quarter of 2020 were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Chelsea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p>
    <w:p>
      <w:pPr>
        <w:spacing w:after="0" w:line="189" w:lineRule="exact"/>
        <w:rPr>
          <w:sz w:val="20"/>
          <w:szCs w:val="20"/>
          <w:color w:val="auto"/>
        </w:rPr>
      </w:pPr>
    </w:p>
    <w:p>
      <w:pPr>
        <w:ind w:right="160"/>
        <w:spacing w:after="0" w:line="324" w:lineRule="auto"/>
        <w:rPr>
          <w:sz w:val="20"/>
          <w:szCs w:val="20"/>
          <w:color w:val="auto"/>
        </w:rPr>
      </w:pPr>
      <w:r>
        <w:rPr>
          <w:rFonts w:ascii="Arial" w:cs="Arial" w:eastAsia="Arial" w:hAnsi="Arial"/>
          <w:sz w:val="14"/>
          <w:szCs w:val="14"/>
          <w:color w:val="auto"/>
        </w:rPr>
        <w:t xml:space="preserve">Revenues were $165.9 million for the quarter ended March 31, 2020 ($166.5 million for the quarter ended March 31, 2019). The decrease was mainly driven by the expiration of the initial time charters of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increased off-hire days for scheduled dry-dockings and a further decrease in revenues from our vessels operating in the spot market in both periods. The above decreases were partially offset by the full operation of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delivered on March 15, 2019,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delivered on July 31, 2019, and the increased revenues from the remaining vessels in our fleet.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For the quarter ended March 31, 2020, an analysis of revenue operating days, revenues and voyage expenses and commissions per category of charter is presented below:</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40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w:t>
            </w:r>
          </w:p>
        </w:tc>
      </w:tr>
      <w:tr>
        <w:trPr>
          <w:trHeight w:val="210"/>
        </w:trPr>
        <w:tc>
          <w:tcPr>
            <w:tcW w:w="7180" w:type="dxa"/>
            <w:vAlign w:val="bottom"/>
          </w:tcPr>
          <w:p>
            <w:pPr>
              <w:spacing w:after="0"/>
              <w:rPr>
                <w:sz w:val="18"/>
                <w:szCs w:val="18"/>
                <w:color w:val="auto"/>
              </w:rPr>
            </w:pPr>
          </w:p>
        </w:tc>
        <w:tc>
          <w:tcPr>
            <w:tcW w:w="40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4"/>
              </w:rPr>
              <w:t>March 31, 2020</w:t>
            </w:r>
          </w:p>
        </w:tc>
      </w:tr>
      <w:tr>
        <w:trPr>
          <w:trHeight w:val="286"/>
        </w:trPr>
        <w:tc>
          <w:tcPr>
            <w:tcW w:w="718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0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Variable rate charters</w:t>
            </w:r>
          </w:p>
        </w:tc>
        <w:tc>
          <w:tcPr>
            <w:tcW w:w="1960" w:type="dxa"/>
            <w:vAlign w:val="bottom"/>
            <w:gridSpan w:val="2"/>
          </w:tcPr>
          <w:p>
            <w:pPr>
              <w:ind w:left="280"/>
              <w:spacing w:after="0"/>
              <w:rPr>
                <w:sz w:val="20"/>
                <w:szCs w:val="20"/>
                <w:color w:val="auto"/>
              </w:rPr>
            </w:pPr>
            <w:r>
              <w:rPr>
                <w:rFonts w:ascii="Arial" w:cs="Arial" w:eastAsia="Arial" w:hAnsi="Arial"/>
                <w:sz w:val="16"/>
                <w:szCs w:val="16"/>
                <w:b w:val="1"/>
                <w:bCs w:val="1"/>
                <w:color w:val="auto"/>
              </w:rPr>
              <w:t>Fixed rate charters</w:t>
            </w:r>
          </w:p>
        </w:tc>
      </w:tr>
      <w:tr>
        <w:trPr>
          <w:trHeight w:val="199"/>
        </w:trPr>
        <w:tc>
          <w:tcPr>
            <w:tcW w:w="718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1"/>
                <w:szCs w:val="21"/>
                <w:color w:val="auto"/>
                <w:vertAlign w:val="superscript"/>
              </w:rPr>
              <w:t>(*)</w:t>
            </w: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675</w:t>
            </w:r>
          </w:p>
        </w:tc>
        <w:tc>
          <w:tcPr>
            <w:tcW w:w="16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1,781</w:t>
            </w:r>
          </w:p>
        </w:tc>
        <w:tc>
          <w:tcPr>
            <w:tcW w:w="60" w:type="dxa"/>
            <w:vAlign w:val="bottom"/>
          </w:tcPr>
          <w:p>
            <w:pPr>
              <w:spacing w:after="0"/>
              <w:rPr>
                <w:sz w:val="17"/>
                <w:szCs w:val="17"/>
                <w:color w:val="auto"/>
              </w:rPr>
            </w:pPr>
          </w:p>
        </w:tc>
      </w:tr>
      <w:tr>
        <w:trPr>
          <w:trHeight w:val="203"/>
        </w:trPr>
        <w:tc>
          <w:tcPr>
            <w:tcW w:w="7180" w:type="dxa"/>
            <w:vAlign w:val="bottom"/>
          </w:tcPr>
          <w:p>
            <w:pPr>
              <w:spacing w:after="0" w:line="203" w:lineRule="exact"/>
              <w:rPr>
                <w:sz w:val="20"/>
                <w:szCs w:val="20"/>
                <w:color w:val="auto"/>
              </w:rPr>
            </w:pPr>
            <w:r>
              <w:rPr>
                <w:rFonts w:ascii="Arial" w:cs="Arial" w:eastAsia="Arial" w:hAnsi="Arial"/>
                <w:sz w:val="16"/>
                <w:szCs w:val="16"/>
                <w:color w:val="auto"/>
              </w:rPr>
              <w:t>Revenue operating days</w:t>
            </w:r>
            <w:r>
              <w:rPr>
                <w:rFonts w:ascii="Arial" w:cs="Arial" w:eastAsia="Arial" w:hAnsi="Arial"/>
                <w:sz w:val="21"/>
                <w:szCs w:val="21"/>
                <w:color w:val="auto"/>
                <w:vertAlign w:val="superscript"/>
              </w:rPr>
              <w:t>(**)</w:t>
            </w:r>
          </w:p>
        </w:tc>
        <w:tc>
          <w:tcPr>
            <w:tcW w:w="2040" w:type="dxa"/>
            <w:vAlign w:val="bottom"/>
            <w:gridSpan w:val="2"/>
          </w:tcPr>
          <w:p>
            <w:pPr>
              <w:jc w:val="right"/>
              <w:ind w:right="160"/>
              <w:spacing w:after="0"/>
              <w:rPr>
                <w:sz w:val="20"/>
                <w:szCs w:val="20"/>
                <w:color w:val="auto"/>
              </w:rPr>
            </w:pPr>
            <w:r>
              <w:rPr>
                <w:rFonts w:ascii="Arial" w:cs="Arial" w:eastAsia="Arial" w:hAnsi="Arial"/>
                <w:sz w:val="16"/>
                <w:szCs w:val="16"/>
                <w:color w:val="auto"/>
              </w:rPr>
              <w:t>469</w:t>
            </w:r>
          </w:p>
        </w:tc>
        <w:tc>
          <w:tcPr>
            <w:tcW w:w="1900" w:type="dxa"/>
            <w:vAlign w:val="bottom"/>
          </w:tcPr>
          <w:p>
            <w:pPr>
              <w:jc w:val="right"/>
              <w:spacing w:after="0"/>
              <w:rPr>
                <w:sz w:val="20"/>
                <w:szCs w:val="20"/>
                <w:color w:val="auto"/>
              </w:rPr>
            </w:pPr>
            <w:r>
              <w:rPr>
                <w:rFonts w:ascii="Arial" w:cs="Arial" w:eastAsia="Arial" w:hAnsi="Arial"/>
                <w:sz w:val="16"/>
                <w:szCs w:val="16"/>
                <w:color w:val="auto"/>
              </w:rPr>
              <w:t>1,781</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20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31,548</w:t>
            </w: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134,349</w:t>
            </w:r>
          </w:p>
        </w:tc>
        <w:tc>
          <w:tcPr>
            <w:tcW w:w="60" w:type="dxa"/>
            <w:vAlign w:val="bottom"/>
          </w:tcPr>
          <w:p>
            <w:pPr>
              <w:spacing w:after="0"/>
              <w:rPr>
                <w:sz w:val="17"/>
                <w:szCs w:val="17"/>
                <w:color w:val="auto"/>
              </w:rPr>
            </w:pPr>
          </w:p>
        </w:tc>
      </w:tr>
      <w:tr>
        <w:trPr>
          <w:trHeight w:val="206"/>
        </w:trPr>
        <w:tc>
          <w:tcPr>
            <w:tcW w:w="718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2040" w:type="dxa"/>
            <w:vAlign w:val="bottom"/>
            <w:gridSpan w:val="2"/>
          </w:tcPr>
          <w:p>
            <w:pPr>
              <w:jc w:val="right"/>
              <w:ind w:right="120"/>
              <w:spacing w:after="0"/>
              <w:rPr>
                <w:sz w:val="20"/>
                <w:szCs w:val="20"/>
                <w:color w:val="auto"/>
              </w:rPr>
            </w:pPr>
            <w:r>
              <w:rPr>
                <w:rFonts w:ascii="Arial" w:cs="Arial" w:eastAsia="Arial" w:hAnsi="Arial"/>
                <w:sz w:val="16"/>
                <w:szCs w:val="16"/>
                <w:color w:val="auto"/>
              </w:rPr>
              <w:t>(4,708)</w:t>
            </w:r>
          </w:p>
        </w:tc>
        <w:tc>
          <w:tcPr>
            <w:tcW w:w="1900" w:type="dxa"/>
            <w:vAlign w:val="bottom"/>
          </w:tcPr>
          <w:p>
            <w:pPr>
              <w:jc w:val="right"/>
              <w:spacing w:after="0"/>
              <w:rPr>
                <w:sz w:val="20"/>
                <w:szCs w:val="20"/>
                <w:color w:val="auto"/>
              </w:rPr>
            </w:pPr>
            <w:r>
              <w:rPr>
                <w:rFonts w:ascii="Arial" w:cs="Arial" w:eastAsia="Arial" w:hAnsi="Arial"/>
                <w:sz w:val="16"/>
                <w:szCs w:val="16"/>
                <w:color w:val="auto"/>
              </w:rPr>
              <w:t>(2,765)</w:t>
            </w:r>
          </w:p>
        </w:tc>
        <w:tc>
          <w:tcPr>
            <w:tcW w:w="60" w:type="dxa"/>
            <w:vAlign w:val="bottom"/>
          </w:tcPr>
          <w:p>
            <w:pPr>
              <w:spacing w:after="0"/>
              <w:rPr>
                <w:sz w:val="17"/>
                <w:szCs w:val="17"/>
                <w:color w:val="auto"/>
              </w:rPr>
            </w:pPr>
          </w:p>
        </w:tc>
      </w:tr>
    </w:tbl>
    <w:p>
      <w:pPr>
        <w:spacing w:after="0" w:line="202" w:lineRule="exact"/>
        <w:rPr>
          <w:sz w:val="20"/>
          <w:szCs w:val="20"/>
          <w:color w:val="auto"/>
        </w:rPr>
      </w:pPr>
    </w:p>
    <w:p>
      <w:pPr>
        <w:ind w:right="200" w:firstLine="8"/>
        <w:spacing w:after="0" w:line="237" w:lineRule="auto"/>
        <w:tabs>
          <w:tab w:leader="none" w:pos="157"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Available days represent total calendar days in the period after deducting off-hire days where vessels are undergoing dry-dockings and unavailable days, i.e. days before and after a dry-docking where the vessel has limited ability for chartering opportunities.</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w:t>
      </w:r>
      <w:r>
        <w:rPr>
          <w:rFonts w:ascii="Arial" w:cs="Arial" w:eastAsia="Arial" w:hAnsi="Arial"/>
          <w:sz w:val="16"/>
          <w:szCs w:val="16"/>
          <w:color w:val="auto"/>
        </w:rPr>
        <w:t xml:space="preserve"> Revenue operating days represent total available days after deducting unchartered days.</w:t>
      </w:r>
    </w:p>
    <w:p>
      <w:pPr>
        <w:spacing w:after="0" w:line="173"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color w:val="auto"/>
        </w:rPr>
        <w:t>In addition, GasLog recognized gross revenues and gross voyage expenses and commissions of $32.1 million and $4.7 million, respectively, from the operation of its vessels in the Cool Pool during the quarter ended March 31, 2019. Net pool allocation was a negative $6.7 million for the quarter ended March 31, 2019.</w:t>
      </w:r>
    </w:p>
    <w:p>
      <w:pPr>
        <w:spacing w:after="0" w:line="15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Voyage expenses and commissions were $7.5 million for the quarter ended March 31, 2020 ($6.9 million for the quarter ended March 31, 2019). The increase resulted from the increased bunkers’ consumption of our vessels operating in the spot market.</w:t>
      </w:r>
    </w:p>
    <w:p>
      <w:pPr>
        <w:spacing w:after="0" w:line="172"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 xml:space="preserve">Vessel operating and supervision costs were $35.1 million for the quarter ended March 31, 2020 ($33.0 million for the quarter ended March 31, 2019). The increase in absolute terms was mainly attributable to the increase in crew wages due to the delivery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and increased scheduled technical and maintenance costs related to engine maintenance and costs related to dry-dockings, partially offset by the favorable movement of the Euro (“EUR”)/USD exchange rate. Daily operating costs per vessel decreased from $14,550 per ownership day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Shell) for the quarter ended March 31, 2019, to $14,266 per ownership day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Shell) for the three-month period ended March 31, 2020. Ownership days represent total calendar days for our owned and bareboat fleet.</w:t>
      </w:r>
    </w:p>
    <w:p>
      <w:pPr>
        <w:spacing w:after="0" w:line="194" w:lineRule="exact"/>
        <w:rPr>
          <w:sz w:val="20"/>
          <w:szCs w:val="20"/>
          <w:color w:val="auto"/>
        </w:rPr>
      </w:pPr>
    </w:p>
    <w:p>
      <w:pPr>
        <w:jc w:val="both"/>
        <w:ind w:right="120"/>
        <w:spacing w:after="0" w:line="335" w:lineRule="auto"/>
        <w:rPr>
          <w:sz w:val="20"/>
          <w:szCs w:val="20"/>
          <w:color w:val="auto"/>
        </w:rPr>
      </w:pPr>
      <w:r>
        <w:rPr>
          <w:rFonts w:ascii="Arial" w:cs="Arial" w:eastAsia="Arial" w:hAnsi="Arial"/>
          <w:sz w:val="14"/>
          <w:szCs w:val="14"/>
          <w:color w:val="auto"/>
        </w:rPr>
        <w:t>General and administrative expenses were $9.6 million for the quarter ended March 31, 2020 ($10.4 million for the quarter ended March 31, 2019). The decrease is mainly attributable to foreign exchange differences. Daily general and administrative expenses per vessel, excluding the effect of the restructuring costs, decreased from $4,404 per ownership day (as defined above) for the quarter ended March 31, 2019, to $3,601 per ownership day (as defined above) for the quarter ended March 31, 2020.</w:t>
      </w:r>
    </w:p>
    <w:p>
      <w:pPr>
        <w:spacing w:after="0" w:line="14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Depreciation was $41.5 million for the quarter ended March 31, 2020 ($39.6 million for the quarter ended March 31, 2019). The increase in depreciation resulted mainly from the increase in the average number of vessels in our fleet in the quarter ended March 31, 2020, compared to the same quarter in 2019, which was partially offset by the impairment charges recognized in the fourth quarter of 2019, which reduced the carrying value of Steam vessels.</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Financial costs were $41.4 million for the quarter ended March 31, 2020 ($45.5 million for the quarter ended March 31, 2019). The decrease was mainly attributable to the $4.0 million net unrealized foreign exchange gains on cash and bonds included in other financial costs and the decreased weighted average interest rate deriving from the downward movement of the LIBOR. An analysis of the financial costs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20" w:type="dxa"/>
            <w:vAlign w:val="bottom"/>
            <w:gridSpan w:val="5"/>
          </w:tcPr>
          <w:p>
            <w:pPr>
              <w:jc w:val="right"/>
              <w:ind w:right="16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4"/>
              </w:rPr>
              <w:t>March 31, 2019</w:t>
            </w:r>
          </w:p>
        </w:tc>
        <w:tc>
          <w:tcPr>
            <w:tcW w:w="280" w:type="dxa"/>
            <w:vAlign w:val="bottom"/>
          </w:tcPr>
          <w:p>
            <w:pPr>
              <w:spacing w:after="0"/>
              <w:rPr>
                <w:sz w:val="18"/>
                <w:szCs w:val="18"/>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w w:val="93"/>
              </w:rPr>
              <w:t>March 31, 2020</w:t>
            </w:r>
          </w:p>
        </w:tc>
        <w:tc>
          <w:tcPr>
            <w:tcW w:w="0" w:type="dxa"/>
            <w:vAlign w:val="bottom"/>
          </w:tcPr>
          <w:p>
            <w:pPr>
              <w:spacing w:after="0"/>
              <w:rPr>
                <w:sz w:val="1"/>
                <w:szCs w:val="1"/>
                <w:color w:val="auto"/>
              </w:rPr>
            </w:pPr>
          </w:p>
        </w:tc>
      </w:tr>
      <w:tr>
        <w:trPr>
          <w:trHeight w:val="185"/>
        </w:trPr>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168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spacing w:after="0"/>
              <w:rPr>
                <w:sz w:val="16"/>
                <w:szCs w:val="16"/>
                <w:color w:val="auto"/>
              </w:rPr>
            </w:pPr>
          </w:p>
        </w:tc>
        <w:tc>
          <w:tcPr>
            <w:tcW w:w="1380" w:type="dxa"/>
            <w:vAlign w:val="bottom"/>
            <w:tcBorders>
              <w:top w:val="single" w:sz="8" w:color="auto"/>
              <w:right w:val="single" w:sz="8" w:color="E5FFFF"/>
            </w:tcBorders>
            <w:shd w:val="clear" w:color="auto" w:fill="E5FF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rPr>
                <w:sz w:val="20"/>
                <w:szCs w:val="20"/>
                <w:color w:val="auto"/>
              </w:rPr>
            </w:pPr>
            <w:r>
              <w:rPr>
                <w:rFonts w:ascii="Arial" w:cs="Arial" w:eastAsia="Arial" w:hAnsi="Arial"/>
                <w:sz w:val="16"/>
                <w:szCs w:val="16"/>
                <w:color w:val="auto"/>
              </w:rPr>
              <w:t>Amortization and write-off of deferred loan/bond issuance costs/premium</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59"/>
              <w:spacing w:after="0"/>
              <w:rPr>
                <w:sz w:val="20"/>
                <w:szCs w:val="20"/>
                <w:color w:val="auto"/>
              </w:rPr>
            </w:pPr>
            <w:r>
              <w:rPr>
                <w:rFonts w:ascii="Arial" w:cs="Arial" w:eastAsia="Arial" w:hAnsi="Arial"/>
                <w:sz w:val="16"/>
                <w:szCs w:val="16"/>
                <w:color w:val="auto"/>
              </w:rPr>
              <w:t>(4,161)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(3,817)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(30,591)</w:t>
            </w:r>
          </w:p>
        </w:tc>
        <w:tc>
          <w:tcPr>
            <w:tcW w:w="28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(26,826)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w w:val="95"/>
              </w:rPr>
              <w:t>Interest expense on bonds and realized loss on cross-currency swaps (“CCS”)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159"/>
              <w:spacing w:after="0"/>
              <w:rPr>
                <w:sz w:val="20"/>
                <w:szCs w:val="20"/>
                <w:color w:val="auto"/>
              </w:rPr>
            </w:pPr>
            <w:r>
              <w:rPr>
                <w:rFonts w:ascii="Arial" w:cs="Arial" w:eastAsia="Arial" w:hAnsi="Arial"/>
                <w:sz w:val="16"/>
                <w:szCs w:val="16"/>
                <w:color w:val="auto"/>
              </w:rPr>
              <w:t>(7,483)</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(9,484)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spacing w:after="0"/>
              <w:rPr>
                <w:sz w:val="20"/>
                <w:szCs w:val="20"/>
                <w:color w:val="auto"/>
              </w:rPr>
            </w:pPr>
            <w:r>
              <w:rPr>
                <w:rFonts w:ascii="Arial" w:cs="Arial" w:eastAsia="Arial" w:hAnsi="Arial"/>
                <w:sz w:val="16"/>
                <w:szCs w:val="16"/>
                <w:color w:val="auto"/>
              </w:rPr>
              <w:t>Lease charge</w:t>
            </w: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(2,629)</w:t>
            </w:r>
          </w:p>
        </w:tc>
        <w:tc>
          <w:tcPr>
            <w:tcW w:w="28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(2,549)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Loss arising on bond repurchase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net</w:t>
            </w: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(643)</w:t>
            </w:r>
          </w:p>
        </w:tc>
        <w:tc>
          <w:tcPr>
            <w:tcW w:w="28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3,172</w:t>
            </w:r>
          </w:p>
        </w:tc>
        <w:tc>
          <w:tcPr>
            <w:tcW w:w="680" w:type="dxa"/>
            <w:vAlign w:val="bottom"/>
            <w:vMerge w:val="restart"/>
          </w:tcPr>
          <w:p>
            <w:pPr>
              <w:jc w:val="right"/>
              <w:ind w:right="60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(45,507</w:t>
            </w:r>
          </w:p>
        </w:tc>
        <w:tc>
          <w:tcPr>
            <w:tcW w:w="300" w:type="dxa"/>
            <w:vAlign w:val="bottom"/>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(41,441</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80" w:type="dxa"/>
            <w:vAlign w:val="bottom"/>
            <w:vMerge w:val="restart"/>
          </w:tcPr>
          <w:p>
            <w:pPr>
              <w:jc w:val="right"/>
              <w:ind w:right="1235"/>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7" w:name="page8"/>
    <w:bookmarkEnd w:id="7"/>
    <w:p>
      <w:pPr>
        <w:ind w:right="40"/>
        <w:spacing w:after="0" w:line="273" w:lineRule="auto"/>
        <w:rPr>
          <w:sz w:val="20"/>
          <w:szCs w:val="20"/>
          <w:color w:val="auto"/>
        </w:rPr>
      </w:pPr>
      <w:r>
        <w:rPr>
          <w:rFonts w:ascii="Arial" w:cs="Arial" w:eastAsia="Arial" w:hAnsi="Arial"/>
          <w:sz w:val="16"/>
          <w:szCs w:val="16"/>
          <w:color w:val="auto"/>
        </w:rPr>
        <w:t>Loss on derivatives was $71.1 million for the quarter ended March 31, 2020 ($20.2 million loss for the quarter ended March 31, 2019). The increase in loss on derivatives in the first quarter of 2020, as compared to the first quarter of 2019, is mainly attributable to an increase of $50.1 million in loss from marked-to-market valuation of our derivative financial instruments carried at fair value through profit or loss, derived from changes in the LIBOR curve. An analysis of gain/(loss) on derivatives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380" w:type="dxa"/>
            <w:vAlign w:val="bottom"/>
            <w:gridSpan w:val="5"/>
          </w:tcPr>
          <w:p>
            <w:pPr>
              <w:jc w:val="right"/>
              <w:ind w:right="9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509"/>
              <w:spacing w:after="0"/>
              <w:rPr>
                <w:sz w:val="20"/>
                <w:szCs w:val="20"/>
                <w:color w:val="auto"/>
              </w:rPr>
            </w:pPr>
            <w:r>
              <w:rPr>
                <w:rFonts w:ascii="Arial" w:cs="Arial" w:eastAsia="Arial" w:hAnsi="Arial"/>
                <w:sz w:val="16"/>
                <w:szCs w:val="16"/>
                <w:b w:val="1"/>
                <w:bCs w:val="1"/>
                <w:color w:val="auto"/>
                <w:w w:val="94"/>
              </w:rPr>
              <w:t>March 31, 2019</w:t>
            </w:r>
          </w:p>
        </w:tc>
        <w:tc>
          <w:tcPr>
            <w:tcW w:w="260" w:type="dxa"/>
            <w:vAlign w:val="bottom"/>
          </w:tcPr>
          <w:p>
            <w:pPr>
              <w:spacing w:after="0"/>
              <w:rPr>
                <w:sz w:val="18"/>
                <w:szCs w:val="18"/>
                <w:color w:val="auto"/>
              </w:rPr>
            </w:pP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85"/>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on derivatives</w:t>
            </w:r>
          </w:p>
        </w:tc>
        <w:tc>
          <w:tcPr>
            <w:tcW w:w="280" w:type="dxa"/>
            <w:vAlign w:val="bottom"/>
            <w:tcBorders>
              <w:top w:val="single" w:sz="8" w:color="auto"/>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260" w:type="dxa"/>
            <w:vAlign w:val="bottom"/>
            <w:tcBorders>
              <w:top w:val="single" w:sz="8" w:color="auto"/>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Realized gain/(loss) on derivatives held for trading</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9"/>
              <w:spacing w:after="0"/>
              <w:rPr>
                <w:sz w:val="20"/>
                <w:szCs w:val="20"/>
                <w:color w:val="auto"/>
              </w:rPr>
            </w:pPr>
            <w:r>
              <w:rPr>
                <w:rFonts w:ascii="Arial" w:cs="Arial" w:eastAsia="Arial" w:hAnsi="Arial"/>
                <w:sz w:val="16"/>
                <w:szCs w:val="16"/>
                <w:color w:val="auto"/>
              </w:rPr>
              <w:t>1,735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169"/>
              <w:spacing w:after="0"/>
              <w:rPr>
                <w:sz w:val="20"/>
                <w:szCs w:val="20"/>
                <w:color w:val="auto"/>
              </w:rPr>
            </w:pPr>
            <w:r>
              <w:rPr>
                <w:rFonts w:ascii="Arial" w:cs="Arial" w:eastAsia="Arial" w:hAnsi="Arial"/>
                <w:sz w:val="16"/>
                <w:szCs w:val="16"/>
                <w:color w:val="auto"/>
              </w:rPr>
              <w:t>(876)</w:t>
            </w:r>
          </w:p>
        </w:tc>
        <w:tc>
          <w:tcPr>
            <w:tcW w:w="2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Unrealized loss on derivative financial instruments held for trading</w:t>
            </w:r>
          </w:p>
        </w:tc>
        <w:tc>
          <w:tcPr>
            <w:tcW w:w="280" w:type="dxa"/>
            <w:vAlign w:val="bottom"/>
          </w:tcPr>
          <w:p>
            <w:pPr>
              <w:spacing w:after="0"/>
              <w:rPr>
                <w:sz w:val="17"/>
                <w:szCs w:val="17"/>
                <w:color w:val="auto"/>
              </w:rPr>
            </w:pPr>
          </w:p>
        </w:tc>
        <w:tc>
          <w:tcPr>
            <w:tcW w:w="1680" w:type="dxa"/>
            <w:vAlign w:val="bottom"/>
            <w:gridSpan w:val="2"/>
          </w:tcPr>
          <w:p>
            <w:pPr>
              <w:jc w:val="right"/>
              <w:ind w:right="169"/>
              <w:spacing w:after="0"/>
              <w:rPr>
                <w:sz w:val="20"/>
                <w:szCs w:val="20"/>
                <w:color w:val="auto"/>
              </w:rPr>
            </w:pPr>
            <w:r>
              <w:rPr>
                <w:rFonts w:ascii="Arial" w:cs="Arial" w:eastAsia="Arial" w:hAnsi="Arial"/>
                <w:sz w:val="16"/>
                <w:szCs w:val="16"/>
                <w:color w:val="auto"/>
              </w:rPr>
              <w:t>(21,150)</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(71,332)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229"/>
              <w:spacing w:after="0"/>
              <w:rPr>
                <w:sz w:val="20"/>
                <w:szCs w:val="20"/>
                <w:color w:val="auto"/>
              </w:rPr>
            </w:pPr>
            <w:r>
              <w:rPr>
                <w:rFonts w:ascii="Arial" w:cs="Arial" w:eastAsia="Arial" w:hAnsi="Arial"/>
                <w:sz w:val="16"/>
                <w:szCs w:val="16"/>
                <w:color w:val="auto"/>
              </w:rPr>
              <w:t>47</w:t>
            </w:r>
          </w:p>
        </w:tc>
        <w:tc>
          <w:tcPr>
            <w:tcW w:w="2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1,283</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28"/>
        </w:trPr>
        <w:tc>
          <w:tcPr>
            <w:tcW w:w="6980" w:type="dxa"/>
            <w:vAlign w:val="bottom"/>
            <w:vMerge w:val="restart"/>
          </w:tcPr>
          <w:p>
            <w:pPr>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spacing w:after="0"/>
              <w:rPr>
                <w:sz w:val="11"/>
                <w:szCs w:val="11"/>
                <w:color w:val="auto"/>
              </w:rPr>
            </w:pPr>
          </w:p>
        </w:tc>
        <w:tc>
          <w:tcPr>
            <w:tcW w:w="300" w:type="dxa"/>
            <w:vAlign w:val="bottom"/>
          </w:tcPr>
          <w:p>
            <w:pPr>
              <w:jc w:val="right"/>
              <w:ind w:right="169"/>
              <w:spacing w:after="0" w:line="129" w:lineRule="exact"/>
              <w:rPr>
                <w:sz w:val="20"/>
                <w:szCs w:val="20"/>
                <w:color w:val="auto"/>
              </w:rPr>
            </w:pPr>
            <w:r>
              <w:rPr>
                <w:rFonts w:ascii="Arial" w:cs="Arial" w:eastAsia="Arial" w:hAnsi="Arial"/>
                <w:sz w:val="14"/>
                <w:szCs w:val="14"/>
                <w:b w:val="1"/>
                <w:bCs w:val="1"/>
                <w:color w:val="auto"/>
                <w:w w:val="84"/>
              </w:rPr>
              <w:t>)</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680" w:type="dxa"/>
            <w:vAlign w:val="bottom"/>
            <w:gridSpan w:val="2"/>
          </w:tcPr>
          <w:p>
            <w:pPr>
              <w:jc w:val="right"/>
              <w:ind w:right="229"/>
              <w:spacing w:after="0" w:line="68" w:lineRule="exact"/>
              <w:rPr>
                <w:sz w:val="20"/>
                <w:szCs w:val="20"/>
                <w:color w:val="auto"/>
              </w:rPr>
            </w:pPr>
            <w:r>
              <w:rPr>
                <w:rFonts w:ascii="Arial" w:cs="Arial" w:eastAsia="Arial" w:hAnsi="Arial"/>
                <w:sz w:val="7"/>
                <w:szCs w:val="7"/>
                <w:b w:val="1"/>
                <w:bCs w:val="1"/>
                <w:color w:val="auto"/>
              </w:rPr>
              <w:t>(20,244</w:t>
            </w:r>
          </w:p>
        </w:tc>
        <w:tc>
          <w:tcPr>
            <w:tcW w:w="260" w:type="dxa"/>
            <w:vAlign w:val="bottom"/>
            <w:vMerge w:val="continue"/>
          </w:tcPr>
          <w:p>
            <w:pPr>
              <w:spacing w:after="0"/>
              <w:rPr>
                <w:sz w:val="5"/>
                <w:szCs w:val="5"/>
                <w:color w:val="auto"/>
              </w:rPr>
            </w:pPr>
          </w:p>
        </w:tc>
        <w:tc>
          <w:tcPr>
            <w:tcW w:w="138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(71,124</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Loss for the period was $39.4 million for the quarter ended March 31, 2020 ($5.9 million profit for the quarter ended March 31, 2019). This decrease in profit is mainly attributable to the unfavorable movement in non-cash marked-to-market valuations of our derivative financial instruments in the first quarter of 2020, partially offset by the decrease in finance costs.</w:t>
      </w:r>
    </w:p>
    <w:p>
      <w:pPr>
        <w:spacing w:after="0" w:line="184"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$26.8 million for the quarter ended March 31, 2020 ($28.1 million for the quarter ended March 31, 2019) adjusted for the effects of the write-off of unamortized bond fees, the net foreign exchange gains, the net unrealized foreign exchange gains on cash and bonds, the restructuring costs and the non-cash loss on derivatives.</w:t>
      </w:r>
    </w:p>
    <w:p>
      <w:pPr>
        <w:spacing w:after="0" w:line="21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Loss attributable to the owners of GasLog was $51.5 million for the quarter ended March 31, 2020 ($10.9 million for the quarter ended March 31, 2019). The increase in loss attributable to the owners of GasLog resulted mainly from the respective movements in loss for the period mentioned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$114.0 million for the quarter ended March 31, 2020 ($109.9 million for the quarter ended March 31, 2019).</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EPS was a loss of $0.67 for the quarter ended March 31, 2020 ($0.17 loss for the quarter ended March 31, 2019). The increase in loss per share is mainly attributable to the respective movements in loss attributable to the owners of GasLog discussed above.</w:t>
      </w:r>
    </w:p>
    <w:p>
      <w:pPr>
        <w:spacing w:after="0" w:line="172"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Adjusted EPS</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was $0.15 for the quarter ended March 31, 2020 ($0.11 for the quarter ended March 31, 2019), adjusted for the effects of the write-off of unamortized bond fees, the net foreign exchange gains, the net unrealized foreign exchange gains on cash and bonds, the restructuring costs and the non-cash loss on derivatives.</w:t>
      </w:r>
    </w:p>
    <w:p>
      <w:pPr>
        <w:spacing w:after="0" w:line="196" w:lineRule="exact"/>
        <w:rPr>
          <w:sz w:val="20"/>
          <w:szCs w:val="20"/>
          <w:color w:val="auto"/>
        </w:rPr>
      </w:pPr>
    </w:p>
    <w:p>
      <w:pPr>
        <w:ind w:left="140" w:right="120" w:hanging="132"/>
        <w:spacing w:after="0" w:line="222" w:lineRule="auto"/>
        <w:tabs>
          <w:tab w:leader="none" w:pos="166"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Adjusted Profit,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the total future firm contracted revenue stood at $3.8 billion</w:t>
      </w:r>
      <w:r>
        <w:rPr>
          <w:rFonts w:ascii="Arial" w:cs="Arial" w:eastAsia="Arial" w:hAnsi="Arial"/>
          <w:sz w:val="21"/>
          <w:szCs w:val="21"/>
          <w:color w:val="auto"/>
          <w:vertAlign w:val="superscript"/>
        </w:rPr>
        <w:t>(1)</w:t>
      </w:r>
      <w:r>
        <w:rPr>
          <w:rFonts w:ascii="Arial" w:cs="Arial" w:eastAsia="Arial" w:hAnsi="Arial"/>
          <w:sz w:val="16"/>
          <w:szCs w:val="16"/>
          <w:color w:val="auto"/>
        </w:rPr>
        <w:t>, including the 15 vessels currently owned by GasLog Partners.</w:t>
      </w:r>
    </w:p>
    <w:p>
      <w:pPr>
        <w:spacing w:after="0" w:line="168" w:lineRule="exact"/>
        <w:rPr>
          <w:sz w:val="20"/>
          <w:szCs w:val="20"/>
          <w:color w:val="auto"/>
        </w:rPr>
      </w:pPr>
    </w:p>
    <w:p>
      <w:pPr>
        <w:ind w:right="20" w:firstLine="8"/>
        <w:spacing w:after="0" w:line="579" w:lineRule="auto"/>
        <w:tabs>
          <w:tab w:leader="none" w:pos="127" w:val="left"/>
        </w:tabs>
        <w:numPr>
          <w:ilvl w:val="0"/>
          <w:numId w:val="9"/>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(b) all LNG carriers on order are delivered on schedule; (c) no exercise of any option to extend the terms of charters; and (d) where charters are based on a variable rate of hire within an agreed range during the charter period, the lower end of the range.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As of March 31, 2020, GasLog had $252.2 million of cash and cash equivalents, of which $150.4 million was restricted cash, in relation to the amount drawn for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until her delivery from the shipyard on April 1, 2020, $52.6 million was held in time deposits and the remaining balance in current accounts. In addition, an amount of $81.2 million was held as cash collateral with respect to our derivative instruments and is included in Other non-current assets and Prepayments and other current assets.</w:t>
      </w:r>
    </w:p>
    <w:p>
      <w:pPr>
        <w:spacing w:after="0" w:line="189"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On January 13, 2020, GasLog completed the partial exchange of $10.0 million of the outstanding 8.875% senior unsecured notes due 2022 (the “8.875% Senior Notes”) for new senior unsecured bonds due in 2024 (the “NOK 2024 Bonds”). On January 31, 2020, GasLog repurchased and cancelled NOK 434,000 of the outstanding senior unsecured bonds due May 2021 (the “NOK 2021 Bonds”) at a price of 104.0% of par value, resulting in a loss of $1.9 million.</w:t>
      </w:r>
    </w:p>
    <w:p>
      <w:pPr>
        <w:spacing w:after="0" w:line="166" w:lineRule="exact"/>
        <w:rPr>
          <w:sz w:val="20"/>
          <w:szCs w:val="20"/>
          <w:color w:val="auto"/>
        </w:rPr>
      </w:pPr>
    </w:p>
    <w:p>
      <w:pPr>
        <w:jc w:val="both"/>
        <w:ind w:right="280"/>
        <w:spacing w:after="0" w:line="273" w:lineRule="auto"/>
        <w:rPr>
          <w:sz w:val="20"/>
          <w:szCs w:val="20"/>
          <w:color w:val="auto"/>
        </w:rPr>
      </w:pPr>
      <w:r>
        <w:rPr>
          <w:rFonts w:ascii="Arial" w:cs="Arial" w:eastAsia="Arial" w:hAnsi="Arial"/>
          <w:sz w:val="16"/>
          <w:szCs w:val="16"/>
          <w:color w:val="auto"/>
        </w:rPr>
        <w:t xml:space="preserve">On February 13, 2020, on March 13, 2020 and on March 18, 2020, GasLog drew down $23.3 million, $50.7 million and $26.0 million, respectively under the revolving credit facility of up to $1.1 billion entered into on July 19, 2016 (the “Legacy Facility Refinancing”). On March 26, 2020, GasLog drew $152.5 million under the facility signed on December 12, 2019 with an Export Credit Agency-backed debt financing of $1.1 billion with 13 international banks to provide the debt funding for its current newbuilding program (the “Newbuilding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w:t>
      </w:r>
    </w:p>
    <w:p>
      <w:pPr>
        <w:spacing w:after="0" w:line="18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As of March 31, 2020, there was undrawn available capacity of $900.3 million under the Newbuilding Facility. In addition, there was unused availability of $2.0 million under the five-year amortizing revolving credit facility entered into by the Partnership on February 20, 2019 (the “2019 Partnership Facility”).</w:t>
      </w:r>
    </w:p>
    <w:p>
      <w:pPr>
        <w:spacing w:after="0" w:line="17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As of March 31, 2020, GasLog had an aggregate of $3.2 billion of indebtedness outstanding under its credit facilities and bond agreements, of which $214.7 million was repayable within one year, and $203.1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$9.7 million was payable within one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 w:name="page9"/>
    <w:bookmarkEnd w:id="8"/>
    <w:p>
      <w:pPr>
        <w:ind w:right="40"/>
        <w:spacing w:after="0" w:line="293" w:lineRule="auto"/>
        <w:rPr>
          <w:sz w:val="20"/>
          <w:szCs w:val="20"/>
          <w:color w:val="auto"/>
        </w:rPr>
      </w:pPr>
      <w:r>
        <w:rPr>
          <w:rFonts w:ascii="Arial" w:cs="Arial" w:eastAsia="Arial" w:hAnsi="Arial"/>
          <w:sz w:val="16"/>
          <w:szCs w:val="16"/>
          <w:color w:val="auto"/>
        </w:rPr>
        <w:t xml:space="preserve">As of March 31, 2020, the total remaining balance of the contract prices of the seven LNG carriers on order was $1,085.4 million (including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which was delivered on April 1, 2020), which GasLog expects to be funded with the Newbuilding Facility, cash balances and cash from operations.</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As of March 31, 2020, GasLog’s current assets totaled $320.6 million, while current liabilities totaled $381.4 million, resulting in a negative working capital position of $60.8 million. 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market conditions, we anticipate that our primary sources of funds over the next twelve months will be available cash, cash from operations and bank borrowings under existing, refinanced or new debt facilities, as well as public equity or debt instruments subject to a significant recovery in capital market conditions. We are continuing the process of refinancing our bank loans maturing in April and July 2021 and we are in discussion with our swaps counterparties in order to identify and execute measures to reduce cash collateral posted under the existing interest rate and cross currency swaps. We believe that these anticipated sources of funds will be sufficient to meet our liquidity needs and to comply with our bank loan and bond covenants for at least twelve months from the end of the reporting period, although there can be no assurance that we will be able to obtain such debt or equity financing or release of collateral on terms acceptable to us.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42.4% of its expected floating interest rate exposure on its outstanding debt (excluding the lease liability) as of March 31, 2020.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May 7, 2020, GasLog has six newbuildings on order at Samsung which are on schedule and within budget: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Cargo</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20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00" w:type="dxa"/>
            <w:vAlign w:val="bottom"/>
            <w:gridSpan w:val="2"/>
          </w:tcPr>
          <w:p>
            <w:pPr>
              <w:jc w:val="center"/>
              <w:ind w:right="180"/>
              <w:spacing w:after="0" w:line="217" w:lineRule="exact"/>
              <w:rPr>
                <w:sz w:val="20"/>
                <w:szCs w:val="20"/>
                <w:color w:val="auto"/>
              </w:rPr>
            </w:pPr>
            <w:r>
              <w:rPr>
                <w:rFonts w:ascii="Arial" w:cs="Arial" w:eastAsia="Arial" w:hAnsi="Arial"/>
                <w:sz w:val="16"/>
                <w:szCs w:val="16"/>
                <w:b w:val="1"/>
                <w:bCs w:val="1"/>
                <w:color w:val="auto"/>
                <w:w w:val="91"/>
              </w:rPr>
              <w:t>Year Built</w:t>
            </w:r>
            <w:r>
              <w:rPr>
                <w:rFonts w:ascii="Arial" w:cs="Arial" w:eastAsia="Arial" w:hAnsi="Arial"/>
                <w:sz w:val="21"/>
                <w:szCs w:val="21"/>
                <w:b w:val="1"/>
                <w:bCs w:val="1"/>
                <w:color w:val="auto"/>
                <w:w w:val="91"/>
                <w:vertAlign w:val="superscript"/>
              </w:rPr>
              <w:t>(1)</w:t>
            </w:r>
          </w:p>
        </w:tc>
        <w:tc>
          <w:tcPr>
            <w:tcW w:w="1520" w:type="dxa"/>
            <w:vAlign w:val="bottom"/>
            <w:gridSpan w:val="2"/>
          </w:tcPr>
          <w:p>
            <w:pPr>
              <w:ind w:left="360"/>
              <w:spacing w:after="0"/>
              <w:rPr>
                <w:sz w:val="20"/>
                <w:szCs w:val="20"/>
                <w:color w:val="auto"/>
              </w:rPr>
            </w:pPr>
            <w:r>
              <w:rPr>
                <w:rFonts w:ascii="Arial" w:cs="Arial" w:eastAsia="Arial" w:hAnsi="Arial"/>
                <w:sz w:val="16"/>
                <w:szCs w:val="16"/>
                <w:b w:val="1"/>
                <w:bCs w:val="1"/>
                <w:color w:val="auto"/>
              </w:rPr>
              <w:t>Shipyard</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(cbm)</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Charterer</w:t>
            </w: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Propulsion</w:t>
            </w:r>
          </w:p>
        </w:tc>
        <w:tc>
          <w:tcPr>
            <w:tcW w:w="19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(2)</w:t>
            </w:r>
          </w:p>
        </w:tc>
      </w:tr>
      <w:tr>
        <w:trPr>
          <w:trHeight w:val="196"/>
        </w:trPr>
        <w:tc>
          <w:tcPr>
            <w:tcW w:w="1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i w:val="1"/>
                <w:iCs w:val="1"/>
                <w:color w:val="auto"/>
              </w:rPr>
              <w:t>GasLog Wales</w:t>
            </w:r>
          </w:p>
        </w:tc>
        <w:tc>
          <w:tcPr>
            <w:tcW w:w="1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Q2 2020</w:t>
            </w:r>
          </w:p>
        </w:tc>
        <w:tc>
          <w:tcPr>
            <w:tcW w:w="1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JERA</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6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2032</w:t>
            </w:r>
          </w:p>
        </w:tc>
      </w:tr>
      <w:tr>
        <w:trPr>
          <w:trHeight w:val="202"/>
        </w:trPr>
        <w:tc>
          <w:tcPr>
            <w:tcW w:w="2000" w:type="dxa"/>
            <w:vAlign w:val="bottom"/>
            <w:gridSpan w:val="2"/>
          </w:tcPr>
          <w:p>
            <w:pPr>
              <w:spacing w:after="0"/>
              <w:rPr>
                <w:sz w:val="20"/>
                <w:szCs w:val="20"/>
                <w:color w:val="auto"/>
              </w:rPr>
            </w:pPr>
            <w:r>
              <w:rPr>
                <w:rFonts w:ascii="Arial" w:cs="Arial" w:eastAsia="Arial" w:hAnsi="Arial"/>
                <w:sz w:val="16"/>
                <w:szCs w:val="16"/>
                <w:color w:val="auto"/>
              </w:rPr>
              <w:t>Hull No. 2262</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Q3 2020</w:t>
            </w:r>
          </w:p>
        </w:tc>
        <w:tc>
          <w:tcPr>
            <w:tcW w:w="1520" w:type="dxa"/>
            <w:vAlign w:val="bottom"/>
            <w:gridSpan w:val="2"/>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Centrica</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2027</w:t>
            </w:r>
          </w:p>
        </w:tc>
      </w:tr>
      <w:tr>
        <w:trPr>
          <w:trHeight w:val="203"/>
        </w:trPr>
        <w:tc>
          <w:tcPr>
            <w:tcW w:w="20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2300</w:t>
            </w: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Q4 2020</w:t>
            </w:r>
          </w:p>
        </w:tc>
        <w:tc>
          <w:tcPr>
            <w:tcW w:w="152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center"/>
              <w:ind w:right="160"/>
              <w:spacing w:after="0" w:line="20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(3)</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X-DF</w:t>
            </w:r>
          </w:p>
        </w:tc>
        <w:tc>
          <w:tcPr>
            <w:tcW w:w="1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2027</w:t>
            </w: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Hull No. 2301</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Q1 2021</w:t>
            </w:r>
          </w:p>
        </w:tc>
        <w:tc>
          <w:tcPr>
            <w:tcW w:w="1520" w:type="dxa"/>
            <w:vAlign w:val="bottom"/>
            <w:gridSpan w:val="2"/>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17"/>
                <w:szCs w:val="17"/>
                <w:color w:val="auto"/>
              </w:rPr>
            </w:pPr>
          </w:p>
        </w:tc>
        <w:tc>
          <w:tcPr>
            <w:tcW w:w="150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(3)</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2028</w:t>
            </w:r>
          </w:p>
        </w:tc>
      </w:tr>
      <w:tr>
        <w:trPr>
          <w:trHeight w:val="203"/>
        </w:trPr>
        <w:tc>
          <w:tcPr>
            <w:tcW w:w="20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2311</w:t>
            </w: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Q2 2021</w:t>
            </w:r>
          </w:p>
        </w:tc>
        <w:tc>
          <w:tcPr>
            <w:tcW w:w="152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center"/>
              <w:ind w:right="160"/>
              <w:spacing w:after="0" w:line="20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(3)</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X-DF</w:t>
            </w:r>
          </w:p>
        </w:tc>
        <w:tc>
          <w:tcPr>
            <w:tcW w:w="1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2028</w:t>
            </w:r>
          </w:p>
        </w:tc>
      </w:tr>
      <w:tr>
        <w:trPr>
          <w:trHeight w:val="181"/>
        </w:trPr>
        <w:tc>
          <w:tcPr>
            <w:tcW w:w="2000" w:type="dxa"/>
            <w:vAlign w:val="bottom"/>
            <w:gridSpan w:val="2"/>
          </w:tcPr>
          <w:p>
            <w:pPr>
              <w:spacing w:after="0" w:line="181" w:lineRule="exact"/>
              <w:rPr>
                <w:sz w:val="20"/>
                <w:szCs w:val="20"/>
                <w:color w:val="auto"/>
              </w:rPr>
            </w:pPr>
            <w:r>
              <w:rPr>
                <w:rFonts w:ascii="Arial" w:cs="Arial" w:eastAsia="Arial" w:hAnsi="Arial"/>
                <w:sz w:val="16"/>
                <w:szCs w:val="16"/>
                <w:color w:val="auto"/>
              </w:rPr>
              <w:t>Hull No. 2312</w:t>
            </w:r>
          </w:p>
        </w:tc>
        <w:tc>
          <w:tcPr>
            <w:tcW w:w="1300" w:type="dxa"/>
            <w:vAlign w:val="bottom"/>
            <w:gridSpan w:val="2"/>
          </w:tcPr>
          <w:p>
            <w:pPr>
              <w:jc w:val="center"/>
              <w:ind w:right="180"/>
              <w:spacing w:after="0" w:line="181" w:lineRule="exact"/>
              <w:rPr>
                <w:sz w:val="20"/>
                <w:szCs w:val="20"/>
                <w:color w:val="auto"/>
              </w:rPr>
            </w:pPr>
            <w:r>
              <w:rPr>
                <w:rFonts w:ascii="Arial" w:cs="Arial" w:eastAsia="Arial" w:hAnsi="Arial"/>
                <w:sz w:val="16"/>
                <w:szCs w:val="16"/>
                <w:color w:val="auto"/>
                <w:w w:val="91"/>
              </w:rPr>
              <w:t>Q3 2021</w:t>
            </w:r>
          </w:p>
        </w:tc>
        <w:tc>
          <w:tcPr>
            <w:tcW w:w="1520" w:type="dxa"/>
            <w:vAlign w:val="bottom"/>
            <w:gridSpan w:val="2"/>
          </w:tcPr>
          <w:p>
            <w:pPr>
              <w:ind w:left="380"/>
              <w:spacing w:after="0" w:line="181" w:lineRule="exact"/>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line="181" w:lineRule="exact"/>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5"/>
                <w:szCs w:val="15"/>
                <w:color w:val="auto"/>
              </w:rPr>
            </w:pPr>
          </w:p>
        </w:tc>
        <w:tc>
          <w:tcPr>
            <w:tcW w:w="1500" w:type="dxa"/>
            <w:vAlign w:val="bottom"/>
            <w:gridSpan w:val="2"/>
          </w:tcPr>
          <w:p>
            <w:pPr>
              <w:jc w:val="center"/>
              <w:ind w:right="160"/>
              <w:spacing w:after="0" w:line="181" w:lineRule="exact"/>
              <w:rPr>
                <w:sz w:val="20"/>
                <w:szCs w:val="20"/>
                <w:color w:val="auto"/>
              </w:rPr>
            </w:pPr>
            <w:r>
              <w:rPr>
                <w:rFonts w:ascii="Arial" w:cs="Arial" w:eastAsia="Arial" w:hAnsi="Arial"/>
                <w:sz w:val="15"/>
                <w:szCs w:val="15"/>
                <w:color w:val="auto"/>
                <w:w w:val="90"/>
              </w:rPr>
              <w:t>Cheniere</w:t>
            </w:r>
            <w:r>
              <w:rPr>
                <w:rFonts w:ascii="Arial" w:cs="Arial" w:eastAsia="Arial" w:hAnsi="Arial"/>
                <w:sz w:val="20"/>
                <w:szCs w:val="20"/>
                <w:color w:val="auto"/>
                <w:w w:val="90"/>
                <w:vertAlign w:val="superscript"/>
              </w:rPr>
              <w:t>(3)</w:t>
            </w:r>
          </w:p>
        </w:tc>
        <w:tc>
          <w:tcPr>
            <w:tcW w:w="150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rPr>
              <w:t>X-DF</w:t>
            </w:r>
          </w:p>
        </w:tc>
        <w:tc>
          <w:tcPr>
            <w:tcW w:w="1900" w:type="dxa"/>
            <w:vAlign w:val="bottom"/>
          </w:tcPr>
          <w:p>
            <w:pPr>
              <w:jc w:val="center"/>
              <w:spacing w:after="0" w:line="181" w:lineRule="exact"/>
              <w:rPr>
                <w:sz w:val="20"/>
                <w:szCs w:val="20"/>
                <w:color w:val="auto"/>
              </w:rPr>
            </w:pPr>
            <w:r>
              <w:rPr>
                <w:rFonts w:ascii="Arial" w:cs="Arial" w:eastAsia="Arial" w:hAnsi="Arial"/>
                <w:sz w:val="16"/>
                <w:szCs w:val="16"/>
                <w:color w:val="auto"/>
                <w:w w:val="95"/>
              </w:rPr>
              <w:t>2028</w:t>
            </w:r>
          </w:p>
        </w:tc>
      </w:tr>
      <w:tr>
        <w:trPr>
          <w:trHeight w:val="252"/>
        </w:trPr>
        <w:tc>
          <w:tcPr>
            <w:tcW w:w="1820" w:type="dxa"/>
            <w:vAlign w:val="bottom"/>
          </w:tcPr>
          <w:p>
            <w:pPr>
              <w:spacing w:after="0" w:line="251" w:lineRule="exact"/>
              <w:rPr>
                <w:sz w:val="20"/>
                <w:szCs w:val="20"/>
                <w:color w:val="auto"/>
              </w:rPr>
            </w:pPr>
            <w:r>
              <w:rPr>
                <w:rFonts w:ascii="Arial" w:cs="Arial" w:eastAsia="Arial" w:hAnsi="Arial"/>
                <w:sz w:val="22"/>
                <w:szCs w:val="22"/>
                <w:color w:val="auto"/>
              </w:rPr>
              <w:t>____________</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bl>
    <w:p>
      <w:pPr>
        <w:ind w:left="260" w:hanging="252"/>
        <w:spacing w:after="0" w:line="189"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Expected delivery quarters are presented.</w:t>
      </w:r>
    </w:p>
    <w:p>
      <w:pPr>
        <w:ind w:left="260" w:hanging="252"/>
        <w:spacing w:after="0" w:line="182"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Charter expiration to be determined based upon actual date of delivery.</w:t>
      </w:r>
    </w:p>
    <w:p>
      <w:pPr>
        <w:ind w:left="260" w:hanging="252"/>
        <w:spacing w:after="0" w:line="197" w:lineRule="auto"/>
        <w:tabs>
          <w:tab w:leader="none" w:pos="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 owned subsidiary of Cheniere Energy, Inc. (“Cheniere”).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GasLog and GasLog Partners will host a joint conference call to discuss their results for the first quarter of 2020 at 8:30 a.m. EST (1:30 p.m. BST) on Thursday, May 7, 2020. Senior management of GasLog and GasLog Partners will review the operational and financial performance of both companies. The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8392466</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 live webcast of the conference call will also be available on the Investor Relations page of both the GasLog (</w:t>
      </w:r>
      <w:r>
        <w:rPr>
          <w:rFonts w:ascii="Arial" w:cs="Arial" w:eastAsia="Arial" w:hAnsi="Arial"/>
          <w:sz w:val="16"/>
          <w:szCs w:val="16"/>
          <w:u w:val="single" w:color="auto"/>
          <w:color w:val="0000FF"/>
        </w:rPr>
        <w:t>http://www.gaslogltd.com/investors</w:t>
      </w:r>
      <w:r>
        <w:rPr>
          <w:rFonts w:ascii="Arial" w:cs="Arial" w:eastAsia="Arial" w:hAnsi="Arial"/>
          <w:sz w:val="16"/>
          <w:szCs w:val="16"/>
          <w:color w:val="auto"/>
        </w:rPr>
        <w:t>) and GasLog Partners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 websites.</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pages of the companies’ websites as referenced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by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120" w:hanging="188"/>
        <w:spacing w:after="0" w:line="266"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right="120" w:hanging="196"/>
        <w:spacing w:after="0" w:line="264" w:lineRule="auto"/>
        <w:tabs>
          <w:tab w:leader="none" w:pos="4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disruption to the LNG, LNG shipping and financial markets caused by global shutdown as a result of the COVID-19 pandemic;</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00" w:hanging="188"/>
        <w:spacing w:after="0" w:line="264"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future, pending or recent acquisitions of or orders for ships or other assets, business strategy, areas of possible expansion and expected capital spending;</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300" w:hanging="188"/>
        <w:spacing w:after="0" w:line="264"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environmental liabilities on us and the shipping industry, including climate change;</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6, 2020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+1 212-223-0643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5080" w:type="dxa"/>
            <w:vAlign w:val="bottom"/>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2019 and March 31, 2020</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0"/>
        </w:trPr>
        <w:tc>
          <w:tcPr>
            <w:tcW w:w="5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80" w:type="dxa"/>
            <w:vAlign w:val="bottom"/>
            <w:gridSpan w:val="4"/>
          </w:tcPr>
          <w:p>
            <w:pPr>
              <w:ind w:left="240"/>
              <w:spacing w:after="0"/>
              <w:rPr>
                <w:sz w:val="20"/>
                <w:szCs w:val="20"/>
                <w:color w:val="auto"/>
              </w:rPr>
            </w:pPr>
            <w:r>
              <w:rPr>
                <w:rFonts w:ascii="Arial" w:cs="Arial" w:eastAsia="Arial" w:hAnsi="Arial"/>
                <w:sz w:val="16"/>
                <w:szCs w:val="16"/>
                <w:b w:val="1"/>
                <w:bCs w:val="1"/>
                <w:color w:val="auto"/>
              </w:rPr>
              <w:t>December 31, 2019</w:t>
            </w: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8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360" w:type="dxa"/>
            <w:vAlign w:val="bottom"/>
            <w:tcBorders>
              <w:top w:val="single" w:sz="8" w:color="E5FFFF"/>
            </w:tcBorders>
            <w:shd w:val="clear" w:color="auto" w:fill="E5FFFF"/>
          </w:tcPr>
          <w:p>
            <w:pPr>
              <w:spacing w:after="0"/>
              <w:rPr>
                <w:sz w:val="16"/>
                <w:szCs w:val="16"/>
                <w:color w:val="auto"/>
              </w:rPr>
            </w:pPr>
          </w:p>
        </w:tc>
        <w:tc>
          <w:tcPr>
            <w:tcW w:w="420" w:type="dxa"/>
            <w:vAlign w:val="bottom"/>
            <w:tcBorders>
              <w:top w:val="single" w:sz="8" w:color="auto"/>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260" w:type="dxa"/>
            <w:vAlign w:val="bottom"/>
            <w:tcBorders>
              <w:top w:val="single" w:sz="8" w:color="auto"/>
            </w:tcBorders>
            <w:shd w:val="clear" w:color="auto" w:fill="E5FFFF"/>
          </w:tcPr>
          <w:p>
            <w:pPr>
              <w:spacing w:after="0"/>
              <w:rPr>
                <w:sz w:val="16"/>
                <w:szCs w:val="16"/>
                <w:color w:val="auto"/>
              </w:rPr>
            </w:pPr>
          </w:p>
        </w:tc>
        <w:tc>
          <w:tcPr>
            <w:tcW w:w="1440" w:type="dxa"/>
            <w:vAlign w:val="bottom"/>
            <w:tcBorders>
              <w:top w:val="single" w:sz="8" w:color="auto"/>
            </w:tcBorders>
            <w:shd w:val="clear" w:color="auto" w:fill="E5FF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9,511</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21,620</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11,592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24,221</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58,787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3,572</w:t>
            </w:r>
          </w:p>
        </w:tc>
        <w:tc>
          <w:tcPr>
            <w:tcW w:w="26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Tangible fixed assets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4,427,065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4,401,977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203,323</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Right-of-use assets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206,495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206,607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4,907,399</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4,961,238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24,900</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573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429</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Inventories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8,172</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13,475</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4,500</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263,747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252,145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3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315,796</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320,549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2360" w:type="dxa"/>
            <w:vAlign w:val="bottom"/>
            <w:tcBorders>
              <w:bottom w:val="single" w:sz="8" w:color="E5FFFF"/>
            </w:tcBorders>
            <w:shd w:val="clear" w:color="auto" w:fill="E5FFFF"/>
          </w:tcPr>
          <w:p>
            <w:pPr>
              <w:spacing w:after="0"/>
              <w:rPr>
                <w:sz w:val="17"/>
                <w:szCs w:val="17"/>
                <w:color w:val="auto"/>
              </w:rPr>
            </w:pPr>
          </w:p>
        </w:tc>
        <w:tc>
          <w:tcPr>
            <w:tcW w:w="4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5,223,195</w:t>
            </w:r>
          </w:p>
        </w:tc>
        <w:tc>
          <w:tcPr>
            <w:tcW w:w="2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5,281,787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2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Preference shares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810</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Contributed surplus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760,671</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746,073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16,799</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Treasury shares</w:t>
            </w:r>
          </w:p>
        </w:tc>
        <w:tc>
          <w:tcPr>
            <w:tcW w:w="4380" w:type="dxa"/>
            <w:vAlign w:val="bottom"/>
            <w:gridSpan w:val="4"/>
          </w:tcPr>
          <w:p>
            <w:pPr>
              <w:jc w:val="right"/>
              <w:ind w:right="200"/>
              <w:spacing w:after="0"/>
              <w:rPr>
                <w:sz w:val="20"/>
                <w:szCs w:val="20"/>
                <w:color w:val="auto"/>
              </w:rPr>
            </w:pPr>
            <w:r>
              <w:rPr>
                <w:rFonts w:ascii="Arial" w:cs="Arial" w:eastAsia="Arial" w:hAnsi="Arial"/>
                <w:sz w:val="16"/>
                <w:szCs w:val="16"/>
                <w:color w:val="auto"/>
              </w:rPr>
              <w:t>(2,159)</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w:t>
            </w:r>
          </w:p>
        </w:tc>
        <w:tc>
          <w:tcPr>
            <w:tcW w:w="4380" w:type="dxa"/>
            <w:vAlign w:val="bottom"/>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(87,832)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(139,311)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688,335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617,313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961,518</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946,861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23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1,649,853</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1,564,174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236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27,615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38,993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601</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8,095</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136,242</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255,422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214,700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9,363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2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437,538</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381,434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41,837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108,334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2,891,973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3,028,319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438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195,567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193,445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380" w:type="dxa"/>
            <w:vAlign w:val="bottom"/>
            <w:gridSpan w:val="4"/>
          </w:tcPr>
          <w:p>
            <w:pPr>
              <w:jc w:val="right"/>
              <w:ind w:right="240"/>
              <w:spacing w:after="0"/>
              <w:rPr>
                <w:sz w:val="20"/>
                <w:szCs w:val="20"/>
                <w:color w:val="auto"/>
              </w:rPr>
            </w:pPr>
            <w:r>
              <w:rPr>
                <w:rFonts w:ascii="Arial" w:cs="Arial" w:eastAsia="Arial" w:hAnsi="Arial"/>
                <w:sz w:val="16"/>
                <w:szCs w:val="16"/>
                <w:color w:val="auto"/>
              </w:rPr>
              <w:t>6,427</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2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3,135,804</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3,336,179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5,223,195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5,281,787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60" w:type="dxa"/>
            <w:vAlign w:val="bottom"/>
            <w:vMerge w:val="restart"/>
          </w:tcPr>
          <w:p>
            <w:pPr>
              <w:jc w:val="right"/>
              <w:ind w:right="1659"/>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0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
          </w:tcPr>
          <w:p>
            <w:pPr>
              <w:ind w:left="5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40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March 31, 2019</w:t>
            </w: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4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38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3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165,897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Net pool allocation</w:t>
            </w:r>
          </w:p>
        </w:tc>
        <w:tc>
          <w:tcPr>
            <w:tcW w:w="5580" w:type="dxa"/>
            <w:vAlign w:val="bottom"/>
            <w:gridSpan w:val="4"/>
          </w:tcPr>
          <w:p>
            <w:pPr>
              <w:jc w:val="right"/>
              <w:ind w:right="260"/>
              <w:spacing w:after="0"/>
              <w:rPr>
                <w:sz w:val="20"/>
                <w:szCs w:val="20"/>
                <w:color w:val="auto"/>
              </w:rPr>
            </w:pPr>
            <w:r>
              <w:rPr>
                <w:rFonts w:ascii="Arial" w:cs="Arial" w:eastAsia="Arial" w:hAnsi="Arial"/>
                <w:sz w:val="16"/>
                <w:szCs w:val="16"/>
                <w:color w:val="auto"/>
              </w:rPr>
              <w:t>(6,738)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5580" w:type="dxa"/>
            <w:vAlign w:val="bottom"/>
            <w:gridSpan w:val="4"/>
            <w:shd w:val="clear" w:color="auto" w:fill="E5FFFF"/>
          </w:tcPr>
          <w:p>
            <w:pPr>
              <w:jc w:val="right"/>
              <w:ind w:right="260"/>
              <w:spacing w:after="0"/>
              <w:rPr>
                <w:sz w:val="20"/>
                <w:szCs w:val="20"/>
                <w:color w:val="auto"/>
              </w:rPr>
            </w:pPr>
            <w:r>
              <w:rPr>
                <w:rFonts w:ascii="Arial" w:cs="Arial" w:eastAsia="Arial" w:hAnsi="Arial"/>
                <w:sz w:val="16"/>
                <w:szCs w:val="16"/>
                <w:color w:val="auto"/>
              </w:rPr>
              <w:t>(6,917)</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5580" w:type="dxa"/>
            <w:vAlign w:val="bottom"/>
            <w:gridSpan w:val="4"/>
          </w:tcPr>
          <w:p>
            <w:pPr>
              <w:jc w:val="right"/>
              <w:ind w:right="260"/>
              <w:spacing w:after="0"/>
              <w:rPr>
                <w:sz w:val="20"/>
                <w:szCs w:val="20"/>
                <w:color w:val="auto"/>
              </w:rPr>
            </w:pPr>
            <w:r>
              <w:rPr>
                <w:rFonts w:ascii="Arial" w:cs="Arial" w:eastAsia="Arial" w:hAnsi="Arial"/>
                <w:sz w:val="16"/>
                <w:szCs w:val="16"/>
                <w:color w:val="auto"/>
              </w:rPr>
              <w:t>(32,970)</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(35,052)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580" w:type="dxa"/>
            <w:vAlign w:val="bottom"/>
            <w:gridSpan w:val="4"/>
            <w:shd w:val="clear" w:color="auto" w:fill="E5FFFF"/>
          </w:tcPr>
          <w:p>
            <w:pPr>
              <w:jc w:val="right"/>
              <w:ind w:right="260"/>
              <w:spacing w:after="0"/>
              <w:rPr>
                <w:sz w:val="20"/>
                <w:szCs w:val="20"/>
                <w:color w:val="auto"/>
              </w:rPr>
            </w:pPr>
            <w:r>
              <w:rPr>
                <w:rFonts w:ascii="Arial" w:cs="Arial" w:eastAsia="Arial" w:hAnsi="Arial"/>
                <w:sz w:val="16"/>
                <w:szCs w:val="16"/>
                <w:color w:val="auto"/>
              </w:rPr>
              <w:t>(39,599)</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580" w:type="dxa"/>
            <w:vAlign w:val="bottom"/>
            <w:gridSpan w:val="4"/>
          </w:tcPr>
          <w:p>
            <w:pPr>
              <w:jc w:val="right"/>
              <w:ind w:right="260"/>
              <w:spacing w:after="0"/>
              <w:rPr>
                <w:sz w:val="20"/>
                <w:szCs w:val="20"/>
                <w:color w:val="auto"/>
              </w:rPr>
            </w:pPr>
            <w:r>
              <w:rPr>
                <w:rFonts w:ascii="Arial" w:cs="Arial" w:eastAsia="Arial" w:hAnsi="Arial"/>
                <w:sz w:val="16"/>
                <w:szCs w:val="16"/>
                <w:color w:val="auto"/>
              </w:rPr>
              <w:t>(10,377)</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38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3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Arial" w:cs="Arial" w:eastAsia="Arial" w:hAnsi="Arial"/>
                <w:sz w:val="16"/>
                <w:szCs w:val="16"/>
                <w:color w:val="auto"/>
              </w:rPr>
              <w:t>Financial costs</w:t>
            </w: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(45,507)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(41,441)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2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1,459</w:t>
            </w: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Loss on derivatives</w:t>
            </w:r>
          </w:p>
        </w:tc>
        <w:tc>
          <w:tcPr>
            <w:tcW w:w="5580" w:type="dxa"/>
            <w:vAlign w:val="bottom"/>
            <w:gridSpan w:val="4"/>
          </w:tcPr>
          <w:p>
            <w:pPr>
              <w:jc w:val="right"/>
              <w:ind w:right="260"/>
              <w:spacing w:after="0"/>
              <w:rPr>
                <w:sz w:val="20"/>
                <w:szCs w:val="20"/>
                <w:color w:val="auto"/>
              </w:rPr>
            </w:pPr>
            <w:r>
              <w:rPr>
                <w:rFonts w:ascii="Arial" w:cs="Arial" w:eastAsia="Arial" w:hAnsi="Arial"/>
                <w:sz w:val="16"/>
                <w:szCs w:val="16"/>
                <w:color w:val="auto"/>
              </w:rPr>
              <w:t>(20,244)</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(71,124)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52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245</w:t>
            </w: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88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3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(111,691)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for the period</w:t>
            </w:r>
          </w:p>
        </w:tc>
        <w:tc>
          <w:tcPr>
            <w:tcW w:w="38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3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5580" w:type="dxa"/>
            <w:vAlign w:val="bottom"/>
            <w:gridSpan w:val="4"/>
            <w:shd w:val="clear" w:color="auto" w:fill="E5FFFF"/>
          </w:tcPr>
          <w:p>
            <w:pPr>
              <w:jc w:val="right"/>
              <w:ind w:right="260"/>
              <w:spacing w:after="0"/>
              <w:rPr>
                <w:sz w:val="20"/>
                <w:szCs w:val="20"/>
                <w:color w:val="auto"/>
              </w:rPr>
            </w:pPr>
            <w:r>
              <w:rPr>
                <w:rFonts w:ascii="Arial" w:cs="Arial" w:eastAsia="Arial" w:hAnsi="Arial"/>
                <w:sz w:val="16"/>
                <w:szCs w:val="16"/>
                <w:color w:val="auto"/>
              </w:rPr>
              <w:t>(10,947)</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(51,479)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260" w:type="dxa"/>
            <w:vAlign w:val="bottom"/>
            <w:gridSpan w:val="3"/>
          </w:tcPr>
          <w:p>
            <w:pPr>
              <w:jc w:val="right"/>
              <w:spacing w:after="0"/>
              <w:rPr>
                <w:sz w:val="20"/>
                <w:szCs w:val="20"/>
                <w:color w:val="auto"/>
              </w:rPr>
            </w:pPr>
            <w:r>
              <w:rPr>
                <w:rFonts w:ascii="Arial" w:cs="Arial" w:eastAsia="Arial" w:hAnsi="Arial"/>
                <w:sz w:val="16"/>
                <w:szCs w:val="16"/>
                <w:color w:val="auto"/>
              </w:rPr>
              <w:t>16,846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12,042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E5FFFF"/>
              <w:bottom w:val="single" w:sz="8" w:color="E5FFFF"/>
            </w:tcBorders>
            <w:shd w:val="clear" w:color="auto" w:fill="E5FFFF"/>
          </w:tcPr>
          <w:p>
            <w:pPr>
              <w:spacing w:after="0"/>
              <w:rPr>
                <w:sz w:val="17"/>
                <w:szCs w:val="17"/>
                <w:color w:val="auto"/>
              </w:rPr>
            </w:pPr>
          </w:p>
        </w:tc>
        <w:tc>
          <w:tcPr>
            <w:tcW w:w="388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Loss per share — basic and diluted</w:t>
            </w:r>
          </w:p>
        </w:tc>
        <w:tc>
          <w:tcPr>
            <w:tcW w:w="5580" w:type="dxa"/>
            <w:vAlign w:val="bottom"/>
            <w:gridSpan w:val="4"/>
            <w:shd w:val="clear" w:color="auto" w:fill="E5FFFF"/>
          </w:tcPr>
          <w:p>
            <w:pPr>
              <w:jc w:val="right"/>
              <w:ind w:right="260"/>
              <w:spacing w:after="0"/>
              <w:rPr>
                <w:sz w:val="20"/>
                <w:szCs w:val="20"/>
                <w:color w:val="auto"/>
              </w:rPr>
            </w:pPr>
            <w:r>
              <w:rPr>
                <w:rFonts w:ascii="Arial" w:cs="Arial" w:eastAsia="Arial" w:hAnsi="Arial"/>
                <w:sz w:val="16"/>
                <w:szCs w:val="16"/>
                <w:b w:val="1"/>
                <w:bCs w:val="1"/>
                <w:color w:val="auto"/>
              </w:rPr>
              <w:t>(0.17)</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(0.67)</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020" w:type="dxa"/>
            <w:vAlign w:val="bottom"/>
          </w:tcPr>
          <w:p>
            <w:pPr>
              <w:spacing w:after="0"/>
              <w:rPr>
                <w:sz w:val="24"/>
                <w:szCs w:val="24"/>
                <w:color w:val="auto"/>
              </w:rPr>
            </w:pPr>
          </w:p>
        </w:tc>
        <w:tc>
          <w:tcPr>
            <w:tcW w:w="3880" w:type="dxa"/>
            <w:vAlign w:val="bottom"/>
          </w:tcPr>
          <w:p>
            <w:pPr>
              <w:jc w:val="right"/>
              <w:ind w:right="21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5"/>
          </w:tcPr>
          <w:p>
            <w:pPr>
              <w:ind w:left="58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4"/>
              </w:rPr>
              <w:t>March 31, 2019</w:t>
            </w:r>
          </w:p>
        </w:tc>
        <w:tc>
          <w:tcPr>
            <w:tcW w:w="15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r>
      <w:tr>
        <w:trPr>
          <w:trHeight w:val="185"/>
        </w:trPr>
        <w:tc>
          <w:tcPr>
            <w:tcW w:w="7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auto"/>
            </w:tcBorders>
            <w:shd w:val="clear" w:color="auto" w:fill="E5FFFF"/>
          </w:tcPr>
          <w:p>
            <w:pPr>
              <w:spacing w:after="0"/>
              <w:rPr>
                <w:sz w:val="16"/>
                <w:szCs w:val="16"/>
                <w:color w:val="auto"/>
              </w:rPr>
            </w:pPr>
          </w:p>
        </w:tc>
        <w:tc>
          <w:tcPr>
            <w:tcW w:w="128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Profit/(loss) for the period</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5,899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(39,437)</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39,599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41,497</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(245)</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(1,459)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(468)</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45,507</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41,441</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Unrealized foreign exchange losses on cash and cash equivalents</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 including ineffective portion of</w:t>
            </w:r>
          </w:p>
        </w:tc>
        <w:tc>
          <w:tcPr>
            <w:tcW w:w="13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7960" w:type="dxa"/>
            <w:vAlign w:val="bottom"/>
            <w:gridSpan w:val="2"/>
            <w:shd w:val="clear" w:color="auto" w:fill="E5FFFF"/>
          </w:tcPr>
          <w:p>
            <w:pPr>
              <w:ind w:left="160"/>
              <w:spacing w:after="0"/>
              <w:rPr>
                <w:sz w:val="20"/>
                <w:szCs w:val="20"/>
                <w:color w:val="auto"/>
              </w:rPr>
            </w:pPr>
            <w:r>
              <w:rPr>
                <w:rFonts w:ascii="Arial" w:cs="Arial" w:eastAsia="Arial" w:hAnsi="Arial"/>
                <w:sz w:val="16"/>
                <w:szCs w:val="16"/>
                <w:color w:val="auto"/>
              </w:rPr>
              <w:t>cash flow hedges</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21,103</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70,049</w:t>
            </w:r>
          </w:p>
        </w:tc>
        <w:tc>
          <w:tcPr>
            <w:tcW w:w="60" w:type="dxa"/>
            <w:vAlign w:val="bottom"/>
          </w:tcPr>
          <w:p>
            <w:pPr>
              <w:spacing w:after="0"/>
              <w:rPr>
                <w:sz w:val="18"/>
                <w:szCs w:val="18"/>
                <w:color w:val="auto"/>
              </w:rPr>
            </w:pPr>
          </w:p>
        </w:tc>
      </w:tr>
      <w:tr>
        <w:trPr>
          <w:trHeight w:val="202"/>
        </w:trPr>
        <w:tc>
          <w:tcPr>
            <w:tcW w:w="79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1,322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1,346</w:t>
            </w:r>
          </w:p>
        </w:tc>
        <w:tc>
          <w:tcPr>
            <w:tcW w:w="60" w:type="dxa"/>
            <w:vAlign w:val="bottom"/>
          </w:tcPr>
          <w:p>
            <w:pPr>
              <w:spacing w:after="0"/>
              <w:rPr>
                <w:sz w:val="17"/>
                <w:szCs w:val="17"/>
                <w:color w:val="auto"/>
              </w:rPr>
            </w:pPr>
          </w:p>
        </w:tc>
      </w:tr>
      <w:tr>
        <w:trPr>
          <w:trHeight w:val="196"/>
        </w:trPr>
        <w:tc>
          <w:tcPr>
            <w:tcW w:w="77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111,857</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114,022</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Movements in working capital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(87,051)</w:t>
            </w:r>
          </w:p>
        </w:tc>
        <w:tc>
          <w:tcPr>
            <w:tcW w:w="60" w:type="dxa"/>
            <w:vAlign w:val="bottom"/>
          </w:tcPr>
          <w:p>
            <w:pPr>
              <w:spacing w:after="0"/>
              <w:rPr>
                <w:sz w:val="17"/>
                <w:szCs w:val="17"/>
                <w:color w:val="auto"/>
              </w:rPr>
            </w:pPr>
          </w:p>
        </w:tc>
      </w:tr>
      <w:tr>
        <w:trPr>
          <w:trHeight w:val="196"/>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100,181</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26,971</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Interest paid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(57,467)</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(57,156)</w:t>
            </w:r>
          </w:p>
        </w:tc>
        <w:tc>
          <w:tcPr>
            <w:tcW w:w="60" w:type="dxa"/>
            <w:vAlign w:val="bottom"/>
          </w:tcPr>
          <w:p>
            <w:pPr>
              <w:spacing w:after="0"/>
              <w:rPr>
                <w:sz w:val="17"/>
                <w:szCs w:val="17"/>
                <w:color w:val="auto"/>
              </w:rPr>
            </w:pPr>
          </w:p>
        </w:tc>
      </w:tr>
      <w:tr>
        <w:trPr>
          <w:trHeight w:val="196"/>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42,714</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(30,185)</w:t>
            </w:r>
          </w:p>
        </w:tc>
        <w:tc>
          <w:tcPr>
            <w:tcW w:w="60" w:type="dxa"/>
            <w:vAlign w:val="bottom"/>
          </w:tcPr>
          <w:p>
            <w:pPr>
              <w:spacing w:after="0"/>
              <w:rPr>
                <w:sz w:val="17"/>
                <w:szCs w:val="17"/>
                <w:color w:val="auto"/>
              </w:rPr>
            </w:pPr>
          </w:p>
        </w:tc>
      </w:tr>
      <w:tr>
        <w:trPr>
          <w:trHeight w:val="183"/>
        </w:trPr>
        <w:tc>
          <w:tcPr>
            <w:tcW w:w="79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(220,549)</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(59,685)</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Return of capital expenditures</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5,629</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Payments for right-of-use assets</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(980)</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Dividends received from associate</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538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(10,000)</w:t>
            </w:r>
          </w:p>
        </w:tc>
        <w:tc>
          <w:tcPr>
            <w:tcW w:w="24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Maturity of short-term investments</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25,000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1,363</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572</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(198,019)</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(55,143)</w:t>
            </w:r>
          </w:p>
        </w:tc>
        <w:tc>
          <w:tcPr>
            <w:tcW w:w="60" w:type="dxa"/>
            <w:vAlign w:val="bottom"/>
          </w:tcPr>
          <w:p>
            <w:pPr>
              <w:spacing w:after="0"/>
              <w:rPr>
                <w:sz w:val="17"/>
                <w:szCs w:val="17"/>
                <w:color w:val="auto"/>
              </w:rPr>
            </w:pPr>
          </w:p>
        </w:tc>
      </w:tr>
      <w:tr>
        <w:trPr>
          <w:trHeight w:val="183"/>
        </w:trPr>
        <w:tc>
          <w:tcPr>
            <w:tcW w:w="7960" w:type="dxa"/>
            <w:vAlign w:val="bottom"/>
            <w:gridSpan w:val="2"/>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28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Proceeds from bank loans</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525,805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252,525</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 loan and bond repayments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(426,208)</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(124,116)</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Payment for bond repurchase at a premium</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(1,937)</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 for CCS termination</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(4,051)</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Payment of loan issuance costs</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(7,780)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(3,188)</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(668)</w:t>
            </w:r>
          </w:p>
        </w:tc>
        <w:tc>
          <w:tcPr>
            <w:tcW w:w="24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Dividends paid</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(41,418)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(37,780)</w:t>
            </w:r>
          </w:p>
        </w:tc>
        <w:tc>
          <w:tcPr>
            <w:tcW w:w="60" w:type="dxa"/>
            <w:vAlign w:val="bottom"/>
          </w:tcPr>
          <w:p>
            <w:pPr>
              <w:spacing w:after="0"/>
              <w:rPr>
                <w:sz w:val="17"/>
                <w:szCs w:val="17"/>
                <w:color w:val="auto"/>
              </w:rPr>
            </w:pPr>
          </w:p>
        </w:tc>
      </w:tr>
      <w:tr>
        <w:trPr>
          <w:trHeight w:val="202"/>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(3,751)</w:t>
            </w:r>
          </w:p>
        </w:tc>
        <w:tc>
          <w:tcPr>
            <w:tcW w:w="1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(2,996)</w:t>
            </w:r>
          </w:p>
        </w:tc>
        <w:tc>
          <w:tcPr>
            <w:tcW w:w="60" w:type="dxa"/>
            <w:vAlign w:val="bottom"/>
          </w:tcPr>
          <w:p>
            <w:pPr>
              <w:spacing w:after="0"/>
              <w:rPr>
                <w:sz w:val="17"/>
                <w:szCs w:val="17"/>
                <w:color w:val="auto"/>
              </w:rPr>
            </w:pPr>
          </w:p>
        </w:tc>
      </w:tr>
      <w:tr>
        <w:trPr>
          <w:trHeight w:val="203"/>
        </w:trPr>
        <w:tc>
          <w:tcPr>
            <w:tcW w:w="7960" w:type="dxa"/>
            <w:vAlign w:val="bottom"/>
            <w:gridSpan w:val="2"/>
          </w:tcPr>
          <w:p>
            <w:pPr>
              <w:spacing w:after="0"/>
              <w:rPr>
                <w:sz w:val="20"/>
                <w:szCs w:val="20"/>
                <w:color w:val="auto"/>
              </w:rPr>
            </w:pPr>
            <w:r>
              <w:rPr>
                <w:rFonts w:ascii="Arial" w:cs="Arial" w:eastAsia="Arial" w:hAnsi="Arial"/>
                <w:sz w:val="16"/>
                <w:szCs w:val="16"/>
                <w:color w:val="auto"/>
              </w:rPr>
              <w:t>Payments for lease liability</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(2,388)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(2,508)</w:t>
            </w:r>
          </w:p>
        </w:tc>
        <w:tc>
          <w:tcPr>
            <w:tcW w:w="60" w:type="dxa"/>
            <w:vAlign w:val="bottom"/>
          </w:tcPr>
          <w:p>
            <w:pPr>
              <w:spacing w:after="0"/>
              <w:rPr>
                <w:sz w:val="17"/>
                <w:szCs w:val="17"/>
                <w:color w:val="auto"/>
              </w:rPr>
            </w:pPr>
          </w:p>
        </w:tc>
      </w:tr>
      <w:tr>
        <w:trPr>
          <w:trHeight w:val="196"/>
        </w:trPr>
        <w:tc>
          <w:tcPr>
            <w:tcW w:w="79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43,592</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75,949</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60" w:type="dxa"/>
            <w:vAlign w:val="bottom"/>
          </w:tcPr>
          <w:p>
            <w:pPr>
              <w:spacing w:after="0"/>
              <w:rPr>
                <w:sz w:val="17"/>
                <w:szCs w:val="17"/>
                <w:color w:val="auto"/>
              </w:rPr>
            </w:pPr>
          </w:p>
        </w:tc>
      </w:tr>
      <w:tr>
        <w:trPr>
          <w:trHeight w:val="196"/>
        </w:trPr>
        <w:tc>
          <w:tcPr>
            <w:tcW w:w="79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(111,844)</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(11,602)</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342,594</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263,747</w:t>
            </w:r>
          </w:p>
        </w:tc>
        <w:tc>
          <w:tcPr>
            <w:tcW w:w="60" w:type="dxa"/>
            <w:vAlign w:val="bottom"/>
          </w:tcPr>
          <w:p>
            <w:pPr>
              <w:spacing w:after="0"/>
              <w:rPr>
                <w:sz w:val="17"/>
                <w:szCs w:val="17"/>
                <w:color w:val="auto"/>
              </w:rPr>
            </w:pPr>
          </w:p>
        </w:tc>
      </w:tr>
      <w:tr>
        <w:trPr>
          <w:trHeight w:val="196"/>
        </w:trPr>
        <w:tc>
          <w:tcPr>
            <w:tcW w:w="796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230,750</w:t>
            </w:r>
          </w:p>
        </w:tc>
        <w:tc>
          <w:tcPr>
            <w:tcW w:w="2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252,145</w:t>
            </w:r>
          </w:p>
        </w:tc>
        <w:tc>
          <w:tcPr>
            <w:tcW w:w="6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2" w:right="4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39"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on vessels and restructuring costs. Adjusted Profit represents earnings before write-off and accelerated amortization of unamortized loan fees/bond fees and premium, foreign exchange gains/losses, unrealized foreign exchange losses on cash and bond, impairment loss on vessels, restructuring costs and non-cash gain/loss on derivatives that includes (if any) (a) unrealized gain/loss on derivative financial instruments held for trading, (b) recycled loss of cash flow hedges reclassified to profit or loss and (c) ineffective portion of cash flow hedges. Adjusted EPS represents earnings attributable to owners of the Group before write-off and accelerated amortization of unamortized loan/bond fees and premium, foreign exchange gains/losses, unrealized foreign exchange losses on cash and bond, impairment loss on vessels attributable to the owners of the Group, restructuring costs and non-cash gain/loss on derivatives as defined above,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on vessels and restructuring costs; and in the case of Adjusted Profit and Adjusted EPS, write-off and accelerated amortization of unamortized loan/bond fees and premium, foreign exchange gains/losses, unrealized foreign exchange losses on cash and bond, impairment loss on vessels,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period, impairment loss on vessels and restructuring costs in particular are excluded from Adjusted EBITDA, Adjusted profit and Adjusted EPS because impairments of long-lived assets, which represent the excess of their carrying amount over the amount that is expected to be recovered from them in the future, and restructuring costs, which reflect specific actions taken by management to improve the Group’s future profitability, are non-cash charges and non-recurring operating expenses, respectively, that we believe reduce the comparability of our operating and business performance across periods. In addition, unrealized foreign exchange losses on cash and bond, are separately adjusted in the current period, while in the past foreign exchange losses on cash were included in foreign exchange gains/losses and unrealized foreign exchange losses on bond did not exist.</w:t>
      </w:r>
    </w:p>
    <w:p>
      <w:pPr>
        <w:spacing w:after="0" w:line="37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2"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Profit/(loss)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52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3780" w:type="dxa"/>
            <w:vAlign w:val="bottom"/>
            <w:tcBorders>
              <w:top w:val="single" w:sz="8" w:color="E5FFFF"/>
            </w:tcBorders>
            <w:shd w:val="clear" w:color="auto" w:fill="E5FFFF"/>
          </w:tcPr>
          <w:p>
            <w:pPr>
              <w:ind w:left="40"/>
              <w:spacing w:after="0"/>
              <w:rPr>
                <w:sz w:val="20"/>
                <w:szCs w:val="20"/>
                <w:color w:val="auto"/>
              </w:rPr>
            </w:pPr>
            <w:r>
              <w:rPr>
                <w:rFonts w:ascii="Arial" w:cs="Arial" w:eastAsia="Arial" w:hAnsi="Arial"/>
                <w:sz w:val="16"/>
                <w:szCs w:val="16"/>
                <w:color w:val="auto"/>
              </w:rPr>
              <w:t>Profit/(loss) for the period</w:t>
            </w:r>
          </w:p>
        </w:tc>
        <w:tc>
          <w:tcPr>
            <w:tcW w:w="364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5,899</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(39,437)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5060" w:type="dxa"/>
            <w:vAlign w:val="bottom"/>
            <w:gridSpan w:val="2"/>
          </w:tcPr>
          <w:p>
            <w:pPr>
              <w:jc w:val="right"/>
              <w:spacing w:after="0"/>
              <w:rPr>
                <w:sz w:val="20"/>
                <w:szCs w:val="20"/>
                <w:color w:val="auto"/>
              </w:rPr>
            </w:pPr>
            <w:r>
              <w:rPr>
                <w:rFonts w:ascii="Arial" w:cs="Arial" w:eastAsia="Arial" w:hAnsi="Arial"/>
                <w:sz w:val="16"/>
                <w:szCs w:val="16"/>
                <w:color w:val="auto"/>
              </w:rPr>
              <w:t>39,599</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41,497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E5FFFF"/>
          </w:tcPr>
          <w:p>
            <w:pPr>
              <w:ind w:left="40"/>
              <w:spacing w:after="0"/>
              <w:rPr>
                <w:sz w:val="20"/>
                <w:szCs w:val="20"/>
                <w:color w:val="auto"/>
              </w:rPr>
            </w:pPr>
            <w:r>
              <w:rPr>
                <w:rFonts w:ascii="Arial" w:cs="Arial" w:eastAsia="Arial" w:hAnsi="Arial"/>
                <w:sz w:val="16"/>
                <w:szCs w:val="16"/>
                <w:color w:val="auto"/>
              </w:rPr>
              <w:t>Financial costs</w:t>
            </w:r>
          </w:p>
        </w:tc>
        <w:tc>
          <w:tcPr>
            <w:tcW w:w="50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45,507</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80" w:type="dxa"/>
            <w:vAlign w:val="bottom"/>
          </w:tcPr>
          <w:p>
            <w:pPr>
              <w:ind w:left="40"/>
              <w:spacing w:after="0"/>
              <w:rPr>
                <w:sz w:val="20"/>
                <w:szCs w:val="20"/>
                <w:color w:val="auto"/>
              </w:rPr>
            </w:pPr>
            <w:r>
              <w:rPr>
                <w:rFonts w:ascii="Arial" w:cs="Arial" w:eastAsia="Arial" w:hAnsi="Arial"/>
                <w:sz w:val="16"/>
                <w:szCs w:val="16"/>
                <w:color w:val="auto"/>
              </w:rPr>
              <w:t>Financial income</w:t>
            </w:r>
          </w:p>
        </w:tc>
        <w:tc>
          <w:tcPr>
            <w:tcW w:w="5220" w:type="dxa"/>
            <w:vAlign w:val="bottom"/>
            <w:gridSpan w:val="3"/>
          </w:tcPr>
          <w:p>
            <w:pPr>
              <w:jc w:val="right"/>
              <w:ind w:right="120"/>
              <w:spacing w:after="0"/>
              <w:rPr>
                <w:sz w:val="20"/>
                <w:szCs w:val="20"/>
                <w:color w:val="auto"/>
              </w:rPr>
            </w:pPr>
            <w:r>
              <w:rPr>
                <w:rFonts w:ascii="Arial" w:cs="Arial" w:eastAsia="Arial" w:hAnsi="Arial"/>
                <w:sz w:val="16"/>
                <w:szCs w:val="16"/>
                <w:color w:val="auto"/>
              </w:rPr>
              <w:t>(1,459)</w:t>
            </w:r>
          </w:p>
        </w:tc>
        <w:tc>
          <w:tcPr>
            <w:tcW w:w="1380" w:type="dxa"/>
            <w:vAlign w:val="bottom"/>
          </w:tcPr>
          <w:p>
            <w:pPr>
              <w:jc w:val="right"/>
              <w:spacing w:after="0"/>
              <w:rPr>
                <w:sz w:val="20"/>
                <w:szCs w:val="20"/>
                <w:color w:val="auto"/>
              </w:rPr>
            </w:pPr>
            <w:r>
              <w:rPr>
                <w:rFonts w:ascii="Arial" w:cs="Arial" w:eastAsia="Arial" w:hAnsi="Arial"/>
                <w:sz w:val="16"/>
                <w:szCs w:val="16"/>
                <w:color w:val="auto"/>
              </w:rPr>
              <w:t>(468)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E5FFFF"/>
          </w:tcPr>
          <w:p>
            <w:pPr>
              <w:ind w:left="40"/>
              <w:spacing w:after="0"/>
              <w:rPr>
                <w:sz w:val="20"/>
                <w:szCs w:val="20"/>
                <w:color w:val="auto"/>
              </w:rPr>
            </w:pPr>
            <w:r>
              <w:rPr>
                <w:rFonts w:ascii="Arial" w:cs="Arial" w:eastAsia="Arial" w:hAnsi="Arial"/>
                <w:sz w:val="16"/>
                <w:szCs w:val="16"/>
                <w:color w:val="auto"/>
              </w:rPr>
              <w:t>Loss on derivatives</w:t>
            </w:r>
          </w:p>
        </w:tc>
        <w:tc>
          <w:tcPr>
            <w:tcW w:w="50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20,244</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71,124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364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109,790</w:t>
            </w:r>
          </w:p>
        </w:tc>
        <w:tc>
          <w:tcPr>
            <w:tcW w:w="1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114,157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losses/(gains), net</w:t>
            </w:r>
          </w:p>
        </w:tc>
        <w:tc>
          <w:tcPr>
            <w:tcW w:w="364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Restructuring costs</w:t>
            </w:r>
          </w:p>
        </w:tc>
        <w:tc>
          <w:tcPr>
            <w:tcW w:w="364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EBITDA</w:t>
            </w:r>
          </w:p>
        </w:tc>
        <w:tc>
          <w:tcPr>
            <w:tcW w:w="3640" w:type="dxa"/>
            <w:vAlign w:val="bottom"/>
            <w:tcBorders>
              <w:bottom w:val="single" w:sz="8" w:color="E5FFFF"/>
            </w:tcBorders>
            <w:shd w:val="clear" w:color="auto" w:fill="E5FFFF"/>
          </w:tcPr>
          <w:p>
            <w:pPr>
              <w:spacing w:after="0"/>
              <w:rPr>
                <w:sz w:val="17"/>
                <w:szCs w:val="17"/>
                <w:color w:val="auto"/>
              </w:rPr>
            </w:pP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109,940</w:t>
            </w:r>
          </w:p>
        </w:tc>
        <w:tc>
          <w:tcPr>
            <w:tcW w:w="16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113,970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40" w:type="dxa"/>
            <w:vAlign w:val="bottom"/>
            <w:vMerge w:val="restart"/>
          </w:tcPr>
          <w:p>
            <w:pPr>
              <w:jc w:val="right"/>
              <w:ind w:right="1981"/>
              <w:spacing w:after="0"/>
              <w:rPr>
                <w:sz w:val="20"/>
                <w:szCs w:val="20"/>
                <w:color w:val="auto"/>
              </w:rPr>
            </w:pPr>
            <w:r>
              <w:rPr>
                <w:rFonts w:ascii="Arial" w:cs="Arial" w:eastAsia="Arial" w:hAnsi="Arial"/>
                <w:sz w:val="14"/>
                <w:szCs w:val="14"/>
                <w:color w:val="auto"/>
              </w:rPr>
              <w:t>14</w:t>
            </w: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Reconciliation of Profit/(loss)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02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4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5,899</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(39,437)</w:t>
            </w:r>
          </w:p>
        </w:tc>
        <w:tc>
          <w:tcPr>
            <w:tcW w:w="60" w:type="dxa"/>
            <w:vAlign w:val="bottom"/>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Non-cash loss on derivatives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21,103</w:t>
            </w:r>
          </w:p>
        </w:tc>
        <w:tc>
          <w:tcPr>
            <w:tcW w:w="1380" w:type="dxa"/>
            <w:vAlign w:val="bottom"/>
          </w:tcPr>
          <w:p>
            <w:pPr>
              <w:jc w:val="right"/>
              <w:spacing w:after="0"/>
              <w:rPr>
                <w:sz w:val="20"/>
                <w:szCs w:val="20"/>
                <w:color w:val="auto"/>
              </w:rPr>
            </w:pPr>
            <w:r>
              <w:rPr>
                <w:rFonts w:ascii="Arial" w:cs="Arial" w:eastAsia="Arial" w:hAnsi="Arial"/>
                <w:sz w:val="16"/>
                <w:szCs w:val="16"/>
                <w:color w:val="auto"/>
              </w:rPr>
              <w:t>70,049</w:t>
            </w:r>
          </w:p>
        </w:tc>
        <w:tc>
          <w:tcPr>
            <w:tcW w:w="60" w:type="dxa"/>
            <w:vAlign w:val="bottom"/>
          </w:tcPr>
          <w:p>
            <w:pPr>
              <w:spacing w:after="0"/>
              <w:rPr>
                <w:sz w:val="17"/>
                <w:szCs w:val="17"/>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Write-off of unamortized loan/bond fees</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988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316</w:t>
            </w:r>
          </w:p>
        </w:tc>
        <w:tc>
          <w:tcPr>
            <w:tcW w:w="60" w:type="dxa"/>
            <w:vAlign w:val="bottom"/>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Foreign exchange losses/(gains), net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150</w:t>
            </w:r>
          </w:p>
        </w:tc>
        <w:tc>
          <w:tcPr>
            <w:tcW w:w="1380" w:type="dxa"/>
            <w:vAlign w:val="bottom"/>
          </w:tcPr>
          <w:p>
            <w:pPr>
              <w:jc w:val="right"/>
              <w:spacing w:after="0"/>
              <w:rPr>
                <w:sz w:val="20"/>
                <w:szCs w:val="20"/>
                <w:color w:val="auto"/>
              </w:rPr>
            </w:pPr>
            <w:r>
              <w:rPr>
                <w:rFonts w:ascii="Arial" w:cs="Arial" w:eastAsia="Arial" w:hAnsi="Arial"/>
                <w:sz w:val="16"/>
                <w:szCs w:val="16"/>
                <w:color w:val="auto"/>
              </w:rPr>
              <w:t>(632)</w:t>
            </w:r>
          </w:p>
        </w:tc>
        <w:tc>
          <w:tcPr>
            <w:tcW w:w="60" w:type="dxa"/>
            <w:vAlign w:val="bottom"/>
          </w:tcPr>
          <w:p>
            <w:pPr>
              <w:spacing w:after="0"/>
              <w:rPr>
                <w:sz w:val="17"/>
                <w:szCs w:val="17"/>
                <w:color w:val="auto"/>
              </w:rPr>
            </w:pPr>
          </w:p>
        </w:tc>
      </w:tr>
      <w:tr>
        <w:trPr>
          <w:trHeight w:val="19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Unrealized foreign exchange gains, net on cash and</w:t>
            </w:r>
          </w:p>
        </w:tc>
        <w:tc>
          <w:tcPr>
            <w:tcW w:w="14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74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bonds</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(3,951)</w:t>
            </w:r>
          </w:p>
        </w:tc>
        <w:tc>
          <w:tcPr>
            <w:tcW w:w="60" w:type="dxa"/>
            <w:vAlign w:val="bottom"/>
          </w:tcPr>
          <w:p>
            <w:pPr>
              <w:spacing w:after="0"/>
              <w:rPr>
                <w:sz w:val="18"/>
                <w:szCs w:val="18"/>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Restructuring costs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445</w:t>
            </w:r>
          </w:p>
        </w:tc>
        <w:tc>
          <w:tcPr>
            <w:tcW w:w="60" w:type="dxa"/>
            <w:vAlign w:val="bottom"/>
          </w:tcPr>
          <w:p>
            <w:pPr>
              <w:spacing w:after="0"/>
              <w:rPr>
                <w:sz w:val="17"/>
                <w:szCs w:val="17"/>
                <w:color w:val="auto"/>
              </w:rPr>
            </w:pPr>
          </w:p>
        </w:tc>
      </w:tr>
      <w:tr>
        <w:trPr>
          <w:trHeight w:val="196"/>
        </w:trPr>
        <w:tc>
          <w:tcPr>
            <w:tcW w:w="74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28,140</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26,790</w:t>
            </w:r>
          </w:p>
        </w:tc>
        <w:tc>
          <w:tcPr>
            <w:tcW w:w="60" w:type="dxa"/>
            <w:vAlign w:val="bottom"/>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Loss Per Share to Adjusted Earnings Per Share: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520" w:type="dxa"/>
            <w:vAlign w:val="bottom"/>
            <w:gridSpan w:val="4"/>
          </w:tcPr>
          <w:p>
            <w:pPr>
              <w:jc w:val="right"/>
              <w:ind w:right="11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March 31, 2019</w:t>
            </w:r>
          </w:p>
        </w:tc>
        <w:tc>
          <w:tcPr>
            <w:tcW w:w="194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29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(10,947)</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(51,479)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Less:</w:t>
            </w: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4500" w:type="dxa"/>
            <w:vAlign w:val="bottom"/>
            <w:gridSpan w:val="3"/>
            <w:shd w:val="clear" w:color="auto" w:fill="E5FFFF"/>
          </w:tcPr>
          <w:p>
            <w:pPr>
              <w:jc w:val="right"/>
              <w:ind w:right="39"/>
              <w:spacing w:after="0"/>
              <w:rPr>
                <w:sz w:val="20"/>
                <w:szCs w:val="20"/>
                <w:color w:val="auto"/>
              </w:rPr>
            </w:pPr>
            <w:r>
              <w:rPr>
                <w:rFonts w:ascii="Arial" w:cs="Arial" w:eastAsia="Arial" w:hAnsi="Arial"/>
                <w:sz w:val="16"/>
                <w:szCs w:val="16"/>
                <w:color w:val="auto"/>
              </w:rPr>
              <w:t>(2,516)</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4500" w:type="dxa"/>
            <w:vAlign w:val="bottom"/>
          </w:tcPr>
          <w:p>
            <w:pPr>
              <w:spacing w:after="0" w:line="173" w:lineRule="exact"/>
              <w:rPr>
                <w:sz w:val="20"/>
                <w:szCs w:val="20"/>
                <w:color w:val="auto"/>
              </w:rPr>
            </w:pPr>
            <w:r>
              <w:rPr>
                <w:rFonts w:ascii="Arial" w:cs="Arial" w:eastAsia="Arial" w:hAnsi="Arial"/>
                <w:sz w:val="16"/>
                <w:szCs w:val="16"/>
                <w:color w:val="auto"/>
              </w:rPr>
              <w:t>Loss for the period available to owners of the Group used</w:t>
            </w:r>
          </w:p>
        </w:tc>
        <w:tc>
          <w:tcPr>
            <w:tcW w:w="29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6"/>
                <w:szCs w:val="16"/>
                <w:color w:val="auto"/>
              </w:rPr>
              <w:t>in EPS calculation</w:t>
            </w:r>
          </w:p>
        </w:tc>
        <w:tc>
          <w:tcPr>
            <w:tcW w:w="4500" w:type="dxa"/>
            <w:vAlign w:val="bottom"/>
            <w:gridSpan w:val="3"/>
          </w:tcPr>
          <w:p>
            <w:pPr>
              <w:jc w:val="right"/>
              <w:ind w:right="39"/>
              <w:spacing w:after="0"/>
              <w:rPr>
                <w:sz w:val="20"/>
                <w:szCs w:val="20"/>
                <w:color w:val="auto"/>
              </w:rPr>
            </w:pPr>
            <w:r>
              <w:rPr>
                <w:rFonts w:ascii="Arial" w:cs="Arial" w:eastAsia="Arial" w:hAnsi="Arial"/>
                <w:sz w:val="16"/>
                <w:szCs w:val="16"/>
                <w:color w:val="auto"/>
              </w:rPr>
              <w:t>(13,463)</w:t>
            </w:r>
          </w:p>
        </w:tc>
        <w:tc>
          <w:tcPr>
            <w:tcW w:w="1940" w:type="dxa"/>
            <w:vAlign w:val="bottom"/>
            <w:gridSpan w:val="2"/>
          </w:tcPr>
          <w:p>
            <w:pPr>
              <w:jc w:val="right"/>
              <w:ind w:right="600"/>
              <w:spacing w:after="0"/>
              <w:rPr>
                <w:sz w:val="20"/>
                <w:szCs w:val="20"/>
                <w:color w:val="auto"/>
              </w:rPr>
            </w:pPr>
            <w:r>
              <w:rPr>
                <w:rFonts w:ascii="Arial" w:cs="Arial" w:eastAsia="Arial" w:hAnsi="Arial"/>
                <w:sz w:val="16"/>
                <w:szCs w:val="16"/>
                <w:color w:val="auto"/>
              </w:rPr>
              <w:t>(53,995)</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29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80,825,637</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80,706,008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b w:val="1"/>
                <w:bCs w:val="1"/>
                <w:color w:val="auto"/>
              </w:rPr>
              <w:t>Loss per share</w:t>
            </w:r>
          </w:p>
        </w:tc>
        <w:tc>
          <w:tcPr>
            <w:tcW w:w="29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(0.17</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9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(0.67)</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4500" w:type="dxa"/>
            <w:vAlign w:val="bottom"/>
            <w:tcBorders>
              <w:top w:val="single" w:sz="8" w:color="E5FFFF"/>
            </w:tcBorders>
            <w:shd w:val="clear" w:color="auto" w:fill="E5FFFF"/>
          </w:tcPr>
          <w:p>
            <w:pPr>
              <w:spacing w:after="0" w:line="173" w:lineRule="exact"/>
              <w:rPr>
                <w:sz w:val="20"/>
                <w:szCs w:val="20"/>
                <w:color w:val="auto"/>
              </w:rPr>
            </w:pPr>
            <w:r>
              <w:rPr>
                <w:rFonts w:ascii="Arial" w:cs="Arial" w:eastAsia="Arial" w:hAnsi="Arial"/>
                <w:sz w:val="16"/>
                <w:szCs w:val="16"/>
                <w:color w:val="auto"/>
              </w:rPr>
              <w:t>Loss for the period available to owners of the Group used</w:t>
            </w:r>
          </w:p>
        </w:tc>
        <w:tc>
          <w:tcPr>
            <w:tcW w:w="2920" w:type="dxa"/>
            <w:vAlign w:val="bottom"/>
            <w:tcBorders>
              <w:top w:val="single" w:sz="8" w:color="E5FFFF"/>
            </w:tcBorders>
            <w:shd w:val="clear" w:color="auto" w:fill="E5FFFF"/>
          </w:tcPr>
          <w:p>
            <w:pPr>
              <w:spacing w:after="0"/>
              <w:rPr>
                <w:sz w:val="15"/>
                <w:szCs w:val="15"/>
                <w:color w:val="auto"/>
              </w:rPr>
            </w:pPr>
          </w:p>
        </w:tc>
        <w:tc>
          <w:tcPr>
            <w:tcW w:w="140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50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in EPS calculation</w:t>
            </w:r>
          </w:p>
        </w:tc>
        <w:tc>
          <w:tcPr>
            <w:tcW w:w="4500" w:type="dxa"/>
            <w:vAlign w:val="bottom"/>
            <w:gridSpan w:val="3"/>
            <w:shd w:val="clear" w:color="auto" w:fill="E5FFFF"/>
          </w:tcPr>
          <w:p>
            <w:pPr>
              <w:jc w:val="right"/>
              <w:ind w:right="39"/>
              <w:spacing w:after="0"/>
              <w:rPr>
                <w:sz w:val="20"/>
                <w:szCs w:val="20"/>
                <w:color w:val="auto"/>
              </w:rPr>
            </w:pPr>
            <w:r>
              <w:rPr>
                <w:rFonts w:ascii="Arial" w:cs="Arial" w:eastAsia="Arial" w:hAnsi="Arial"/>
                <w:sz w:val="16"/>
                <w:szCs w:val="16"/>
                <w:color w:val="auto"/>
              </w:rPr>
              <w:t>(13,463)</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(53,995)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Less:</w:t>
            </w:r>
          </w:p>
        </w:tc>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Non-cash loss on derivatives</w:t>
            </w:r>
          </w:p>
        </w:tc>
        <w:tc>
          <w:tcPr>
            <w:tcW w:w="4500" w:type="dxa"/>
            <w:vAlign w:val="bottom"/>
            <w:gridSpan w:val="3"/>
            <w:shd w:val="clear" w:color="auto" w:fill="E5FFFF"/>
          </w:tcPr>
          <w:p>
            <w:pPr>
              <w:jc w:val="right"/>
              <w:ind w:right="99"/>
              <w:spacing w:after="0"/>
              <w:rPr>
                <w:sz w:val="20"/>
                <w:szCs w:val="20"/>
                <w:color w:val="auto"/>
              </w:rPr>
            </w:pPr>
            <w:r>
              <w:rPr>
                <w:rFonts w:ascii="Arial" w:cs="Arial" w:eastAsia="Arial" w:hAnsi="Arial"/>
                <w:sz w:val="16"/>
                <w:szCs w:val="16"/>
                <w:color w:val="auto"/>
              </w:rPr>
              <w:t>21,103</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70,049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Write-off of unamortized loan/bond fees</w:t>
            </w:r>
          </w:p>
        </w:tc>
        <w:tc>
          <w:tcPr>
            <w:tcW w:w="4500" w:type="dxa"/>
            <w:vAlign w:val="bottom"/>
            <w:gridSpan w:val="3"/>
          </w:tcPr>
          <w:p>
            <w:pPr>
              <w:jc w:val="right"/>
              <w:ind w:right="99"/>
              <w:spacing w:after="0"/>
              <w:rPr>
                <w:sz w:val="20"/>
                <w:szCs w:val="20"/>
                <w:color w:val="auto"/>
              </w:rPr>
            </w:pPr>
            <w:r>
              <w:rPr>
                <w:rFonts w:ascii="Arial" w:cs="Arial" w:eastAsia="Arial" w:hAnsi="Arial"/>
                <w:sz w:val="16"/>
                <w:szCs w:val="16"/>
                <w:color w:val="auto"/>
              </w:rPr>
              <w:t>988</w:t>
            </w:r>
          </w:p>
        </w:tc>
        <w:tc>
          <w:tcPr>
            <w:tcW w:w="1280" w:type="dxa"/>
            <w:vAlign w:val="bottom"/>
          </w:tcPr>
          <w:p>
            <w:pPr>
              <w:jc w:val="right"/>
              <w:spacing w:after="0"/>
              <w:rPr>
                <w:sz w:val="20"/>
                <w:szCs w:val="20"/>
                <w:color w:val="auto"/>
              </w:rPr>
            </w:pPr>
            <w:r>
              <w:rPr>
                <w:rFonts w:ascii="Arial" w:cs="Arial" w:eastAsia="Arial" w:hAnsi="Arial"/>
                <w:sz w:val="16"/>
                <w:szCs w:val="16"/>
                <w:color w:val="auto"/>
              </w:rPr>
              <w:t>316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losses/(gains), net</w:t>
            </w:r>
          </w:p>
        </w:tc>
        <w:tc>
          <w:tcPr>
            <w:tcW w:w="4500" w:type="dxa"/>
            <w:vAlign w:val="bottom"/>
            <w:gridSpan w:val="3"/>
            <w:shd w:val="clear" w:color="auto" w:fill="E5FFFF"/>
          </w:tcPr>
          <w:p>
            <w:pPr>
              <w:jc w:val="right"/>
              <w:ind w:right="99"/>
              <w:spacing w:after="0"/>
              <w:rPr>
                <w:sz w:val="20"/>
                <w:szCs w:val="20"/>
                <w:color w:val="auto"/>
              </w:rPr>
            </w:pPr>
            <w:r>
              <w:rPr>
                <w:rFonts w:ascii="Arial" w:cs="Arial" w:eastAsia="Arial" w:hAnsi="Arial"/>
                <w:sz w:val="16"/>
                <w:szCs w:val="16"/>
                <w:color w:val="auto"/>
              </w:rPr>
              <w:t>150</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Unrealized foreign exchange gains, net on cash and bonds</w:t>
            </w:r>
          </w:p>
        </w:tc>
        <w:tc>
          <w:tcPr>
            <w:tcW w:w="2920" w:type="dxa"/>
            <w:vAlign w:val="bottom"/>
          </w:tcPr>
          <w:p>
            <w:pPr>
              <w:spacing w:after="0"/>
              <w:rPr>
                <w:sz w:val="17"/>
                <w:szCs w:val="17"/>
                <w:color w:val="auto"/>
              </w:rPr>
            </w:pPr>
          </w:p>
        </w:tc>
        <w:tc>
          <w:tcPr>
            <w:tcW w:w="15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(3,951)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29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ind w:left="340"/>
              <w:spacing w:after="0"/>
              <w:rPr>
                <w:sz w:val="20"/>
                <w:szCs w:val="20"/>
                <w:color w:val="auto"/>
              </w:rPr>
            </w:pPr>
            <w:r>
              <w:rPr>
                <w:rFonts w:ascii="Arial" w:cs="Arial" w:eastAsia="Arial" w:hAnsi="Arial"/>
                <w:sz w:val="16"/>
                <w:szCs w:val="16"/>
                <w:color w:val="auto"/>
              </w:rPr>
              <w:t>Adjusted profit attributable to owners of the Group</w:t>
            </w:r>
          </w:p>
        </w:tc>
        <w:tc>
          <w:tcPr>
            <w:tcW w:w="292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8,778</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12,232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29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80,825,637</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80,706,008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ind w:left="340"/>
              <w:spacing w:after="0"/>
              <w:rPr>
                <w:sz w:val="20"/>
                <w:szCs w:val="20"/>
                <w:color w:val="auto"/>
              </w:rPr>
            </w:pPr>
            <w:r>
              <w:rPr>
                <w:rFonts w:ascii="Arial" w:cs="Arial" w:eastAsia="Arial" w:hAnsi="Arial"/>
                <w:sz w:val="16"/>
                <w:szCs w:val="16"/>
                <w:b w:val="1"/>
                <w:bCs w:val="1"/>
                <w:color w:val="auto"/>
              </w:rPr>
              <w:t>Adjusted earnings per share</w:t>
            </w:r>
          </w:p>
        </w:tc>
        <w:tc>
          <w:tcPr>
            <w:tcW w:w="29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0.11</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920" w:type="dxa"/>
            <w:vAlign w:val="bottom"/>
            <w:vMerge w:val="restart"/>
          </w:tcPr>
          <w:p>
            <w:pPr>
              <w:jc w:val="right"/>
              <w:ind w:right="1980"/>
              <w:spacing w:after="0"/>
              <w:rPr>
                <w:sz w:val="20"/>
                <w:szCs w:val="20"/>
                <w:color w:val="auto"/>
              </w:rPr>
            </w:pPr>
            <w:r>
              <w:rPr>
                <w:rFonts w:ascii="Arial" w:cs="Arial" w:eastAsia="Arial" w:hAnsi="Arial"/>
                <w:sz w:val="14"/>
                <w:szCs w:val="14"/>
                <w:color w:val="auto"/>
              </w:rPr>
              <w:t>15</w:t>
            </w: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2019 and March 31, 2020.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6,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2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140" w:hanging="188"/>
        <w:spacing w:after="0" w:line="266"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right="140" w:hanging="196"/>
        <w:spacing w:after="0" w:line="264" w:lineRule="auto"/>
        <w:tabs>
          <w:tab w:leader="none" w:pos="4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 disruption to the LNG, LNG shipping and financial markets caused by global shutdown as a result of the COVID-19 pandemic;</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20" w:hanging="188"/>
        <w:spacing w:after="0" w:line="264"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future, pending or recent acquisitions of or orders for ships or other assets, business strategy, areas of possible expansion and expected capital spending;</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320" w:hanging="188"/>
        <w:spacing w:after="0" w:line="264"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environmental liabilities on us and the shipping industry, including climate change;</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6, 2020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both"/>
        <w:ind w:right="540" w:firstLine="356"/>
        <w:spacing w:after="0" w:line="369" w:lineRule="auto"/>
        <w:rPr>
          <w:sz w:val="20"/>
          <w:szCs w:val="20"/>
          <w:color w:val="auto"/>
        </w:rPr>
      </w:pPr>
      <w:r>
        <w:rPr>
          <w:rFonts w:ascii="Arial" w:cs="Arial" w:eastAsia="Arial" w:hAnsi="Arial"/>
          <w:sz w:val="14"/>
          <w:szCs w:val="14"/>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26"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However, given the current uncertainty in relation to COVID-19 and in an effort to facilitate robust disclosure, we have identified the following risks and uncertainties or updated the risk factors described in the Company’s Annual Report on Form 20-F filed with the SEC on March 6,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control the outbreak of the COVID-19 virus is negatively affecting the global economy, energy demand and our business.</w:t>
      </w:r>
    </w:p>
    <w:p>
      <w:pPr>
        <w:spacing w:after="0" w:line="235" w:lineRule="exact"/>
        <w:rPr>
          <w:sz w:val="20"/>
          <w:szCs w:val="20"/>
          <w:color w:val="auto"/>
        </w:rPr>
      </w:pPr>
    </w:p>
    <w:p>
      <w:pPr>
        <w:ind w:right="40" w:firstLine="405"/>
        <w:spacing w:after="0" w:line="285" w:lineRule="auto"/>
        <w:rPr>
          <w:sz w:val="20"/>
          <w:szCs w:val="20"/>
          <w:color w:val="auto"/>
        </w:rPr>
      </w:pPr>
      <w:r>
        <w:rPr>
          <w:rFonts w:ascii="Arial" w:cs="Arial" w:eastAsia="Arial" w:hAnsi="Arial"/>
          <w:sz w:val="15"/>
          <w:szCs w:val="15"/>
          <w:color w:val="auto"/>
        </w:rPr>
        <w:t>The recent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59% since the end of 2019. Natural gas prices in the primary European and Asian markets for LNG have also fallen although to a lesser extent. Together with reduced economic activity as a result of the COVID-19 virus, the decline in oil and gas prices could disincentivize trading of LNG and reduce the demand for LNG carriers. In the financial markets, the virus, and the responses of governments around the world to manage the impact of the virus, have led to lower interest rates, a strengthening of the U.S. dollar and extreme volatility in the prices of equities, bonds, commodities and their respective derivatives. Our share price has declined significantly, due in part to the impact of the COVID-19 virus. Record low interest rates and exchange rates, especially the U.S. dollar/Norwegian Kroner exchange rate, have required us to post $81.2 million of cash collateral against our current marked-to-market derivative liabilities. Continuing liquidity constraints in the bank credit markets could create uncertainty about our ability to refinance our 2021 debt maturities. The ongoing spread of the COVID-19 virus may continue to affect negatively our business and operations, including our newbuildings under construction in South Korea, the health of our crews and the availability of our fleet, particularly if crew members contract COVID-19, as well as our financial position and prospects. The reduction in LNG demand and the closure of, or restricted access to, ports and terminals in regions affected by the virus may lead to reduced chartering activity and, in the extreme, an inability of our charterers to meet their obligations under the terms of their time charters. Failure to control the continued spread of the virus could significantly impact economic activity and demand for LNG and LNG shipping which could further negatively affect our business, financial condition and results of operations.</w:t>
      </w:r>
    </w:p>
    <w:p>
      <w:pPr>
        <w:spacing w:after="0" w:line="18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6"/>
          <w:szCs w:val="16"/>
          <w:color w:val="auto"/>
        </w:rPr>
        <w:t>Although we have taken extensive measures to limit the impact of COVID-19 on business continuity, including the establishment of a dedicated COVID-19 team to implement and amend the Group’s business continuity plan as necessary, implementation of a strict “work from home” policy for all shore based employees, the development of and strict adherence to guidelines for restricted access to all vessels and the suspension of shore leave and crew changes from mid-March 2020, these may not be sufficient to protect our business against the impact of COVID-19.</w:t>
      </w:r>
    </w:p>
    <w:p>
      <w:pPr>
        <w:spacing w:after="0" w:line="189"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b w:val="1"/>
          <w:bCs w:val="1"/>
          <w:i w:val="1"/>
          <w:iCs w:val="1"/>
          <w:color w:val="auto"/>
        </w:rPr>
        <w:t>In the remaining months of 2020, six of our vessels are scheduled to be dry-docked and, in 2021, five of our vessels are scheduled to be dry-docked. The dry-dockings for seven of these vessels (six in 2020 and one in 2021)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w:t>
      </w:r>
    </w:p>
    <w:p>
      <w:pPr>
        <w:spacing w:after="0" w:line="189" w:lineRule="exact"/>
        <w:rPr>
          <w:sz w:val="20"/>
          <w:szCs w:val="20"/>
          <w:color w:val="auto"/>
        </w:rPr>
      </w:pPr>
    </w:p>
    <w:p>
      <w:pPr>
        <w:ind w:firstLine="405"/>
        <w:spacing w:after="0" w:line="288" w:lineRule="auto"/>
        <w:rPr>
          <w:sz w:val="20"/>
          <w:szCs w:val="20"/>
          <w:color w:val="auto"/>
        </w:rPr>
      </w:pPr>
      <w:r>
        <w:rPr>
          <w:rFonts w:ascii="Arial" w:cs="Arial" w:eastAsia="Arial" w:hAnsi="Arial"/>
          <w:sz w:val="15"/>
          <w:szCs w:val="15"/>
          <w:color w:val="auto"/>
        </w:rPr>
        <w:t>Dry-dockings of our vessels require significant expenditures and results in loss of revenue as vessels are off-hire during such period. Any significant increase in either the number of off-hire days or in the costs of any repairs or investments carried out during the dry-docking period could have a material adverse effect on our profitability and cash flows. Given the potential for unforeseen issues arising during dry-docking, we may not be able to predict accurately the time required to dry-dock any of our vessels. In 2020 and 2021, some of the dry-dockings will be longer and more costly than normal as a result of the need to install BWTS on each vessel in order to comply with regulatory requirements. Furthermore, the COVID-19 virus, including the recent “stop work” order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cash flows could be adversely affected. The upcoming dry-dockings of our vessels are expected to be carried out in 2020 (six vessels), 2021 (five vessels) and 2023 (eight vessels).</w:t>
      </w:r>
    </w:p>
    <w:p>
      <w:pPr>
        <w:spacing w:after="0" w:line="180"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b w:val="1"/>
          <w:bCs w:val="1"/>
          <w:i w:val="1"/>
          <w:iCs w:val="1"/>
          <w:color w:val="auto"/>
        </w:rPr>
        <w:t>Our ability to raise capital to repay or refinance our debt obligations or to fund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shares may make it difficult or impossible for us to access the equity or equity-linked capital markets. The recent fall in U.S. interest rates and the depreciation of the Norwegian Kroner against the U.S. dollar, has required us to post significant cash collateral against our current marked-to-market derivative liabilities. To the extent that we are unable to finance these obligations and expenditures with cash from operations or incremental bank loans or by issuing debt or equity securities, our liquidity will be reduced and our financial leverage may increase. Our business may be adversely affected if we need to access sources of funding which are more expensive and/or more restrictive.</w:t>
      </w:r>
    </w:p>
    <w:p>
      <w:pPr>
        <w:spacing w:after="0" w:line="167" w:lineRule="exact"/>
        <w:rPr>
          <w:sz w:val="20"/>
          <w:szCs w:val="20"/>
          <w:color w:val="auto"/>
        </w:rPr>
      </w:pPr>
    </w:p>
    <w:p>
      <w:pPr>
        <w:ind w:firstLine="405"/>
        <w:spacing w:after="0" w:line="271" w:lineRule="auto"/>
        <w:rPr>
          <w:sz w:val="20"/>
          <w:szCs w:val="20"/>
          <w:color w:val="auto"/>
        </w:rPr>
      </w:pPr>
      <w:r>
        <w:rPr>
          <w:rFonts w:ascii="Arial" w:cs="Arial" w:eastAsia="Arial" w:hAnsi="Arial"/>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future financial and operating performance will be affected by prevailing economic conditions and financial, business, regulatory and other factors, many of which are beyond our control. The COVID-19 virus is having a significant negative impact on global financial markets. Continuing liquidity constraints in the bank credit markets could create uncertainty about our ability to refinance our 2021 debt maturities. If we are unable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7" w:name="page18"/>
    <w:bookmarkEnd w:id="17"/>
    <w:p>
      <w:pPr>
        <w:ind w:right="280"/>
        <w:spacing w:after="0" w:line="293" w:lineRule="auto"/>
        <w:rPr>
          <w:sz w:val="20"/>
          <w:szCs w:val="20"/>
          <w:color w:val="auto"/>
        </w:rPr>
      </w:pPr>
      <w:r>
        <w:rPr>
          <w:rFonts w:ascii="Arial" w:cs="Arial" w:eastAsia="Arial" w:hAnsi="Arial"/>
          <w:sz w:val="16"/>
          <w:szCs w:val="16"/>
          <w:color w:val="auto"/>
        </w:rPr>
        <w:t>access the capital markets or raise additional bank financing or generate sufficient cash flow to meet our debt, capital expenditure, minimum liquidity and other business requirements, we may be forced to take actions such as:</w:t>
      </w:r>
    </w:p>
    <w:p>
      <w:pPr>
        <w:spacing w:after="0" w:line="172"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seeking waivers or consents from our creditors;</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our debt</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seeking additional debt or equity capital;</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selling assets;</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delaying or cancelling business activities, acquisitions, investments or capital expenditures; or</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seeking bankruptcy protection.</w:t>
      </w:r>
    </w:p>
    <w:p>
      <w:pPr>
        <w:spacing w:after="0" w:line="235" w:lineRule="exact"/>
        <w:rPr>
          <w:sz w:val="20"/>
          <w:szCs w:val="20"/>
          <w:color w:val="auto"/>
        </w:rPr>
      </w:pPr>
    </w:p>
    <w:p>
      <w:pPr>
        <w:ind w:firstLine="405"/>
        <w:spacing w:after="0" w:line="269"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Our ability to obtain bank financing or to access the capital markets may be limited by our financial condition at the time of any such financing or offering as well as by adverse market conditions. Following the recent significant fall in the value of our common shares, we may not be able to access the equity or equity-linked capital markets. Even if we are successful in obtaining the necessary funds, the terms of such financings could limit our ability to operate our business as currently conducted. In addition, incurring additional debt may significantly increase our interest expense and financial leverage.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GasLog’s main focus is on securing the health and safety of our employees and ensuring safe and reliable operations for our customers and the global natural gas supply chain. To date, there have been no confirmed cases of COVID-19 infection amongst sea-going or shore-based personnel. During 2020 to date, extensive measures have been taken to limit the impact of COVID-19 on GasLog’s business. These include:</w:t>
      </w:r>
    </w:p>
    <w:p>
      <w:pPr>
        <w:spacing w:after="0" w:line="198" w:lineRule="exact"/>
        <w:rPr>
          <w:sz w:val="20"/>
          <w:szCs w:val="20"/>
          <w:color w:val="auto"/>
        </w:rPr>
      </w:pPr>
    </w:p>
    <w:p>
      <w:pPr>
        <w:ind w:left="660" w:right="58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6"/>
          <w:szCs w:val="16"/>
          <w:color w:val="auto"/>
        </w:rPr>
        <w:t>A dedicated task force established to manage the impact of COVID-19 on all aspects of our business and operations and to review and amend our business continuity plan as required;</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A company-wide “work from home” policy instituted for all onshore employees;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Strict guidelines imposed, restricting access to all vessels and suspending shore leave and crew changes from mid-March 2020.</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a result of these measures and the dedication of our employees onshore and aboard our vessels, approximately 100% of our fleet continues to be available for commercial use. These measures have also allowed GasLog to opportunistically bring forward its scheduled dry-dockings of three vessels such that their dry-dockings were completed entirely during the slowdown of LNG trade in February and March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Given the continuing impact of COVID-19 on economic activity and energy demand, there is uncertainty regarding future LNG demand and, consequently, near-term LNG shipping requirements.</w:t>
      </w:r>
    </w:p>
    <w:p>
      <w:pPr>
        <w:spacing w:after="0" w:line="185" w:lineRule="exact"/>
        <w:rPr>
          <w:sz w:val="20"/>
          <w:szCs w:val="20"/>
          <w:color w:val="auto"/>
        </w:rPr>
      </w:pPr>
    </w:p>
    <w:p>
      <w:pPr>
        <w:ind w:left="660" w:hanging="328"/>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6"/>
          <w:szCs w:val="16"/>
          <w:color w:val="auto"/>
        </w:rPr>
        <w:t>To date, we have not experienced any disruption to the charter parties, including contracted revenues, for our term- or spot-chartered vessels, as a result of COVID-19;</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Our vessels operating in the spot and short-term market are currently chartered through at least June 2020; and</w:t>
      </w:r>
    </w:p>
    <w:p>
      <w:pPr>
        <w:spacing w:after="0" w:line="9" w:lineRule="exact"/>
        <w:rPr>
          <w:rFonts w:ascii="Arial" w:cs="Arial" w:eastAsia="Arial" w:hAnsi="Arial"/>
          <w:sz w:val="18"/>
          <w:szCs w:val="18"/>
          <w:color w:val="auto"/>
        </w:rPr>
      </w:pPr>
    </w:p>
    <w:p>
      <w:pPr>
        <w:ind w:left="660" w:right="260" w:hanging="328"/>
        <w:spacing w:after="0" w:line="263"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may lead to greater volatility in spot rates and to lower utilization of vessels trading in the spot and short-term markets.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significant impact on the global capital and bank credit markets, including access to and cost of liquidity.</w:t>
      </w:r>
    </w:p>
    <w:p>
      <w:pPr>
        <w:spacing w:after="0" w:line="248" w:lineRule="exact"/>
        <w:rPr>
          <w:sz w:val="20"/>
          <w:szCs w:val="20"/>
          <w:color w:val="auto"/>
        </w:rPr>
      </w:pPr>
    </w:p>
    <w:p>
      <w:pPr>
        <w:ind w:left="660" w:right="100" w:hanging="328"/>
        <w:spacing w:after="0" w:line="25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recent fall in interest rates and the Norwegian Krone/U.S. Dollar exchange rate as a result of central bank measures to support economies affected by the COVID-19 pandemic and the significant fall in oil prices, respectively, have resulted in an increase in the mark-to-market derivative liabilities with respect to our derivative instruments and a significant increase in cash collateral posted with our swaps counterparties which amounted to $81.2 million as of March 31, 2020; and</w:t>
      </w:r>
    </w:p>
    <w:p>
      <w:pPr>
        <w:spacing w:after="0" w:line="10" w:lineRule="exact"/>
        <w:rPr>
          <w:rFonts w:ascii="Arial" w:cs="Arial" w:eastAsia="Arial" w:hAnsi="Arial"/>
          <w:sz w:val="18"/>
          <w:szCs w:val="18"/>
          <w:color w:val="auto"/>
        </w:rPr>
      </w:pPr>
    </w:p>
    <w:p>
      <w:pPr>
        <w:ind w:left="660" w:right="260" w:hanging="328"/>
        <w:spacing w:after="0" w:line="262"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There have been no other material impacts to date of the COVID-19 pandemic on our financial position and we are continuing the process of refinancing of our bank loans maturing in April and July 2021. We are also in discussion with our swaps counterparties in order to identify and execute measures to reduce cash collateral posted under the existing interest rate and cross-currency swaps.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90" w:lineRule="exact"/>
        <w:rPr>
          <w:sz w:val="20"/>
          <w:szCs w:val="20"/>
          <w:color w:val="auto"/>
        </w:rPr>
      </w:pPr>
    </w:p>
    <w:p>
      <w:pPr>
        <w:ind w:right="220" w:firstLine="405"/>
        <w:spacing w:after="0" w:line="278" w:lineRule="auto"/>
        <w:rPr>
          <w:sz w:val="20"/>
          <w:szCs w:val="20"/>
          <w:color w:val="auto"/>
        </w:rPr>
      </w:pPr>
      <w:r>
        <w:rPr>
          <w:rFonts w:ascii="Arial" w:cs="Arial" w:eastAsia="Arial" w:hAnsi="Arial"/>
          <w:sz w:val="16"/>
          <w:szCs w:val="16"/>
          <w:color w:val="auto"/>
        </w:rPr>
        <w:t>On 23 December 2019, the board of directors of the Public Gas Corporation in Greece (“DEPA”) approved the acquisition of a 20% stake in Gastrade S.A. (“Gastrade”), which was completed in early 2020. Through this participation, DEPA assumes an active role in the implementation of the project together with the existing shareholders.</w:t>
      </w:r>
    </w:p>
    <w:p>
      <w:pPr>
        <w:spacing w:after="0" w:line="184"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6"/>
          <w:szCs w:val="16"/>
          <w:color w:val="auto"/>
        </w:rPr>
        <w:t>On March 26, 2020, Gastrade announced the successful conclusion of the binding phase of the market test for reservation of capacity at the floating LNG terminal being developed at Alexandroupolis in northern Greece. This reservation of up to 2.6 billion cubic meters (“cbm”) of capacity for periods out to 15 years represents a key milestone for the project.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Windsor</w:t>
      </w:r>
    </w:p>
    <w:p>
      <w:pPr>
        <w:spacing w:after="0" w:line="90" w:lineRule="exact"/>
        <w:rPr>
          <w:sz w:val="20"/>
          <w:szCs w:val="20"/>
          <w:color w:val="auto"/>
        </w:rPr>
      </w:pPr>
    </w:p>
    <w:p>
      <w:pPr>
        <w:ind w:right="60" w:firstLine="405"/>
        <w:spacing w:after="0" w:line="305" w:lineRule="auto"/>
        <w:rPr>
          <w:sz w:val="20"/>
          <w:szCs w:val="20"/>
          <w:color w:val="auto"/>
        </w:rPr>
      </w:pPr>
      <w:r>
        <w:rPr>
          <w:rFonts w:ascii="Arial" w:cs="Arial" w:eastAsia="Arial" w:hAnsi="Arial"/>
          <w:sz w:val="15"/>
          <w:szCs w:val="15"/>
          <w:color w:val="auto"/>
        </w:rPr>
        <w:t xml:space="preserve">On April 1, 2020, GasLog took delivery of the </w:t>
      </w:r>
      <w:r>
        <w:rPr>
          <w:rFonts w:ascii="Arial" w:cs="Arial" w:eastAsia="Arial" w:hAnsi="Arial"/>
          <w:sz w:val="15"/>
          <w:szCs w:val="15"/>
          <w:i w:val="1"/>
          <w:iCs w:val="1"/>
          <w:color w:val="auto"/>
        </w:rPr>
        <w:t>GasLog Windsor</w:t>
      </w:r>
      <w:r>
        <w:rPr>
          <w:rFonts w:ascii="Arial" w:cs="Arial" w:eastAsia="Arial" w:hAnsi="Arial"/>
          <w:sz w:val="15"/>
          <w:szCs w:val="15"/>
          <w:color w:val="auto"/>
        </w:rPr>
        <w:t>, a 180,000 cbm LNG carrier with dual fuel medium speed propulsion (“X-DF”) constructed by Samsung Heavy Industries Co., Ltd. (“Samsung”). Despite the industrial disruption in South Korea caused by the COVID-19 outbreak, the vessel was delivered on time and on budget. Upon delivery, the vessel immediately commenced its seven-year charter with a wholly owned subsidiary of Centrica plc. (“Centrica”).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Wales</w:t>
      </w:r>
    </w:p>
    <w:p>
      <w:pPr>
        <w:spacing w:after="0" w:line="9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On May 11, 2020, GasLog is scheduled to take delivery of the </w:t>
      </w:r>
      <w:r>
        <w:rPr>
          <w:rFonts w:ascii="Arial" w:cs="Arial" w:eastAsia="Arial" w:hAnsi="Arial"/>
          <w:sz w:val="16"/>
          <w:szCs w:val="16"/>
          <w:i w:val="1"/>
          <w:iCs w:val="1"/>
          <w:color w:val="auto"/>
        </w:rPr>
        <w:t>GasLog Wales</w:t>
      </w:r>
      <w:r>
        <w:rPr>
          <w:rFonts w:ascii="Arial" w:cs="Arial" w:eastAsia="Arial" w:hAnsi="Arial"/>
          <w:sz w:val="16"/>
          <w:szCs w:val="16"/>
          <w:color w:val="auto"/>
        </w:rPr>
        <w:t>, a 180,000 cbm LNG carrier with X-DF propulsion constructed by Samsung. Upon delivery, the vessel will immediately commence its 12-year charter with the principal LNG shipping entity of Japan’s Jera Co., Inc. (“JERA”).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On March 12, 2020, the board of directors declared a dividend on the Series A Preference Shares of $0.546875 per share, or $2.5 million in the aggregate, payable on April 1, 2020 to holders of record as of March 31, 2020. GasLog paid the declared dividend to the transfer agent on April 1, 2020.</w:t>
      </w:r>
    </w:p>
    <w:p>
      <w:pPr>
        <w:spacing w:after="0" w:line="172"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On May 6, 2020, the board of directors declared a quarterly cash dividend of $0.05 per common share, or $4.0 million in the aggregate, payable on May 28, 2020 to shareholders of record as of May 18,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Office Relocation Update</w:t>
      </w:r>
    </w:p>
    <w:p>
      <w:pPr>
        <w:spacing w:after="0" w:line="23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6"/>
          <w:szCs w:val="16"/>
          <w:color w:val="auto"/>
        </w:rPr>
        <w:t>In November 2019, GasLog announced plans to relocate more of its employees including several members of senior management to Piraeus, Greece, home of our operational platform, in order to enhance execution, efficiency and operational excellence and to reduce overheads. These plans are executed as scheduled and will be fully implemented in the second half of 2020, generating annualized general and administrative savings of $6.0 million with effect from 2021.For the quarter and the year ended December 31, 2019, the Group had recognized total restructuring costs of $4.7 million, the majority of which will be paid in 2020. In the three months ended March 31, 2020, additional restructuring costs of $0.4 million were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Chief Financial Officer (“CFO”) Transition</w:t>
      </w:r>
    </w:p>
    <w:p>
      <w:pPr>
        <w:spacing w:after="0" w:line="239" w:lineRule="exact"/>
        <w:rPr>
          <w:sz w:val="20"/>
          <w:szCs w:val="20"/>
          <w:color w:val="auto"/>
        </w:rPr>
      </w:pPr>
    </w:p>
    <w:p>
      <w:pPr>
        <w:ind w:right="40" w:firstLine="363"/>
        <w:spacing w:after="0" w:line="278" w:lineRule="auto"/>
        <w:rPr>
          <w:sz w:val="20"/>
          <w:szCs w:val="20"/>
          <w:color w:val="auto"/>
        </w:rPr>
      </w:pPr>
      <w:r>
        <w:rPr>
          <w:rFonts w:ascii="Arial" w:cs="Arial" w:eastAsia="Arial" w:hAnsi="Arial"/>
          <w:sz w:val="16"/>
          <w:szCs w:val="16"/>
          <w:color w:val="auto"/>
        </w:rPr>
        <w:t>Alastair Maxwell, CFO of GasLog and GasLog Partners, has informed the Company that, as a result of the relocation of his role to Piraeus, Greece, he will be stepping down from his position on June 30, 2020. Achilleas Tasioulas, currently Deputy CFO, will assume the responsibilities of CFO of GasLog and GasLog Partners on July 1, 2020. Please see the separate press release of today’s date on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Share/Unit Repurchase Programme</w:t>
      </w:r>
    </w:p>
    <w:p>
      <w:pPr>
        <w:spacing w:after="0" w:line="239" w:lineRule="exact"/>
        <w:rPr>
          <w:sz w:val="20"/>
          <w:szCs w:val="20"/>
          <w:color w:val="auto"/>
        </w:rPr>
      </w:pPr>
    </w:p>
    <w:p>
      <w:pPr>
        <w:ind w:right="40" w:firstLine="363"/>
        <w:spacing w:after="0" w:line="289" w:lineRule="auto"/>
        <w:rPr>
          <w:sz w:val="20"/>
          <w:szCs w:val="20"/>
          <w:color w:val="auto"/>
        </w:rPr>
      </w:pPr>
      <w:r>
        <w:rPr>
          <w:rFonts w:ascii="Arial" w:cs="Arial" w:eastAsia="Arial" w:hAnsi="Arial"/>
          <w:sz w:val="15"/>
          <w:szCs w:val="15"/>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In the three months ended March 31, 2020, 323,919 shares have been acquired at a total cost of $2.0 million and are included in treasury shares. The average cost of the repurchase was $6.17 per share inclusive of all fees and commissions.</w:t>
      </w:r>
    </w:p>
    <w:p>
      <w:pPr>
        <w:spacing w:after="0" w:line="180" w:lineRule="exact"/>
        <w:rPr>
          <w:sz w:val="20"/>
          <w:szCs w:val="20"/>
          <w:color w:val="auto"/>
        </w:rPr>
      </w:pPr>
    </w:p>
    <w:p>
      <w:pPr>
        <w:ind w:right="340" w:firstLine="363"/>
        <w:spacing w:after="0" w:line="273" w:lineRule="auto"/>
        <w:rPr>
          <w:sz w:val="20"/>
          <w:szCs w:val="20"/>
          <w:color w:val="auto"/>
        </w:rPr>
      </w:pPr>
      <w:r>
        <w:rPr>
          <w:rFonts w:ascii="Arial" w:cs="Arial" w:eastAsia="Arial" w:hAnsi="Arial"/>
          <w:sz w:val="16"/>
          <w:szCs w:val="16"/>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three months ended March 31, 2020, GasLog Partners repurchased and cancelled 191,490 of the Partnership’s common units at a weighted average price of $5.18 per common unit for a total amount of $1.0 million, including commissions.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20" w:firstLine="363"/>
        <w:spacing w:after="0" w:line="289" w:lineRule="auto"/>
        <w:rPr>
          <w:sz w:val="20"/>
          <w:szCs w:val="20"/>
          <w:color w:val="auto"/>
        </w:rPr>
      </w:pPr>
      <w:r>
        <w:rPr>
          <w:rFonts w:ascii="Arial" w:cs="Arial" w:eastAsia="Arial" w:hAnsi="Arial"/>
          <w:sz w:val="15"/>
          <w:szCs w:val="15"/>
          <w:color w:val="auto"/>
        </w:rPr>
        <w:t>We are an international owner, operator and manager of LNG carriers. Our wholly owned fleet as of May 7, 2020, consists of 19 LNG carriers, including 13 ships in operation and six LNG carriers on order at Samsung. GasLog is also the general and controlling partner in GasLog Partners, a publicly traded master limited partnership, which owns 15 LNG carriers. In addition, GasLog has leased back under a bareboat charter one vessel sold to Lepta Shipping Co., Ltd. (“Lepta Shipping”), a subsidiary of Mitsui &amp; Co., Ltd. (“Mitsui”) in February 2016, for a period of up to 20 years. GasLog has the option to repurchase the vessel on pre-agreed terms no earlier than the end of year ten and no later than the end of year 17 of the bareboat charter. We currently manage and operate 29 LNG carriers including our 13 wholly owned ships in operation, 14 of the 15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8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 xml:space="preserve">We have a 25% interest in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 w:name="page20"/>
    <w:bookmarkEnd w:id="19"/>
    <w:p>
      <w:pPr>
        <w:jc w:val="both"/>
        <w:ind w:right="42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May 7, 2020, our wholly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20" w:type="dxa"/>
            <w:vAlign w:val="bottom"/>
            <w:gridSpan w:val="2"/>
          </w:tcPr>
          <w:p>
            <w:pPr>
              <w:ind w:left="860"/>
              <w:spacing w:after="0"/>
              <w:rPr>
                <w:sz w:val="20"/>
                <w:szCs w:val="20"/>
                <w:color w:val="auto"/>
              </w:rPr>
            </w:pPr>
            <w:r>
              <w:rPr>
                <w:rFonts w:ascii="Arial" w:cs="Arial" w:eastAsia="Arial" w:hAnsi="Arial"/>
                <w:sz w:val="16"/>
                <w:szCs w:val="16"/>
                <w:b w:val="1"/>
                <w:bCs w:val="1"/>
                <w:color w:val="auto"/>
              </w:rPr>
              <w:t>Vessel Name</w:t>
            </w:r>
          </w:p>
        </w:tc>
        <w:tc>
          <w:tcPr>
            <w:tcW w:w="720" w:type="dxa"/>
            <w:vAlign w:val="bottom"/>
            <w:gridSpan w:val="2"/>
          </w:tcPr>
          <w:p>
            <w:pPr>
              <w:ind w:left="120"/>
              <w:spacing w:after="0"/>
              <w:rPr>
                <w:sz w:val="20"/>
                <w:szCs w:val="20"/>
                <w:color w:val="auto"/>
              </w:rPr>
            </w:pPr>
            <w:r>
              <w:rPr>
                <w:rFonts w:ascii="Arial" w:cs="Arial" w:eastAsia="Arial" w:hAnsi="Arial"/>
                <w:sz w:val="16"/>
                <w:szCs w:val="16"/>
                <w:b w:val="1"/>
                <w:bCs w:val="1"/>
                <w:color w:val="auto"/>
              </w:rPr>
              <w:t>Built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00" w:type="dxa"/>
            <w:vAlign w:val="bottom"/>
          </w:tcPr>
          <w:p>
            <w:pPr>
              <w:spacing w:after="0"/>
              <w:rPr>
                <w:sz w:val="18"/>
                <w:szCs w:val="18"/>
                <w:color w:val="auto"/>
              </w:rPr>
            </w:pPr>
          </w:p>
        </w:tc>
        <w:tc>
          <w:tcPr>
            <w:tcW w:w="206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26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0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6"/>
                <w:szCs w:val="16"/>
                <w:i w:val="1"/>
                <w:iCs w:val="1"/>
                <w:color w:val="auto"/>
              </w:rPr>
              <w:t>GasLog Chelsea</w:t>
            </w:r>
          </w:p>
        </w:tc>
        <w:tc>
          <w:tcPr>
            <w:tcW w:w="12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153,600</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2</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Saratoga</w:t>
            </w:r>
          </w:p>
        </w:tc>
        <w:tc>
          <w:tcPr>
            <w:tcW w:w="580" w:type="dxa"/>
            <w:vAlign w:val="bottom"/>
          </w:tcPr>
          <w:p>
            <w:pPr>
              <w:ind w:left="1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Salem</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(3)</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Savannah</w:t>
            </w:r>
          </w:p>
        </w:tc>
        <w:tc>
          <w:tcPr>
            <w:tcW w:w="580" w:type="dxa"/>
            <w:vAlign w:val="bottom"/>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Skagen</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Methane Lydon Volney</w:t>
            </w:r>
          </w:p>
        </w:tc>
        <w:tc>
          <w:tcPr>
            <w:tcW w:w="580" w:type="dxa"/>
            <w:vAlign w:val="bottom"/>
          </w:tcPr>
          <w:p>
            <w:pPr>
              <w:ind w:left="140"/>
              <w:spacing w:after="0"/>
              <w:rPr>
                <w:sz w:val="20"/>
                <w:szCs w:val="20"/>
                <w:color w:val="auto"/>
              </w:rPr>
            </w:pPr>
            <w:r>
              <w:rPr>
                <w:rFonts w:ascii="Arial" w:cs="Arial" w:eastAsia="Arial" w:hAnsi="Arial"/>
                <w:sz w:val="16"/>
                <w:szCs w:val="16"/>
                <w:color w:val="auto"/>
              </w:rPr>
              <w:t>2006</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October 2020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3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3020" w:type="dxa"/>
            <w:vAlign w:val="bottom"/>
            <w:gridSpan w:val="2"/>
            <w:vMerge w:val="restart"/>
            <w:shd w:val="clear" w:color="auto" w:fill="E5FFFF"/>
          </w:tcPr>
          <w:p>
            <w:pPr>
              <w:ind w:left="120"/>
              <w:spacing w:after="0"/>
              <w:rPr>
                <w:sz w:val="20"/>
                <w:szCs w:val="20"/>
                <w:color w:val="auto"/>
              </w:rPr>
            </w:pPr>
            <w:r>
              <w:rPr>
                <w:rFonts w:ascii="Arial" w:cs="Arial" w:eastAsia="Arial" w:hAnsi="Arial"/>
                <w:sz w:val="16"/>
                <w:szCs w:val="16"/>
                <w:i w:val="1"/>
                <w:iCs w:val="1"/>
                <w:color w:val="auto"/>
              </w:rPr>
              <w:t>GasLog Warsaw</w:t>
            </w:r>
          </w:p>
        </w:tc>
        <w:tc>
          <w:tcPr>
            <w:tcW w:w="580" w:type="dxa"/>
            <w:vAlign w:val="bottom"/>
            <w:vMerge w:val="restart"/>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E5FFFF"/>
          </w:tcPr>
          <w:p>
            <w:pPr>
              <w:spacing w:after="0"/>
              <w:rPr>
                <w:sz w:val="16"/>
                <w:szCs w:val="16"/>
                <w:color w:val="auto"/>
              </w:rPr>
            </w:pPr>
          </w:p>
        </w:tc>
        <w:tc>
          <w:tcPr>
            <w:tcW w:w="96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6"/>
                <w:szCs w:val="16"/>
                <w:color w:val="auto"/>
              </w:rPr>
            </w:pPr>
          </w:p>
        </w:tc>
        <w:tc>
          <w:tcPr>
            <w:tcW w:w="1580" w:type="dxa"/>
            <w:vAlign w:val="bottom"/>
            <w:gridSpan w:val="2"/>
            <w:shd w:val="clear" w:color="auto" w:fill="E5FFFF"/>
          </w:tcPr>
          <w:p>
            <w:pPr>
              <w:jc w:val="center"/>
              <w:ind w:right="120"/>
              <w:spacing w:after="0" w:line="19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(4)</w:t>
            </w:r>
          </w:p>
        </w:tc>
        <w:tc>
          <w:tcPr>
            <w:tcW w:w="112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6"/>
                <w:szCs w:val="16"/>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300" w:type="dxa"/>
            <w:vAlign w:val="bottom"/>
            <w:vMerge w:val="continue"/>
            <w:shd w:val="clear" w:color="auto" w:fill="E5FFFF"/>
          </w:tcPr>
          <w:p>
            <w:pPr>
              <w:spacing w:after="0"/>
              <w:rPr>
                <w:sz w:val="8"/>
                <w:szCs w:val="8"/>
                <w:color w:val="auto"/>
              </w:rPr>
            </w:pPr>
          </w:p>
        </w:tc>
        <w:tc>
          <w:tcPr>
            <w:tcW w:w="3020" w:type="dxa"/>
            <w:vAlign w:val="bottom"/>
            <w:gridSpan w:val="2"/>
            <w:vMerge w:val="continue"/>
            <w:shd w:val="clear" w:color="auto" w:fill="E5FFFF"/>
          </w:tcPr>
          <w:p>
            <w:pPr>
              <w:spacing w:after="0"/>
              <w:rPr>
                <w:sz w:val="8"/>
                <w:szCs w:val="8"/>
                <w:color w:val="auto"/>
              </w:rPr>
            </w:pPr>
          </w:p>
        </w:tc>
        <w:tc>
          <w:tcPr>
            <w:tcW w:w="580" w:type="dxa"/>
            <w:vAlign w:val="bottom"/>
            <w:vMerge w:val="continue"/>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960" w:type="dxa"/>
            <w:vAlign w:val="bottom"/>
            <w:vMerge w:val="continue"/>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580" w:type="dxa"/>
            <w:vAlign w:val="bottom"/>
            <w:gridSpan w:val="2"/>
            <w:vMerge w:val="restart"/>
            <w:shd w:val="clear" w:color="auto" w:fill="E5FFFF"/>
          </w:tcPr>
          <w:p>
            <w:pPr>
              <w:jc w:val="center"/>
              <w:ind w:right="100"/>
              <w:spacing w:after="0" w:line="213" w:lineRule="exact"/>
              <w:rPr>
                <w:sz w:val="20"/>
                <w:szCs w:val="20"/>
                <w:color w:val="auto"/>
              </w:rPr>
            </w:pPr>
            <w:r>
              <w:rPr>
                <w:rFonts w:ascii="Arial" w:cs="Arial" w:eastAsia="Arial" w:hAnsi="Arial"/>
                <w:sz w:val="16"/>
                <w:szCs w:val="16"/>
                <w:color w:val="auto"/>
                <w:w w:val="84"/>
              </w:rPr>
              <w:t>Endesa</w:t>
            </w:r>
            <w:r>
              <w:rPr>
                <w:rFonts w:ascii="Arial" w:cs="Arial" w:eastAsia="Arial" w:hAnsi="Arial"/>
                <w:sz w:val="21"/>
                <w:szCs w:val="21"/>
                <w:color w:val="auto"/>
                <w:w w:val="84"/>
                <w:vertAlign w:val="superscript"/>
              </w:rPr>
              <w:t>(5)</w:t>
            </w:r>
          </w:p>
        </w:tc>
        <w:tc>
          <w:tcPr>
            <w:tcW w:w="1120" w:type="dxa"/>
            <w:vAlign w:val="bottom"/>
            <w:vMerge w:val="continue"/>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060" w:type="dxa"/>
            <w:vAlign w:val="bottom"/>
            <w:gridSpan w:val="2"/>
            <w:vMerge w:val="restart"/>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2029</w:t>
            </w:r>
          </w:p>
        </w:tc>
        <w:tc>
          <w:tcPr>
            <w:tcW w:w="126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91"/>
              </w:rPr>
              <w:t>2035-2041</w:t>
            </w:r>
          </w:p>
        </w:tc>
        <w:tc>
          <w:tcPr>
            <w:tcW w:w="0" w:type="dxa"/>
            <w:vAlign w:val="bottom"/>
          </w:tcPr>
          <w:p>
            <w:pPr>
              <w:spacing w:after="0"/>
              <w:rPr>
                <w:sz w:val="1"/>
                <w:szCs w:val="1"/>
                <w:color w:val="auto"/>
              </w:rPr>
            </w:pPr>
          </w:p>
        </w:tc>
      </w:tr>
      <w:tr>
        <w:trPr>
          <w:trHeight w:val="114"/>
        </w:trPr>
        <w:tc>
          <w:tcPr>
            <w:tcW w:w="300" w:type="dxa"/>
            <w:vAlign w:val="bottom"/>
            <w:shd w:val="clear" w:color="auto" w:fill="E5FFFF"/>
          </w:tcPr>
          <w:p>
            <w:pPr>
              <w:spacing w:after="0"/>
              <w:rPr>
                <w:sz w:val="9"/>
                <w:szCs w:val="9"/>
                <w:color w:val="auto"/>
              </w:rPr>
            </w:pPr>
          </w:p>
        </w:tc>
        <w:tc>
          <w:tcPr>
            <w:tcW w:w="29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580" w:type="dxa"/>
            <w:vAlign w:val="bottom"/>
            <w:gridSpan w:val="2"/>
            <w:vMerge w:val="continue"/>
            <w:shd w:val="clear" w:color="auto" w:fill="E5FFFF"/>
          </w:tcPr>
          <w:p>
            <w:pPr>
              <w:spacing w:after="0"/>
              <w:rPr>
                <w:sz w:val="9"/>
                <w:szCs w:val="9"/>
                <w:color w:val="auto"/>
              </w:rPr>
            </w:pPr>
          </w:p>
        </w:tc>
        <w:tc>
          <w:tcPr>
            <w:tcW w:w="11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60" w:type="dxa"/>
            <w:vAlign w:val="bottom"/>
            <w:gridSpan w:val="2"/>
            <w:vMerge w:val="continue"/>
            <w:shd w:val="clear" w:color="auto" w:fill="E5FFFF"/>
          </w:tcPr>
          <w:p>
            <w:pPr>
              <w:spacing w:after="0"/>
              <w:rPr>
                <w:sz w:val="9"/>
                <w:szCs w:val="9"/>
                <w:color w:val="auto"/>
              </w:rPr>
            </w:pPr>
          </w:p>
        </w:tc>
        <w:tc>
          <w:tcPr>
            <w:tcW w:w="1260" w:type="dxa"/>
            <w:vAlign w:val="bottom"/>
            <w:vMerge w:val="continue"/>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Hong Kong</w:t>
            </w:r>
          </w:p>
        </w:tc>
        <w:tc>
          <w:tcPr>
            <w:tcW w:w="580" w:type="dxa"/>
            <w:vAlign w:val="bottom"/>
          </w:tcPr>
          <w:p>
            <w:pPr>
              <w:ind w:left="1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3"/>
              </w:rPr>
              <w:t xml:space="preserve">Total </w:t>
            </w:r>
            <w:r>
              <w:rPr>
                <w:rFonts w:ascii="Arial" w:cs="Arial" w:eastAsia="Arial" w:hAnsi="Arial"/>
                <w:sz w:val="21"/>
                <w:szCs w:val="21"/>
                <w:color w:val="auto"/>
                <w:w w:val="83"/>
                <w:vertAlign w:val="superscript"/>
              </w:rPr>
              <w:t>(6)</w:t>
            </w:r>
          </w:p>
        </w:tc>
        <w:tc>
          <w:tcPr>
            <w:tcW w:w="112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2025</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Genoa</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2027</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2030-2033</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Houston</w:t>
            </w:r>
          </w:p>
        </w:tc>
        <w:tc>
          <w:tcPr>
            <w:tcW w:w="580" w:type="dxa"/>
            <w:vAlign w:val="bottom"/>
          </w:tcPr>
          <w:p>
            <w:pPr>
              <w:ind w:left="1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2028</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2031-2034</w:t>
            </w: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Gladstone</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8"/>
              </w:rPr>
              <w:t>January 2029</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2032-2035</w:t>
            </w:r>
          </w:p>
        </w:tc>
        <w:tc>
          <w:tcPr>
            <w:tcW w:w="0" w:type="dxa"/>
            <w:vAlign w:val="bottom"/>
          </w:tcPr>
          <w:p>
            <w:pPr>
              <w:spacing w:after="0"/>
              <w:rPr>
                <w:sz w:val="1"/>
                <w:szCs w:val="1"/>
                <w:color w:val="auto"/>
              </w:rPr>
            </w:pPr>
          </w:p>
        </w:tc>
      </w:tr>
      <w:tr>
        <w:trPr>
          <w:trHeight w:val="193"/>
        </w:trPr>
        <w:tc>
          <w:tcPr>
            <w:tcW w:w="300" w:type="dxa"/>
            <w:vAlign w:val="bottom"/>
            <w:vMerge w:val="restart"/>
          </w:tcPr>
          <w:p>
            <w:pPr>
              <w:spacing w:after="0"/>
              <w:rPr>
                <w:sz w:val="20"/>
                <w:szCs w:val="20"/>
                <w:color w:val="auto"/>
              </w:rPr>
            </w:pPr>
            <w:r>
              <w:rPr>
                <w:rFonts w:ascii="Arial" w:cs="Arial" w:eastAsia="Arial" w:hAnsi="Arial"/>
                <w:sz w:val="16"/>
                <w:szCs w:val="16"/>
                <w:b w:val="1"/>
                <w:bCs w:val="1"/>
                <w:color w:val="auto"/>
              </w:rPr>
              <w:t>12</w:t>
            </w:r>
          </w:p>
        </w:tc>
        <w:tc>
          <w:tcPr>
            <w:tcW w:w="3020" w:type="dxa"/>
            <w:vAlign w:val="bottom"/>
            <w:gridSpan w:val="2"/>
            <w:vMerge w:val="restart"/>
          </w:tcPr>
          <w:p>
            <w:pPr>
              <w:ind w:left="120"/>
              <w:spacing w:after="0"/>
              <w:rPr>
                <w:sz w:val="20"/>
                <w:szCs w:val="20"/>
                <w:color w:val="auto"/>
              </w:rPr>
            </w:pPr>
            <w:r>
              <w:rPr>
                <w:rFonts w:ascii="Arial" w:cs="Arial" w:eastAsia="Arial" w:hAnsi="Arial"/>
                <w:sz w:val="16"/>
                <w:szCs w:val="16"/>
                <w:i w:val="1"/>
                <w:iCs w:val="1"/>
                <w:color w:val="auto"/>
              </w:rPr>
              <w:t>GasLog Singapore</w:t>
            </w:r>
          </w:p>
        </w:tc>
        <w:tc>
          <w:tcPr>
            <w:tcW w:w="580" w:type="dxa"/>
            <w:vAlign w:val="bottom"/>
            <w:vMerge w:val="restart"/>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8"/>
        </w:trPr>
        <w:tc>
          <w:tcPr>
            <w:tcW w:w="300" w:type="dxa"/>
            <w:vAlign w:val="bottom"/>
            <w:vMerge w:val="continue"/>
          </w:tcPr>
          <w:p>
            <w:pPr>
              <w:spacing w:after="0"/>
              <w:rPr>
                <w:sz w:val="8"/>
                <w:szCs w:val="8"/>
                <w:color w:val="auto"/>
              </w:rPr>
            </w:pPr>
          </w:p>
        </w:tc>
        <w:tc>
          <w:tcPr>
            <w:tcW w:w="30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restart"/>
          </w:tcPr>
          <w:p>
            <w:pPr>
              <w:jc w:val="center"/>
              <w:ind w:right="100"/>
              <w:spacing w:after="0" w:line="213" w:lineRule="exact"/>
              <w:rPr>
                <w:sz w:val="20"/>
                <w:szCs w:val="20"/>
                <w:color w:val="auto"/>
              </w:rPr>
            </w:pPr>
            <w:r>
              <w:rPr>
                <w:rFonts w:ascii="Arial" w:cs="Arial" w:eastAsia="Arial" w:hAnsi="Arial"/>
                <w:sz w:val="16"/>
                <w:szCs w:val="16"/>
                <w:color w:val="auto"/>
                <w:w w:val="92"/>
              </w:rPr>
              <w:t>Sinolam LNG</w:t>
            </w:r>
            <w:r>
              <w:rPr>
                <w:rFonts w:ascii="Arial" w:cs="Arial" w:eastAsia="Arial" w:hAnsi="Arial"/>
                <w:sz w:val="21"/>
                <w:szCs w:val="21"/>
                <w:color w:val="auto"/>
                <w:w w:val="92"/>
                <w:vertAlign w:val="superscript"/>
              </w:rPr>
              <w:t>(7)</w:t>
            </w: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October 2030</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Windsor</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Centrica</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7"/>
              </w:rPr>
              <w:t>April 2027</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2029-2033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May 7, 2020, the Partnership’s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00" w:type="dxa"/>
            <w:vAlign w:val="bottom"/>
          </w:tcPr>
          <w:p>
            <w:pPr>
              <w:spacing w:after="0"/>
              <w:rPr>
                <w:sz w:val="18"/>
                <w:szCs w:val="18"/>
                <w:color w:val="auto"/>
              </w:rPr>
            </w:pPr>
          </w:p>
        </w:tc>
        <w:tc>
          <w:tcPr>
            <w:tcW w:w="3020" w:type="dxa"/>
            <w:vAlign w:val="bottom"/>
            <w:gridSpan w:val="2"/>
          </w:tcPr>
          <w:p>
            <w:pPr>
              <w:ind w:left="860"/>
              <w:spacing w:after="0"/>
              <w:rPr>
                <w:sz w:val="20"/>
                <w:szCs w:val="20"/>
                <w:color w:val="auto"/>
              </w:rPr>
            </w:pPr>
            <w:r>
              <w:rPr>
                <w:rFonts w:ascii="Arial" w:cs="Arial" w:eastAsia="Arial" w:hAnsi="Arial"/>
                <w:sz w:val="16"/>
                <w:szCs w:val="16"/>
                <w:b w:val="1"/>
                <w:bCs w:val="1"/>
                <w:color w:val="auto"/>
              </w:rPr>
              <w:t>Vessel Name</w:t>
            </w:r>
          </w:p>
        </w:tc>
        <w:tc>
          <w:tcPr>
            <w:tcW w:w="720" w:type="dxa"/>
            <w:vAlign w:val="bottom"/>
            <w:gridSpan w:val="2"/>
          </w:tcPr>
          <w:p>
            <w:pPr>
              <w:ind w:left="120"/>
              <w:spacing w:after="0"/>
              <w:rPr>
                <w:sz w:val="20"/>
                <w:szCs w:val="20"/>
                <w:color w:val="auto"/>
              </w:rPr>
            </w:pPr>
            <w:r>
              <w:rPr>
                <w:rFonts w:ascii="Arial" w:cs="Arial" w:eastAsia="Arial" w:hAnsi="Arial"/>
                <w:sz w:val="16"/>
                <w:szCs w:val="16"/>
                <w:b w:val="1"/>
                <w:bCs w:val="1"/>
                <w:color w:val="auto"/>
              </w:rPr>
              <w:t>Built</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Propulsion</w:t>
            </w:r>
          </w:p>
        </w:tc>
        <w:tc>
          <w:tcPr>
            <w:tcW w:w="206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26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0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6"/>
                <w:szCs w:val="16"/>
                <w:i w:val="1"/>
                <w:iCs w:val="1"/>
                <w:color w:val="auto"/>
              </w:rPr>
              <w:t>Methane Alison Victoria</w:t>
            </w:r>
          </w:p>
        </w:tc>
        <w:tc>
          <w:tcPr>
            <w:tcW w:w="12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2007</w:t>
            </w:r>
          </w:p>
        </w:tc>
        <w:tc>
          <w:tcPr>
            <w:tcW w:w="14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2</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Methane Rita Andrea</w:t>
            </w:r>
          </w:p>
        </w:tc>
        <w:tc>
          <w:tcPr>
            <w:tcW w:w="580" w:type="dxa"/>
            <w:vAlign w:val="bottom"/>
          </w:tcPr>
          <w:p>
            <w:pPr>
              <w:ind w:left="140"/>
              <w:spacing w:after="0"/>
              <w:rPr>
                <w:sz w:val="20"/>
                <w:szCs w:val="20"/>
                <w:color w:val="auto"/>
              </w:rPr>
            </w:pPr>
            <w:r>
              <w:rPr>
                <w:rFonts w:ascii="Arial" w:cs="Arial" w:eastAsia="Arial" w:hAnsi="Arial"/>
                <w:sz w:val="16"/>
                <w:szCs w:val="16"/>
                <w:color w:val="auto"/>
              </w:rPr>
              <w:t>2006</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Steam</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Methane Shirley Elisabeth</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2007</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6"/>
              </w:rPr>
              <w:t>Steam</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2020</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Sydney</w:t>
            </w:r>
          </w:p>
        </w:tc>
        <w:tc>
          <w:tcPr>
            <w:tcW w:w="580" w:type="dxa"/>
            <w:vAlign w:val="bottom"/>
          </w:tcPr>
          <w:p>
            <w:pPr>
              <w:ind w:left="140"/>
              <w:spacing w:after="0"/>
              <w:rPr>
                <w:sz w:val="20"/>
                <w:szCs w:val="20"/>
                <w:color w:val="auto"/>
              </w:rPr>
            </w:pPr>
            <w:r>
              <w:rPr>
                <w:rFonts w:ascii="Arial" w:cs="Arial" w:eastAsia="Arial" w:hAnsi="Arial"/>
                <w:sz w:val="16"/>
                <w:szCs w:val="16"/>
                <w:color w:val="auto"/>
              </w:rPr>
              <w:t>2013</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(4)</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Methane Jane Elizabeth</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2006</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Trafigura</w:t>
            </w:r>
            <w:r>
              <w:rPr>
                <w:rFonts w:ascii="Arial" w:cs="Arial" w:eastAsia="Arial" w:hAnsi="Arial"/>
                <w:sz w:val="21"/>
                <w:szCs w:val="21"/>
                <w:color w:val="auto"/>
                <w:w w:val="91"/>
                <w:vertAlign w:val="superscript"/>
              </w:rPr>
              <w:t>(8)</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6"/>
              </w:rPr>
              <w:t>Steam</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November 2020</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2021–2024</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Methane Heather Sally</w:t>
            </w:r>
          </w:p>
        </w:tc>
        <w:tc>
          <w:tcPr>
            <w:tcW w:w="580" w:type="dxa"/>
            <w:vAlign w:val="bottom"/>
          </w:tcPr>
          <w:p>
            <w:pPr>
              <w:ind w:left="140"/>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Steam</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Seattle</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Solaris</w:t>
            </w:r>
          </w:p>
        </w:tc>
        <w:tc>
          <w:tcPr>
            <w:tcW w:w="580" w:type="dxa"/>
            <w:vAlign w:val="bottom"/>
          </w:tcPr>
          <w:p>
            <w:pPr>
              <w:ind w:left="1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Santiago</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Trafigura</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December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2022-2028</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Shanghai</w:t>
            </w:r>
          </w:p>
        </w:tc>
        <w:tc>
          <w:tcPr>
            <w:tcW w:w="580" w:type="dxa"/>
            <w:vAlign w:val="bottom"/>
          </w:tcPr>
          <w:p>
            <w:pPr>
              <w:ind w:left="140"/>
              <w:spacing w:after="0"/>
              <w:rPr>
                <w:sz w:val="20"/>
                <w:szCs w:val="20"/>
                <w:color w:val="auto"/>
              </w:rPr>
            </w:pPr>
            <w:r>
              <w:rPr>
                <w:rFonts w:ascii="Arial" w:cs="Arial" w:eastAsia="Arial" w:hAnsi="Arial"/>
                <w:sz w:val="16"/>
                <w:szCs w:val="16"/>
                <w:color w:val="auto"/>
              </w:rPr>
              <w:t>2013</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(3)</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Geneva</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September 2023</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2028-2031</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12</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Gibraltar</w:t>
            </w:r>
          </w:p>
        </w:tc>
        <w:tc>
          <w:tcPr>
            <w:tcW w:w="580" w:type="dxa"/>
            <w:vAlign w:val="bottom"/>
          </w:tcPr>
          <w:p>
            <w:pPr>
              <w:ind w:left="1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October 2023</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2028-2031</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Methane Becki Anne</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2024</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2027-2029</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14</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Greece</w:t>
            </w:r>
          </w:p>
        </w:tc>
        <w:tc>
          <w:tcPr>
            <w:tcW w:w="580" w:type="dxa"/>
            <w:vAlign w:val="bottom"/>
          </w:tcPr>
          <w:p>
            <w:pPr>
              <w:ind w:left="1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March 2026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15</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Glasgow</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2026</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r>
      <w:tr>
        <w:trPr>
          <w:trHeight w:val="413"/>
        </w:trPr>
        <w:tc>
          <w:tcPr>
            <w:tcW w:w="33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1"/>
        </w:trPr>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00" w:type="dxa"/>
            <w:vAlign w:val="bottom"/>
          </w:tcPr>
          <w:p>
            <w:pPr>
              <w:spacing w:after="0"/>
              <w:rPr>
                <w:sz w:val="18"/>
                <w:szCs w:val="18"/>
                <w:color w:val="auto"/>
              </w:rPr>
            </w:pPr>
          </w:p>
        </w:tc>
        <w:tc>
          <w:tcPr>
            <w:tcW w:w="3020" w:type="dxa"/>
            <w:vAlign w:val="bottom"/>
            <w:gridSpan w:val="2"/>
          </w:tcPr>
          <w:p>
            <w:pPr>
              <w:ind w:left="860"/>
              <w:spacing w:after="0"/>
              <w:rPr>
                <w:sz w:val="20"/>
                <w:szCs w:val="20"/>
                <w:color w:val="auto"/>
              </w:rPr>
            </w:pPr>
            <w:r>
              <w:rPr>
                <w:rFonts w:ascii="Arial" w:cs="Arial" w:eastAsia="Arial" w:hAnsi="Arial"/>
                <w:sz w:val="16"/>
                <w:szCs w:val="16"/>
                <w:b w:val="1"/>
                <w:bCs w:val="1"/>
                <w:color w:val="auto"/>
              </w:rPr>
              <w:t>Vessel Name</w:t>
            </w:r>
          </w:p>
        </w:tc>
        <w:tc>
          <w:tcPr>
            <w:tcW w:w="720" w:type="dxa"/>
            <w:vAlign w:val="bottom"/>
            <w:gridSpan w:val="2"/>
          </w:tcPr>
          <w:p>
            <w:pPr>
              <w:ind w:left="120"/>
              <w:spacing w:after="0"/>
              <w:rPr>
                <w:sz w:val="20"/>
                <w:szCs w:val="20"/>
                <w:color w:val="auto"/>
              </w:rPr>
            </w:pPr>
            <w:r>
              <w:rPr>
                <w:rFonts w:ascii="Arial" w:cs="Arial" w:eastAsia="Arial" w:hAnsi="Arial"/>
                <w:sz w:val="16"/>
                <w:szCs w:val="16"/>
                <w:b w:val="1"/>
                <w:bCs w:val="1"/>
                <w:color w:val="auto"/>
              </w:rPr>
              <w:t>Built</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Propulsion</w:t>
            </w:r>
          </w:p>
        </w:tc>
        <w:tc>
          <w:tcPr>
            <w:tcW w:w="206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26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00" w:type="dxa"/>
            <w:vAlign w:val="bottom"/>
            <w:tcBorders>
              <w:top w:val="single" w:sz="8" w:color="auto"/>
            </w:tcBorders>
            <w:shd w:val="clear" w:color="auto" w:fill="E5FFFF"/>
          </w:tcPr>
          <w:p>
            <w:pPr>
              <w:ind w:left="12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(9)</w:t>
            </w:r>
          </w:p>
        </w:tc>
        <w:tc>
          <w:tcPr>
            <w:tcW w:w="12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2029-2031</w:t>
            </w:r>
          </w:p>
        </w:tc>
      </w:tr>
    </w:tbl>
    <w:p>
      <w:pPr>
        <w:spacing w:after="0" w:line="151"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right="60" w:hanging="192"/>
        <w:spacing w:after="0" w:line="234" w:lineRule="auto"/>
        <w:tabs>
          <w:tab w:leader="none" w:pos="191"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Gladstone</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has the right to extend the term of this time charter for a period ranging from one to four years, provided that the charterer gives us advance notice of declaration. The charterer of the </w:t>
      </w:r>
      <w:r>
        <w:rPr>
          <w:rFonts w:ascii="Arial" w:cs="Arial" w:eastAsia="Arial" w:hAnsi="Arial"/>
          <w:sz w:val="13"/>
          <w:szCs w:val="13"/>
          <w:i w:val="1"/>
          <w:iCs w:val="1"/>
          <w:color w:val="auto"/>
        </w:rPr>
        <w:t>GasLog Hong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Kong </w:t>
      </w:r>
      <w:r>
        <w:rPr>
          <w:rFonts w:ascii="Arial" w:cs="Arial" w:eastAsia="Arial" w:hAnsi="Arial"/>
          <w:sz w:val="13"/>
          <w:szCs w:val="13"/>
          <w:color w:val="auto"/>
        </w:rPr>
        <w:t>has the right to extend the charter for a period of three years, provided that the charterer provides us with advance notice of declaration. The charterer of the</w:t>
      </w:r>
      <w:r>
        <w:rPr>
          <w:rFonts w:ascii="Arial" w:cs="Arial" w:eastAsia="Arial" w:hAnsi="Arial"/>
          <w:sz w:val="13"/>
          <w:szCs w:val="13"/>
          <w:i w:val="1"/>
          <w:iCs w:val="1"/>
          <w:color w:val="auto"/>
        </w:rPr>
        <w:t xml:space="preserve"> GasLog Warsaw </w:t>
      </w:r>
      <w:r>
        <w:rPr>
          <w:rFonts w:ascii="Arial" w:cs="Arial" w:eastAsia="Arial" w:hAnsi="Arial"/>
          <w:sz w:val="13"/>
          <w:szCs w:val="13"/>
          <w:color w:val="auto"/>
        </w:rPr>
        <w:t>has the</w:t>
      </w:r>
      <w:r>
        <w:rPr>
          <w:rFonts w:ascii="Arial" w:cs="Arial" w:eastAsia="Arial" w:hAnsi="Arial"/>
          <w:sz w:val="13"/>
          <w:szCs w:val="13"/>
          <w:i w:val="1"/>
          <w:iCs w:val="1"/>
          <w:color w:val="auto"/>
        </w:rPr>
        <w:t xml:space="preserve"> </w:t>
      </w:r>
      <w:r>
        <w:rPr>
          <w:rFonts w:ascii="Arial" w:cs="Arial" w:eastAsia="Arial" w:hAnsi="Arial"/>
          <w:sz w:val="13"/>
          <w:szCs w:val="13"/>
          <w:color w:val="auto"/>
        </w:rPr>
        <w:t>right to extend the charter by two additional periods of six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 w:name="page21"/>
    <w:bookmarkEnd w:id="20"/>
    <w:p>
      <w:pPr>
        <w:ind w:left="200" w:right="260"/>
        <w:spacing w:after="0" w:line="225" w:lineRule="auto"/>
        <w:rPr>
          <w:sz w:val="20"/>
          <w:szCs w:val="20"/>
          <w:color w:val="auto"/>
        </w:rPr>
      </w:pPr>
      <w:r>
        <w:rPr>
          <w:rFonts w:ascii="Arial" w:cs="Arial" w:eastAsia="Arial" w:hAnsi="Arial"/>
          <w:sz w:val="14"/>
          <w:szCs w:val="14"/>
          <w:color w:val="auto"/>
        </w:rPr>
        <w:t xml:space="preserve">provided that the charterer provides us with advance notice of declaration. The charterer of the </w:t>
      </w:r>
      <w:r>
        <w:rPr>
          <w:rFonts w:ascii="Arial" w:cs="Arial" w:eastAsia="Arial" w:hAnsi="Arial"/>
          <w:sz w:val="14"/>
          <w:szCs w:val="14"/>
          <w:i w:val="1"/>
          <w:iCs w:val="1"/>
          <w:color w:val="auto"/>
        </w:rPr>
        <w:t>GasLog Windsor</w:t>
      </w:r>
      <w:r>
        <w:rPr>
          <w:rFonts w:ascii="Arial" w:cs="Arial" w:eastAsia="Arial" w:hAnsi="Arial"/>
          <w:sz w:val="14"/>
          <w:szCs w:val="14"/>
          <w:color w:val="auto"/>
        </w:rPr>
        <w:t xml:space="preserve"> has the right to extend the charter by three additional periods of two years, provided that the charterer provides us with advance notice of declaration.</w:t>
      </w:r>
    </w:p>
    <w:p>
      <w:pPr>
        <w:ind w:left="200" w:hanging="192"/>
        <w:spacing w:after="0" w:line="180" w:lineRule="auto"/>
        <w:tabs>
          <w:tab w:leader="none" w:pos="2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Clearlake Shipping Pte. Ltd., a subsidiary of Gunvor Group Ltd. (“Gunvor”).</w:t>
      </w:r>
    </w:p>
    <w:p>
      <w:pPr>
        <w:ind w:left="200" w:hanging="192"/>
        <w:spacing w:after="0" w:line="182" w:lineRule="auto"/>
        <w:tabs>
          <w:tab w:leader="none" w:pos="2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Cheniere Marketing International LLP, a wholly owned subsidiary of Cheniere Energy, Inc. (“Cheniere”).</w:t>
      </w:r>
    </w:p>
    <w:p>
      <w:pPr>
        <w:ind w:left="180" w:hanging="172"/>
        <w:spacing w:after="0" w:line="182" w:lineRule="auto"/>
        <w:tabs>
          <w:tab w:leader="none" w:pos="18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“Endesa” refers to Endesa S.A.</w:t>
      </w:r>
    </w:p>
    <w:p>
      <w:pPr>
        <w:ind w:left="180" w:hanging="145"/>
        <w:spacing w:after="0" w:line="186" w:lineRule="auto"/>
        <w:tabs>
          <w:tab w:leader="none" w:pos="180" w:val="left"/>
        </w:tabs>
        <w:numPr>
          <w:ilvl w:val="1"/>
          <w:numId w:val="18"/>
        </w:numPr>
        <w:rPr>
          <w:rFonts w:ascii="Arial" w:cs="Arial" w:eastAsia="Arial" w:hAnsi="Arial"/>
          <w:sz w:val="16"/>
          <w:szCs w:val="16"/>
          <w:color w:val="auto"/>
          <w:vertAlign w:val="superscript"/>
        </w:rPr>
      </w:pPr>
      <w:r>
        <w:rPr>
          <w:rFonts w:ascii="Arial" w:cs="Arial" w:eastAsia="Arial" w:hAnsi="Arial"/>
          <w:sz w:val="13"/>
          <w:szCs w:val="13"/>
          <w:color w:val="auto"/>
        </w:rPr>
        <w:t>“Total” refers to Total Gas &amp; Power Chartering Limited, a wholly owned subsidiary of Total S.A.</w:t>
      </w:r>
    </w:p>
    <w:p>
      <w:pPr>
        <w:ind w:left="200" w:right="480" w:hanging="192"/>
        <w:spacing w:after="0" w:line="197" w:lineRule="auto"/>
        <w:tabs>
          <w:tab w:leader="none" w:pos="182"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for the provision of a Floating Storage Unit (“FSU”). The charter is expected to commence in November 2020, after the dry-docking and conversion of the vessel to an FSU.</w:t>
      </w:r>
    </w:p>
    <w:p>
      <w:pPr>
        <w:ind w:left="200" w:right="20" w:hanging="192"/>
        <w:spacing w:after="0" w:line="193" w:lineRule="auto"/>
        <w:tabs>
          <w:tab w:leader="none" w:pos="182"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 xml:space="preserve">In March 2018, GasLog Partners secured a one-year charter with Trafigura Maritime Logistics PTE Ltd. (“Trafigura”) for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(as nominated by the Partnership), which commenced in November 2019.</w:t>
      </w:r>
    </w:p>
    <w:p>
      <w:pPr>
        <w:spacing w:after="0" w:line="1" w:lineRule="exact"/>
        <w:rPr>
          <w:rFonts w:ascii="Arial" w:cs="Arial" w:eastAsia="Arial" w:hAnsi="Arial"/>
          <w:sz w:val="18"/>
          <w:szCs w:val="18"/>
          <w:color w:val="auto"/>
          <w:vertAlign w:val="superscript"/>
        </w:rPr>
      </w:pPr>
    </w:p>
    <w:p>
      <w:pPr>
        <w:ind w:left="200" w:hanging="192"/>
        <w:spacing w:after="0" w:line="229" w:lineRule="auto"/>
        <w:tabs>
          <w:tab w:leader="none" w:pos="182"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2" w:lineRule="exact"/>
        <w:rPr>
          <w:sz w:val="20"/>
          <w:szCs w:val="20"/>
          <w:color w:val="auto"/>
        </w:rPr>
      </w:pPr>
    </w:p>
    <w:p>
      <w:pPr>
        <w:ind w:right="20" w:firstLine="383"/>
        <w:spacing w:after="0" w:line="273" w:lineRule="auto"/>
        <w:rPr>
          <w:sz w:val="20"/>
          <w:szCs w:val="20"/>
          <w:color w:val="auto"/>
        </w:rPr>
      </w:pPr>
      <w:r>
        <w:rPr>
          <w:rFonts w:ascii="Arial" w:cs="Arial" w:eastAsia="Arial" w:hAnsi="Arial"/>
          <w:sz w:val="16"/>
          <w:szCs w:val="16"/>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each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40" w:lineRule="exact"/>
        <w:rPr>
          <w:sz w:val="20"/>
          <w:szCs w:val="20"/>
          <w:color w:val="auto"/>
        </w:rPr>
      </w:pPr>
    </w:p>
    <w:p>
      <w:pPr>
        <w:ind w:right="40" w:firstLine="356"/>
        <w:spacing w:after="0" w:line="291" w:lineRule="auto"/>
        <w:rPr>
          <w:sz w:val="20"/>
          <w:szCs w:val="20"/>
          <w:color w:val="auto"/>
        </w:rPr>
      </w:pPr>
      <w:r>
        <w:rPr>
          <w:rFonts w:ascii="Arial" w:cs="Arial" w:eastAsia="Arial" w:hAnsi="Arial"/>
          <w:sz w:val="15"/>
          <w:szCs w:val="15"/>
          <w:color w:val="auto"/>
        </w:rPr>
        <w:t xml:space="preserve">GasLog Partners also has a right of first offer from us to purchase any other LNG carriers with cargo capacity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six newbuildings (the </w:t>
      </w:r>
      <w:r>
        <w:rPr>
          <w:rFonts w:ascii="Arial" w:cs="Arial" w:eastAsia="Arial" w:hAnsi="Arial"/>
          <w:sz w:val="15"/>
          <w:szCs w:val="15"/>
          <w:i w:val="1"/>
          <w:iCs w:val="1"/>
          <w:color w:val="auto"/>
        </w:rPr>
        <w:t>GasLog Wales</w:t>
      </w:r>
      <w:r>
        <w:rPr>
          <w:rFonts w:ascii="Arial" w:cs="Arial" w:eastAsia="Arial" w:hAnsi="Arial"/>
          <w:sz w:val="15"/>
          <w:szCs w:val="15"/>
          <w:color w:val="auto"/>
        </w:rPr>
        <w:t xml:space="preserve"> and Hull Nos. 2262, 2300, 2301, 2311 and 2312)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Lydon Volney</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are due to come off charter in June 2020, October 2020, November 2020 and December 2020, respectively, each plus or minus 30 days. The charterer of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has not declared the option to extend the charter which will expire at the end of May 2020. GasLog Partners and GasLog continue to pursue opportunities for new term charters with third parties and, on an interim basis, will trade the vessels in the spot/short-term charter market, pursuing the most advantageous redeployment depending on evolving market conditions.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460" w:type="dxa"/>
            <w:vAlign w:val="bottom"/>
          </w:tcPr>
          <w:p>
            <w:pPr>
              <w:spacing w:after="0"/>
              <w:rPr>
                <w:sz w:val="20"/>
                <w:szCs w:val="20"/>
                <w:color w:val="auto"/>
              </w:rPr>
            </w:pPr>
            <w:r>
              <w:rPr>
                <w:rFonts w:ascii="Arial" w:cs="Arial" w:eastAsia="Arial" w:hAnsi="Arial"/>
                <w:sz w:val="16"/>
                <w:szCs w:val="16"/>
                <w:b w:val="1"/>
                <w:bCs w:val="1"/>
                <w:i w:val="1"/>
                <w:iCs w:val="1"/>
                <w:color w:val="auto"/>
              </w:rPr>
              <w:t>Three-month period ended March 31, 2019 compared to the three-month period ended March 31, 2020</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460" w:type="dxa"/>
            <w:vAlign w:val="bottom"/>
          </w:tcPr>
          <w:p>
            <w:pPr>
              <w:spacing w:after="0"/>
              <w:rPr>
                <w:sz w:val="24"/>
                <w:szCs w:val="24"/>
                <w:color w:val="auto"/>
              </w:rPr>
            </w:pPr>
          </w:p>
        </w:tc>
        <w:tc>
          <w:tcPr>
            <w:tcW w:w="27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2"/>
        </w:trPr>
        <w:tc>
          <w:tcPr>
            <w:tcW w:w="8460" w:type="dxa"/>
            <w:vAlign w:val="bottom"/>
          </w:tcPr>
          <w:p>
            <w:pPr>
              <w:spacing w:after="0"/>
              <w:rPr>
                <w:sz w:val="17"/>
                <w:szCs w:val="17"/>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March 31,</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4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166,547</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165,897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6"/>
                <w:szCs w:val="16"/>
                <w:color w:val="auto"/>
              </w:rPr>
              <w:t>Net pool allocation</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(6,738)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(6,917)</w:t>
            </w:r>
          </w:p>
        </w:tc>
        <w:tc>
          <w:tcPr>
            <w:tcW w:w="13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(32,970)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(35,052)</w:t>
            </w: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(39,599)</w:t>
            </w:r>
          </w:p>
        </w:tc>
        <w:tc>
          <w:tcPr>
            <w:tcW w:w="13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(41,497)</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(10,377)</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196"/>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3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Pr>
          <w:p>
            <w:pPr>
              <w:spacing w:after="0"/>
              <w:rPr>
                <w:sz w:val="20"/>
                <w:szCs w:val="20"/>
                <w:color w:val="auto"/>
              </w:rPr>
            </w:pPr>
            <w:r>
              <w:rPr>
                <w:rFonts w:ascii="Arial" w:cs="Arial" w:eastAsia="Arial" w:hAnsi="Arial"/>
                <w:sz w:val="16"/>
                <w:szCs w:val="16"/>
                <w:color w:val="auto"/>
              </w:rPr>
              <w:t>Financial costs</w:t>
            </w:r>
          </w:p>
        </w:tc>
        <w:tc>
          <w:tcPr>
            <w:tcW w:w="1180" w:type="dxa"/>
            <w:vAlign w:val="bottom"/>
          </w:tcPr>
          <w:p>
            <w:pPr>
              <w:jc w:val="right"/>
              <w:spacing w:after="0"/>
              <w:rPr>
                <w:sz w:val="20"/>
                <w:szCs w:val="20"/>
                <w:color w:val="auto"/>
              </w:rPr>
            </w:pPr>
            <w:r>
              <w:rPr>
                <w:rFonts w:ascii="Arial" w:cs="Arial" w:eastAsia="Arial" w:hAnsi="Arial"/>
                <w:sz w:val="16"/>
                <w:szCs w:val="16"/>
                <w:color w:val="auto"/>
              </w:rPr>
              <w:t>(45,507)</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1,459</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Loss on derivatives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(20,244)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(71,124)</w:t>
            </w: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245</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30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(111,691)</w:t>
            </w: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Profit/(loss) for the period</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30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Non-controlling interests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w:t>
            </w:r>
          </w:p>
        </w:tc>
        <w:tc>
          <w:tcPr>
            <w:tcW w:w="30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(12,042)</w:t>
            </w: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attributable to owners of the Group</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(10,947)</w:t>
            </w:r>
          </w:p>
        </w:tc>
        <w:tc>
          <w:tcPr>
            <w:tcW w:w="30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(51,479)</w:t>
            </w: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380" w:firstLine="405"/>
        <w:spacing w:after="0" w:line="271" w:lineRule="auto"/>
        <w:rPr>
          <w:sz w:val="20"/>
          <w:szCs w:val="20"/>
          <w:color w:val="auto"/>
        </w:rPr>
      </w:pPr>
      <w:r>
        <w:rPr>
          <w:rFonts w:ascii="Arial" w:cs="Arial" w:eastAsia="Arial" w:hAnsi="Arial"/>
          <w:sz w:val="16"/>
          <w:szCs w:val="16"/>
          <w:color w:val="auto"/>
        </w:rPr>
        <w:t>During the three-month period ended March 31, 2019, we had an average of 26.2 ships operating in our owned and bareboat fleet (including ships owned by the Partnership), having 2,350 revenue operating days, and an average of 26.2 ships operating under our technical management (including 25.2 of our owned and bareboat ships). During the three-month period ended March 31, 2020, we had an average of 28.0 ships operating in our owned and bareboat fleet (including ships owned by the Partnership), having 2,250 revenue operating days, and an average of 28.0 ships operating under our technical management (including 27.0 of our owned and bareboat ships).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300" w:firstLine="427"/>
        <w:spacing w:after="0" w:line="293" w:lineRule="auto"/>
        <w:rPr>
          <w:sz w:val="20"/>
          <w:szCs w:val="20"/>
          <w:color w:val="auto"/>
        </w:rPr>
      </w:pPr>
      <w:r>
        <w:rPr>
          <w:rFonts w:ascii="Arial" w:cs="Arial" w:eastAsia="Arial" w:hAnsi="Arial"/>
          <w:sz w:val="16"/>
          <w:szCs w:val="16"/>
          <w:color w:val="auto"/>
        </w:rPr>
        <w:t>Revenues decreased by 0.4%, or $0.6 million, from $166.5 million during the three-month period ended March 31, 2019 to $165.9 million during the three-month period ended March 31, 2020. The decrease in revenues is mainly attributable to a decrease of $9.7 million due to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60"/>
        <w:spacing w:after="0" w:line="289" w:lineRule="auto"/>
        <w:rPr>
          <w:sz w:val="20"/>
          <w:szCs w:val="20"/>
          <w:color w:val="auto"/>
        </w:rPr>
      </w:pPr>
      <w:r>
        <w:rPr>
          <w:rFonts w:ascii="Arial" w:cs="Arial" w:eastAsia="Arial" w:hAnsi="Arial"/>
          <w:sz w:val="15"/>
          <w:szCs w:val="15"/>
          <w:color w:val="auto"/>
        </w:rPr>
        <w:t xml:space="preserve">expiration of the initial time charters of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Following the expiration of their initial charters,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have been trading in the spot market, while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began a new one-year charter with Trafigura. There was also a decrease of $5.0 million due to increased off-hire days for four scheduled dry-dockings in the three months ended March 31, 2020 compared to only one scheduled dry-docking in the same period of 2019 and a decrease of $2.6 million in revenues from our vessels operating in the spot market in both periods. These decreases were partially offset by an increase of $14.5 million due to an increase in operating days attributable to the full operation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delivered on March 15, 2019, and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delivered on July 31, 2019, and an increase of $2.2 million from the remaining vessels in our fleet. The average daily hire rate increased from $70,789 for the three-month period ended March 31, 2019 to $73,646 for the quarter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220" w:firstLine="383"/>
        <w:spacing w:after="0" w:line="273" w:lineRule="auto"/>
        <w:rPr>
          <w:sz w:val="20"/>
          <w:szCs w:val="20"/>
          <w:color w:val="auto"/>
        </w:rPr>
      </w:pPr>
      <w:r>
        <w:rPr>
          <w:rFonts w:ascii="Arial" w:cs="Arial" w:eastAsia="Arial" w:hAnsi="Arial"/>
          <w:sz w:val="16"/>
          <w:szCs w:val="16"/>
          <w:color w:val="auto"/>
        </w:rPr>
        <w:t>Net pool allocation decreased by $6.7 million, from negative $6.7 million during the three-month period ended March 31, 2019 to $0 during the three-month period ended March 31, 2020. The variance was attributable to the exit of GasLog’ vessels from the Cool Pool since July 2019. GasLog recognized gross revenues and gross voyage expenses and commissions of $32.1 million and $4.7 million, respectively, from the operation of its vessels in the Cool Pool during the quarter ended March 31, 2019. GasLog’s total net pool performance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2760" w:type="dxa"/>
            <w:vAlign w:val="bottom"/>
            <w:gridSpan w:val="4"/>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35"/>
        </w:trPr>
        <w:tc>
          <w:tcPr>
            <w:tcW w:w="84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4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8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32,142</w:t>
            </w:r>
          </w:p>
        </w:tc>
        <w:tc>
          <w:tcPr>
            <w:tcW w:w="1220" w:type="dxa"/>
            <w:vAlign w:val="bottom"/>
            <w:shd w:val="clear" w:color="auto" w:fill="E5FFFF"/>
          </w:tcPr>
          <w:p>
            <w:pPr>
              <w:ind w:left="10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(4,677)</w:t>
            </w:r>
          </w:p>
        </w:tc>
        <w:tc>
          <w:tcPr>
            <w:tcW w:w="1220" w:type="dxa"/>
            <w:vAlign w:val="bottom"/>
          </w:tcPr>
          <w:p>
            <w:pPr>
              <w:ind w:left="10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(6,738)</w:t>
            </w:r>
          </w:p>
        </w:tc>
        <w:tc>
          <w:tcPr>
            <w:tcW w:w="1220" w:type="dxa"/>
            <w:vAlign w:val="bottom"/>
            <w:shd w:val="clear" w:color="auto" w:fill="E5FFFF"/>
          </w:tcPr>
          <w:p>
            <w:pPr>
              <w:ind w:left="10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8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20,727</w:t>
            </w:r>
          </w:p>
        </w:tc>
        <w:tc>
          <w:tcPr>
            <w:tcW w:w="160" w:type="dxa"/>
            <w:vAlign w:val="bottom"/>
          </w:tcPr>
          <w:p>
            <w:pPr>
              <w:spacing w:after="0"/>
              <w:rPr>
                <w:sz w:val="17"/>
                <w:szCs w:val="17"/>
                <w:color w:val="auto"/>
              </w:rPr>
            </w:pPr>
          </w:p>
        </w:tc>
        <w:tc>
          <w:tcPr>
            <w:tcW w:w="12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140" w:firstLine="356"/>
        <w:spacing w:after="0" w:line="369" w:lineRule="auto"/>
        <w:rPr>
          <w:sz w:val="20"/>
          <w:szCs w:val="20"/>
          <w:color w:val="auto"/>
        </w:rPr>
      </w:pPr>
      <w:r>
        <w:rPr>
          <w:rFonts w:ascii="Arial" w:cs="Arial" w:eastAsia="Arial" w:hAnsi="Arial"/>
          <w:sz w:val="14"/>
          <w:szCs w:val="14"/>
          <w:color w:val="auto"/>
        </w:rPr>
        <w:t>Voyage expenses and commissions increased by 8.7%, or $0.6 million, from $6.9 million during the three-month period ended March 31, 2019 to $7.5 million during the three-month period ended March 31, 2020. The increase is primarily attributable to the increase in bunkers consumption of our vessels operating in the spot market.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40" w:firstLine="356"/>
        <w:spacing w:after="0" w:line="318" w:lineRule="auto"/>
        <w:rPr>
          <w:sz w:val="20"/>
          <w:szCs w:val="20"/>
          <w:color w:val="auto"/>
        </w:rPr>
      </w:pPr>
      <w:r>
        <w:rPr>
          <w:rFonts w:ascii="Arial" w:cs="Arial" w:eastAsia="Arial" w:hAnsi="Arial"/>
          <w:sz w:val="14"/>
          <w:szCs w:val="14"/>
          <w:color w:val="auto"/>
        </w:rPr>
        <w:t xml:space="preserve">Vessel operating and supervision costs increased by 6.4%, or $2.1 million, from $33.0 million during the three-month period ended March 31, 2019 to $35.1 million during the three-month period ended March 31, 2020. The increase was mainly attributable to the increase in crew wages due to the delivery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on July 31, 2019 and increased scheduled technical and maintenance costs related to engine maintenance and costs related to dry-dockings, partially offset by the favorable movement of the Euro (“EUR”)/USD exchange rate. Daily operating costs per vessel decreased from $14,550 per ownership day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three-month period ended March 31, 2019 to $14,266 per ownership day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three-month period ended March 31, 2020.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260" w:firstLine="356"/>
        <w:spacing w:after="0" w:line="273" w:lineRule="auto"/>
        <w:rPr>
          <w:sz w:val="20"/>
          <w:szCs w:val="20"/>
          <w:color w:val="auto"/>
        </w:rPr>
      </w:pPr>
      <w:r>
        <w:rPr>
          <w:rFonts w:ascii="Arial" w:cs="Arial" w:eastAsia="Arial" w:hAnsi="Arial"/>
          <w:sz w:val="16"/>
          <w:szCs w:val="16"/>
          <w:color w:val="auto"/>
        </w:rPr>
        <w:t>Depreciation increased by 4.8%, or $1.9 million, from $39.6 million during the three-month period ended March 31, 2019 to $41.5 million during the three-month period ended March 31, 2020. The increase in depreciation resulted mainly from the increase in the average number of vessels in our fleet in the quarter ended March 31, 2020, compared to the same quarter in 2019, which was partially offset by the impairment charges recognized in the fourth quarter of 2019, which reduced the carrying value of steam turbine propulsion (“Steam”) vessels.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60" w:firstLine="356"/>
        <w:spacing w:after="0" w:line="297" w:lineRule="auto"/>
        <w:rPr>
          <w:sz w:val="20"/>
          <w:szCs w:val="20"/>
          <w:color w:val="auto"/>
        </w:rPr>
      </w:pPr>
      <w:r>
        <w:rPr>
          <w:rFonts w:ascii="Arial" w:cs="Arial" w:eastAsia="Arial" w:hAnsi="Arial"/>
          <w:sz w:val="15"/>
          <w:szCs w:val="15"/>
          <w:color w:val="auto"/>
        </w:rPr>
        <w:t>General and administrative expenses decreased by 7.7%, or $0.8 million, from $10.4 million during the three-month period ended March 31, 2019 to $9.6 million during the three-month period ended March 31, 2020. The decrease is mainly attributable to foreign exchange differences partially offset by the additional provisions for restructuring costs of $0.4 million. Daily general and administrative expenses per vessel, excluding the effect of the restructuring costs, decreased from $4,404 per vessel ownership day for the quarter ended March 31, 2019 to $3,601 per vessel ownership day for the quarter ended March 31,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80" w:firstLine="356"/>
        <w:spacing w:after="0" w:line="268" w:lineRule="auto"/>
        <w:rPr>
          <w:sz w:val="20"/>
          <w:szCs w:val="20"/>
          <w:color w:val="auto"/>
        </w:rPr>
      </w:pPr>
      <w:r>
        <w:rPr>
          <w:rFonts w:ascii="Arial" w:cs="Arial" w:eastAsia="Arial" w:hAnsi="Arial"/>
          <w:sz w:val="16"/>
          <w:szCs w:val="16"/>
          <w:color w:val="auto"/>
        </w:rPr>
        <w:t>Financial costs decreased by 9.0%, or $4.1 million, from $45.5 million during the three-month period ended March 31, 2019 to $41.4 million during the three-month period ended March 31, 2020. The decrease is mainly attributable to a decrease of $4.0 million in other financial costs mainly due to the net unrealized foreign exchange gains on cash and bonds, a decrease of $1.8 million in interest expense on loans, bonds and cash flow hedges and a decrease of $0.3 million in amortization of deferred loan fees mainly driven by a decrease in write-offs of unamortized loan and bond fees, which is partially offset by an increase of $1.9 million in loss arising on bond repurchase at premium. During the quarter ended March 31, 2020, we had an average of $3,138.3 million of outstanding indebtedness, with a weighted average interest rate of 4.6%, while during the quarter ended March 31, 2019, we had an average of $2,875.4 million of outstanding indebtedness having an aggregate weighted average interest rate of 5.3%. These weighted average interest rates include interest expense on loans and cash flow hedges and interest expense on senior unsecured notes and cross-currency swaps.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Derivatives: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on derivatives increased by $50.9 million, from a loss of $20.2 million during the three-month period ended March 31, 2019 to a loss of</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spacing w:after="0" w:line="324" w:lineRule="auto"/>
        <w:rPr>
          <w:sz w:val="20"/>
          <w:szCs w:val="20"/>
          <w:color w:val="auto"/>
        </w:rPr>
      </w:pPr>
      <w:r>
        <w:rPr>
          <w:rFonts w:ascii="Arial" w:cs="Arial" w:eastAsia="Arial" w:hAnsi="Arial"/>
          <w:sz w:val="14"/>
          <w:szCs w:val="14"/>
          <w:color w:val="auto"/>
        </w:rPr>
        <w:t>$71.1 million during the three-month period ended March 31, 2020. The increase is mainly attributable to an increase of $50.1 million in loss from mark-to-market valuation of our derivative financial instruments carried at fair value through profit or loss, which reflected a loss of $21.2 million for the quarter ended March 31, 2019, as compared to a loss of $71.3 million for the quarter ended March 31, 2020, and a decrease of $2.6 million in realized gain from interest rate swaps held for trading, partially offset by an increase of $1.2 million in the ineffective portion of cash flow hedges and a decrease of $0.7 million in realized loss on forward foreign exchange contracts held for trading.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Profit/(loss) for the Period:</w:t>
      </w:r>
    </w:p>
    <w:p>
      <w:pPr>
        <w:spacing w:after="0" w:line="235"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Profit for the period decreased by $45.3 million, from a profit of $5.9 million for the three-month period ended March 31, 2019 to a loss of $39.4 million for the three-month period ended March 31, 2020,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Attributable to Owners of the Group:</w:t>
      </w:r>
    </w:p>
    <w:p>
      <w:pPr>
        <w:spacing w:after="0" w:line="235" w:lineRule="exact"/>
        <w:rPr>
          <w:sz w:val="20"/>
          <w:szCs w:val="20"/>
          <w:color w:val="auto"/>
        </w:rPr>
      </w:pPr>
    </w:p>
    <w:p>
      <w:pPr>
        <w:ind w:right="120" w:firstLine="648"/>
        <w:spacing w:after="0" w:line="278" w:lineRule="auto"/>
        <w:rPr>
          <w:sz w:val="20"/>
          <w:szCs w:val="20"/>
          <w:color w:val="auto"/>
        </w:rPr>
      </w:pPr>
      <w:r>
        <w:rPr>
          <w:rFonts w:ascii="Arial" w:cs="Arial" w:eastAsia="Arial" w:hAnsi="Arial"/>
          <w:sz w:val="16"/>
          <w:szCs w:val="16"/>
          <w:color w:val="auto"/>
        </w:rPr>
        <w:t>Loss attributable to owners of the Group increased by $40.6 million, from a loss of $10.9 million for the three-month period ended March 31, 2019 to a $51.5 million loss for the three-month period ended March 31, 2020. The increase in loss attributable to the owners of GasLog resulted mainly from the respective movements in profit mentioned above.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right="220" w:firstLine="356"/>
        <w:spacing w:after="0" w:line="297" w:lineRule="auto"/>
        <w:rPr>
          <w:sz w:val="20"/>
          <w:szCs w:val="20"/>
          <w:color w:val="auto"/>
        </w:rPr>
      </w:pPr>
      <w:r>
        <w:rPr>
          <w:rFonts w:ascii="Arial" w:cs="Arial" w:eastAsia="Arial" w:hAnsi="Arial"/>
          <w:sz w:val="15"/>
          <w:szCs w:val="15"/>
          <w:color w:val="auto"/>
        </w:rPr>
        <w:t>For the three-month period ended March 31, 2020, we received 62.3% of our revenues from Shell, 25.7% of our revenues from major LNG producers, 11.9% of our revenues from various charterers in the spot/short-term market and 0.1% of our revenues from Egypt LNG, an entity in which we have a 25% ownership interest. For the three-month period ended March 31, 2019, we received 68.9% of our revenues from Shell, 19.3% of our revenues from various charterers in the spot/short-term market, 11.7% of our revenues from major LNG producers and 0.1% of our revenues from Egypt LNG, an entity in which we have a 25% ownership interest.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20" w:firstLine="356"/>
        <w:spacing w:after="0" w:line="273" w:lineRule="auto"/>
        <w:rPr>
          <w:sz w:val="20"/>
          <w:szCs w:val="20"/>
          <w:color w:val="auto"/>
        </w:rPr>
      </w:pPr>
      <w:r>
        <w:rPr>
          <w:rFonts w:ascii="Arial" w:cs="Arial" w:eastAsia="Arial" w:hAnsi="Arial"/>
          <w:sz w:val="16"/>
          <w:szCs w:val="16"/>
          <w:color w:val="auto"/>
        </w:rPr>
        <w:t>Our primary liquidity needs are to fund our ship-operating and general and administrative expenses, including dry-docking,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9"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72" w:lineRule="exact"/>
        <w:rPr>
          <w:sz w:val="20"/>
          <w:szCs w:val="20"/>
          <w:color w:val="auto"/>
        </w:rPr>
      </w:pPr>
    </w:p>
    <w:p>
      <w:pPr>
        <w:ind w:right="180" w:firstLine="356"/>
        <w:spacing w:after="0" w:line="273" w:lineRule="auto"/>
        <w:rPr>
          <w:sz w:val="20"/>
          <w:szCs w:val="20"/>
          <w:color w:val="auto"/>
        </w:rPr>
      </w:pPr>
      <w:r>
        <w:rPr>
          <w:rFonts w:ascii="Arial" w:cs="Arial" w:eastAsia="Arial" w:hAnsi="Arial"/>
          <w:sz w:val="16"/>
          <w:szCs w:val="16"/>
          <w:color w:val="auto"/>
        </w:rPr>
        <w:t xml:space="preserve">As of March 31, 2020, GasLog had $252.2 million of cash and cash equivalents, of which $150.4 million was restricted cash, in relation to the amount drawn for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until her delivery from the shipyard on April 1, 2020, $52.6 million was held in time deposits and the remaining balance in current accounts. In addition, an amount of $81.2 million was held as cash collateral with respect to our derivative instruments and is included in Other non-current assets and Prepayments and other current assets.</w:t>
      </w:r>
    </w:p>
    <w:p>
      <w:pPr>
        <w:spacing w:after="0" w:line="189" w:lineRule="exact"/>
        <w:rPr>
          <w:sz w:val="20"/>
          <w:szCs w:val="20"/>
          <w:color w:val="auto"/>
        </w:rPr>
      </w:pPr>
    </w:p>
    <w:p>
      <w:pPr>
        <w:ind w:right="160" w:firstLine="356"/>
        <w:spacing w:after="0" w:line="305" w:lineRule="auto"/>
        <w:rPr>
          <w:sz w:val="20"/>
          <w:szCs w:val="20"/>
          <w:color w:val="auto"/>
        </w:rPr>
      </w:pPr>
      <w:r>
        <w:rPr>
          <w:rFonts w:ascii="Arial" w:cs="Arial" w:eastAsia="Arial" w:hAnsi="Arial"/>
          <w:sz w:val="15"/>
          <w:szCs w:val="15"/>
          <w:color w:val="auto"/>
        </w:rPr>
        <w:t>On January 13, 2020, GasLog completed the partial exchange of $10.0 million of the outstanding 8.875% senior unsecured notes due 2022 (the “8.875% Senior Notes”) for new senior unsecured bonds due in 2024 (the “NOK 2024 Bonds”). On January 31, 2020, GasLog repurchased and cancelled NOK 434,000 of the outstanding senior unsecured bonds due May 2021 (the “NOK 2021 Bonds”) at a price of 104.0% of par value, resulting in a loss of $1.9 million.</w:t>
      </w:r>
    </w:p>
    <w:p>
      <w:pPr>
        <w:spacing w:after="0" w:line="166" w:lineRule="exact"/>
        <w:rPr>
          <w:sz w:val="20"/>
          <w:szCs w:val="20"/>
          <w:color w:val="auto"/>
        </w:rPr>
      </w:pPr>
    </w:p>
    <w:p>
      <w:pPr>
        <w:ind w:right="100" w:firstLine="356"/>
        <w:spacing w:after="0" w:line="273" w:lineRule="auto"/>
        <w:rPr>
          <w:sz w:val="20"/>
          <w:szCs w:val="20"/>
          <w:color w:val="auto"/>
        </w:rPr>
      </w:pPr>
      <w:r>
        <w:rPr>
          <w:rFonts w:ascii="Arial" w:cs="Arial" w:eastAsia="Arial" w:hAnsi="Arial"/>
          <w:sz w:val="16"/>
          <w:szCs w:val="16"/>
          <w:color w:val="auto"/>
        </w:rPr>
        <w:t xml:space="preserve">On February 13, 2020, on March 13, 2020 and on March 18, 2020, GasLog drew down $23.3 million, $50.7 million and $26.0 million, respectively under the revolving credit facility of up to $1.1 billion entered into on July 19, 2016 (the “Legacy Facility Refinancing”). On March 26, 2020, GasLog drew $152.5 million under the facility signed on December 12, 2019 with an Export Credit Agency-backed debt financing of $1.1 billion with 13 international banks to provide the debt funding for its current newbuilding program (the “Newbuilding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w:t>
      </w:r>
    </w:p>
    <w:p>
      <w:pPr>
        <w:spacing w:after="0" w:line="189" w:lineRule="exact"/>
        <w:rPr>
          <w:sz w:val="20"/>
          <w:szCs w:val="20"/>
          <w:color w:val="auto"/>
        </w:rPr>
      </w:pPr>
    </w:p>
    <w:p>
      <w:pPr>
        <w:ind w:right="440" w:firstLine="356"/>
        <w:spacing w:after="0" w:line="328" w:lineRule="auto"/>
        <w:rPr>
          <w:sz w:val="20"/>
          <w:szCs w:val="20"/>
          <w:color w:val="auto"/>
        </w:rPr>
      </w:pPr>
      <w:r>
        <w:rPr>
          <w:rFonts w:ascii="Arial" w:cs="Arial" w:eastAsia="Arial" w:hAnsi="Arial"/>
          <w:sz w:val="15"/>
          <w:szCs w:val="15"/>
          <w:color w:val="auto"/>
        </w:rPr>
        <w:t>As of March 31, 2020, there was undrawn available capacity of $900.3 million under the Newbuilding Facility. In addition, there was unused availability of $2.0 million under the five-year amortizing revolving credit facility entered into by the Partnership on February 20, 2019 (the “2019 Partnership Facility”).</w:t>
      </w:r>
    </w:p>
    <w:p>
      <w:pPr>
        <w:spacing w:after="0" w:line="150" w:lineRule="exact"/>
        <w:rPr>
          <w:sz w:val="20"/>
          <w:szCs w:val="20"/>
          <w:color w:val="auto"/>
        </w:rPr>
      </w:pPr>
    </w:p>
    <w:p>
      <w:pPr>
        <w:ind w:right="220" w:firstLine="356"/>
        <w:spacing w:after="0" w:line="293" w:lineRule="auto"/>
        <w:rPr>
          <w:sz w:val="20"/>
          <w:szCs w:val="20"/>
          <w:color w:val="auto"/>
        </w:rPr>
      </w:pPr>
      <w:r>
        <w:rPr>
          <w:rFonts w:ascii="Arial" w:cs="Arial" w:eastAsia="Arial" w:hAnsi="Arial"/>
          <w:sz w:val="16"/>
          <w:szCs w:val="16"/>
          <w:color w:val="auto"/>
        </w:rPr>
        <w:t>As of March 31, 2020, GasLog had an aggregate of $3.2 billion of indebtedness outstanding under its credit facilities and bond agreements, of which $214.7 million was repayable within one year, and $203.1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$9.7 million was payable within one year.</w:t>
      </w:r>
    </w:p>
    <w:p>
      <w:pPr>
        <w:spacing w:after="0" w:line="172" w:lineRule="exact"/>
        <w:rPr>
          <w:sz w:val="20"/>
          <w:szCs w:val="20"/>
          <w:color w:val="auto"/>
        </w:rPr>
      </w:pPr>
    </w:p>
    <w:p>
      <w:pPr>
        <w:ind w:right="400" w:firstLine="356"/>
        <w:spacing w:after="0" w:line="328" w:lineRule="auto"/>
        <w:rPr>
          <w:sz w:val="20"/>
          <w:szCs w:val="20"/>
          <w:color w:val="auto"/>
        </w:rPr>
      </w:pPr>
      <w:r>
        <w:rPr>
          <w:rFonts w:ascii="Arial" w:cs="Arial" w:eastAsia="Arial" w:hAnsi="Arial"/>
          <w:sz w:val="15"/>
          <w:szCs w:val="15"/>
          <w:color w:val="auto"/>
        </w:rPr>
        <w:t xml:space="preserve">As of March 31, 2020, the total remaining balance of the contract prices of the seven LNG carriers on order was $1,085.4 million (including the </w:t>
      </w:r>
      <w:r>
        <w:rPr>
          <w:rFonts w:ascii="Arial" w:cs="Arial" w:eastAsia="Arial" w:hAnsi="Arial"/>
          <w:sz w:val="15"/>
          <w:szCs w:val="15"/>
          <w:i w:val="1"/>
          <w:iCs w:val="1"/>
          <w:color w:val="auto"/>
        </w:rPr>
        <w:t>GasLog Windsor</w:t>
      </w:r>
      <w:r>
        <w:rPr>
          <w:rFonts w:ascii="Arial" w:cs="Arial" w:eastAsia="Arial" w:hAnsi="Arial"/>
          <w:sz w:val="15"/>
          <w:szCs w:val="15"/>
          <w:color w:val="auto"/>
        </w:rPr>
        <w:t xml:space="preserve"> which was delivered on April 1, 2020), which GasLog expects to be funded with the Newbuilding Facility, cash balances and cash from operations.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GasLog has hedged 42.4% of its expected floating interest rate exposure on its outstanding debt (excluding the lease liability) as of March 31, 2020.</w:t>
      </w:r>
    </w:p>
    <w:p>
      <w:pPr>
        <w:spacing w:after="0" w:line="235"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March 6, 2020 and Note 9 of our unaudited condensed consolidated financial statements included elsewhere in this report.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140" w:firstLine="383"/>
        <w:spacing w:after="0" w:line="293" w:lineRule="auto"/>
        <w:rPr>
          <w:sz w:val="20"/>
          <w:szCs w:val="20"/>
          <w:color w:val="auto"/>
        </w:rPr>
      </w:pPr>
      <w:r>
        <w:rPr>
          <w:rFonts w:ascii="Arial" w:cs="Arial" w:eastAsia="Arial" w:hAnsi="Arial"/>
          <w:sz w:val="16"/>
          <w:szCs w:val="16"/>
          <w:color w:val="auto"/>
        </w:rPr>
        <w:t>As of March 31, 2020, GasLog’s current assets totaled $320.6 million, while current liabilities totaled $381.4 million, resulting in a negative working capital position of $60.8 million.</w:t>
      </w:r>
    </w:p>
    <w:p>
      <w:pPr>
        <w:spacing w:after="0" w:line="172" w:lineRule="exact"/>
        <w:rPr>
          <w:sz w:val="20"/>
          <w:szCs w:val="20"/>
          <w:color w:val="auto"/>
        </w:rPr>
      </w:pPr>
    </w:p>
    <w:p>
      <w:pPr>
        <w:ind w:firstLine="383"/>
        <w:spacing w:after="0" w:line="288"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market conditions, we anticipate that our primary sources of funds over the next twelve months will be available cash, cash from operations and bank borrowings under existing, refinanced or new debt facilities, as well as public equity or debt instruments, subject to a significant recovery in capital market conditions. We are continuing the process of refinancing our bank loans maturing in April and July 2021 and we are in discussion with our swaps counterparties in order to identify and execute measures to reduce cash collateral posted under the existing interest rate and cross currency swaps. We believe that these anticipated sources of funds will be sufficient to meet our liquidity needs and comply with our bank loan and bond covenants for at least twelve months from the end of the reporting period, although there can be no assurance that we will be able to obtain such debt or equity financing or release of collateral on terms acceptable to us.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Three-month period ended March 31, 2019 compared to the three-month period ended March 31, 2020</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98" w:lineRule="exact"/>
        <w:rPr>
          <w:sz w:val="20"/>
          <w:szCs w:val="20"/>
          <w:color w:val="auto"/>
        </w:rPr>
      </w:pPr>
    </w:p>
    <w:tbl>
      <w:tblPr>
        <w:tblLayout w:type="fixed"/>
        <w:tblInd w:w="182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For the three months ended</w:t>
            </w:r>
          </w:p>
        </w:tc>
      </w:tr>
      <w:tr>
        <w:trPr>
          <w:trHeight w:val="243"/>
        </w:trPr>
        <w:tc>
          <w:tcPr>
            <w:tcW w:w="472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March 31, 2019</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47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by/(used in) operating activities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42,714</w:t>
            </w:r>
          </w:p>
        </w:tc>
        <w:tc>
          <w:tcPr>
            <w:tcW w:w="160" w:type="dxa"/>
            <w:vAlign w:val="bottom"/>
            <w:shd w:val="clear" w:color="auto" w:fill="E5FFFF"/>
          </w:tcPr>
          <w:p>
            <w:pPr>
              <w:spacing w:after="0"/>
              <w:rPr>
                <w:sz w:val="21"/>
                <w:szCs w:val="21"/>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(30,185)</w:t>
            </w:r>
          </w:p>
        </w:tc>
        <w:tc>
          <w:tcPr>
            <w:tcW w:w="60" w:type="dxa"/>
            <w:vAlign w:val="bottom"/>
          </w:tcPr>
          <w:p>
            <w:pPr>
              <w:spacing w:after="0"/>
              <w:rPr>
                <w:sz w:val="21"/>
                <w:szCs w:val="21"/>
                <w:color w:val="auto"/>
              </w:rPr>
            </w:pPr>
          </w:p>
        </w:tc>
      </w:tr>
      <w:tr>
        <w:trPr>
          <w:trHeight w:val="253"/>
        </w:trPr>
        <w:tc>
          <w:tcPr>
            <w:tcW w:w="4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(198,019)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(55,143)</w:t>
            </w:r>
          </w:p>
        </w:tc>
      </w:tr>
      <w:tr>
        <w:trPr>
          <w:trHeight w:val="233"/>
        </w:trPr>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43,592</w:t>
            </w:r>
          </w:p>
        </w:tc>
        <w:tc>
          <w:tcPr>
            <w:tcW w:w="160" w:type="dxa"/>
            <w:vAlign w:val="bottom"/>
            <w:shd w:val="clear" w:color="auto" w:fill="E5FFFF"/>
          </w:tcPr>
          <w:p>
            <w:pPr>
              <w:spacing w:after="0"/>
              <w:rPr>
                <w:sz w:val="20"/>
                <w:szCs w:val="20"/>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75,949</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Net Cash Provided by/(used in) Operating Activities</w:t>
      </w:r>
    </w:p>
    <w:p>
      <w:pPr>
        <w:spacing w:after="0" w:line="235" w:lineRule="exact"/>
        <w:rPr>
          <w:sz w:val="20"/>
          <w:szCs w:val="20"/>
          <w:color w:val="auto"/>
        </w:rPr>
      </w:pPr>
    </w:p>
    <w:p>
      <w:pPr>
        <w:ind w:firstLine="198"/>
        <w:spacing w:after="0" w:line="271" w:lineRule="auto"/>
        <w:rPr>
          <w:sz w:val="20"/>
          <w:szCs w:val="20"/>
          <w:color w:val="auto"/>
        </w:rPr>
      </w:pPr>
      <w:r>
        <w:rPr>
          <w:rFonts w:ascii="Arial" w:cs="Arial" w:eastAsia="Arial" w:hAnsi="Arial"/>
          <w:sz w:val="16"/>
          <w:szCs w:val="16"/>
          <w:color w:val="auto"/>
        </w:rPr>
        <w:t>Net cash provided by operating activities decreased by $72.9 million, from $42.7 million during the three-month period ended March 31, 2019 to $30.2 million during the three-month period ended March 31, 2020. The decrease is mainly attributable to the movements of the working capital accounts which consist of an increase in cash collateral relating to swaps of $78.6 million, partially offset by a decrease of $3.2 million in remaining movements in working capital accounts. In addition, there was a net decrease of $3.8 million from the remaining movements, partially offset by an increase in total revenues (revenues and net pool allocation) of $6.0 million and a decrease of $0.3 million in cash paid for interest, including the interest paid for leases.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right="80" w:firstLine="228"/>
        <w:spacing w:after="0" w:line="271" w:lineRule="auto"/>
        <w:rPr>
          <w:sz w:val="20"/>
          <w:szCs w:val="20"/>
          <w:color w:val="auto"/>
        </w:rPr>
      </w:pPr>
      <w:r>
        <w:rPr>
          <w:rFonts w:ascii="Arial" w:cs="Arial" w:eastAsia="Arial" w:hAnsi="Arial"/>
          <w:sz w:val="16"/>
          <w:szCs w:val="16"/>
          <w:color w:val="auto"/>
        </w:rPr>
        <w:t>Net cash used in investing activities decreased by $142.9 million, from $198.0 million in the three-month period ended March 31, 2019 to $55.1 million in the three-month period ended March 31, 2020. The decrease is mainly attributable to a decrease of $155.2 million in net cash used in payments for the construction costs of newbuildings and other fixed assets, partially offset by a net decrease of $10.5 million in cash from short-term investments in the three-month period ended March 31, 2020 compared to the same period of 2019, an increase of $1.0 million in net cash used in payments for right-of-use assets and a decrease of $0.8 million in cash from interest income.</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right="40" w:firstLine="356"/>
        <w:spacing w:after="0" w:line="269" w:lineRule="auto"/>
        <w:rPr>
          <w:sz w:val="20"/>
          <w:szCs w:val="20"/>
          <w:color w:val="auto"/>
        </w:rPr>
      </w:pPr>
      <w:r>
        <w:rPr>
          <w:rFonts w:ascii="Arial" w:cs="Arial" w:eastAsia="Arial" w:hAnsi="Arial"/>
          <w:sz w:val="16"/>
          <w:szCs w:val="16"/>
          <w:color w:val="auto"/>
        </w:rPr>
        <w:t>Net cash provided by financing activities increased by $32.3 million, from $43.6 million in the three-month period ended March 31, 2019 to $75.9 million in the three-month period ended March 31, 2020. The increase is mainly attributable to a decrease of $302.1 million in bank loan and bond repayments, a decrease of $4.6 million in payments of loan issuance costs, an decrease of $3.6 million in dividend payments, a decrease of $0.8 million in cash used for purchases of treasury shares and a decrease of $0.7 million in payments for equity-related costs partially offset by a decrease of $273.3 million in proceeds in proceeds from borrowings, an increase of $4.1 million in payments for cross currency swaps’ termination, an increase of $1.9 million in payments for bond repurchase at a premium and an increase of $0.1 million in payments for lease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39" w:lineRule="exact"/>
        <w:rPr>
          <w:sz w:val="20"/>
          <w:szCs w:val="20"/>
          <w:color w:val="auto"/>
        </w:rPr>
      </w:pPr>
    </w:p>
    <w:p>
      <w:pPr>
        <w:ind w:right="50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vessel utilization after March 31,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gridSpan w:val="5"/>
          </w:tcPr>
          <w:p>
            <w:pPr>
              <w:jc w:val="right"/>
              <w:ind w:right="919"/>
              <w:spacing w:after="0"/>
              <w:rPr>
                <w:sz w:val="20"/>
                <w:szCs w:val="20"/>
                <w:color w:val="auto"/>
              </w:rPr>
            </w:pPr>
            <w:r>
              <w:rPr>
                <w:rFonts w:ascii="Arial" w:cs="Arial" w:eastAsia="Arial" w:hAnsi="Arial"/>
                <w:sz w:val="16"/>
                <w:szCs w:val="16"/>
                <w:b w:val="1"/>
                <w:bCs w:val="1"/>
                <w:color w:val="auto"/>
                <w:w w:val="93"/>
              </w:rPr>
              <w:t>Contracted Charter Revenues and Days from Time Charters</w:t>
            </w:r>
          </w:p>
        </w:tc>
      </w:tr>
      <w:tr>
        <w:trPr>
          <w:trHeight w:val="343"/>
        </w:trPr>
        <w:tc>
          <w:tcPr>
            <w:tcW w:w="50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After</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504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March 31,</w:t>
            </w:r>
          </w:p>
        </w:tc>
        <w:tc>
          <w:tcPr>
            <w:tcW w:w="1000" w:type="dxa"/>
            <w:vAlign w:val="bottom"/>
          </w:tcPr>
          <w:p>
            <w:pPr>
              <w:spacing w:after="0"/>
              <w:rPr>
                <w:sz w:val="18"/>
                <w:szCs w:val="18"/>
                <w:color w:val="auto"/>
              </w:rPr>
            </w:pPr>
          </w:p>
        </w:tc>
        <w:tc>
          <w:tcPr>
            <w:tcW w:w="31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w w:val="98"/>
              </w:rPr>
              <w:t>For the years ending December 31,</w:t>
            </w:r>
          </w:p>
        </w:tc>
        <w:tc>
          <w:tcPr>
            <w:tcW w:w="1100" w:type="dxa"/>
            <w:vAlign w:val="bottom"/>
          </w:tcPr>
          <w:p>
            <w:pPr>
              <w:spacing w:after="0"/>
              <w:rPr>
                <w:sz w:val="18"/>
                <w:szCs w:val="18"/>
                <w:color w:val="auto"/>
              </w:rPr>
            </w:pPr>
          </w:p>
        </w:tc>
      </w:tr>
      <w:tr>
        <w:trPr>
          <w:trHeight w:val="202"/>
        </w:trPr>
        <w:tc>
          <w:tcPr>
            <w:tcW w:w="50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2024-2032</w:t>
            </w:r>
          </w:p>
        </w:tc>
        <w:tc>
          <w:tcPr>
            <w:tcW w:w="11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(in millions of U.S. dollars, except days and percentages)</w:t>
            </w:r>
          </w:p>
        </w:tc>
        <w:tc>
          <w:tcPr>
            <w:tcW w:w="1100" w:type="dxa"/>
            <w:vAlign w:val="bottom"/>
          </w:tcPr>
          <w:p>
            <w:pPr>
              <w:spacing w:after="0"/>
              <w:rPr>
                <w:sz w:val="17"/>
                <w:szCs w:val="17"/>
                <w:color w:val="auto"/>
              </w:rPr>
            </w:pPr>
          </w:p>
        </w:tc>
      </w:tr>
      <w:tr>
        <w:trPr>
          <w:trHeight w:val="203"/>
        </w:trPr>
        <w:tc>
          <w:tcPr>
            <w:tcW w:w="50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9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429.5</w:t>
            </w: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553.6</w:t>
            </w:r>
          </w:p>
        </w:tc>
        <w:tc>
          <w:tcPr>
            <w:tcW w:w="9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541.0</w:t>
            </w:r>
          </w:p>
        </w:tc>
        <w:tc>
          <w:tcPr>
            <w:tcW w:w="8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511.3</w:t>
            </w:r>
          </w:p>
        </w:tc>
        <w:tc>
          <w:tcPr>
            <w:tcW w:w="140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1,770.2</w:t>
            </w:r>
          </w:p>
        </w:tc>
        <w:tc>
          <w:tcPr>
            <w:tcW w:w="1100" w:type="dxa"/>
            <w:vAlign w:val="bottom"/>
            <w:shd w:val="clear" w:color="auto" w:fill="E5FFFF"/>
          </w:tcPr>
          <w:p>
            <w:pPr>
              <w:jc w:val="right"/>
              <w:ind w:right="319"/>
              <w:spacing w:after="0"/>
              <w:rPr>
                <w:sz w:val="20"/>
                <w:szCs w:val="20"/>
                <w:color w:val="auto"/>
              </w:rPr>
            </w:pPr>
            <w:r>
              <w:rPr>
                <w:rFonts w:ascii="Arial" w:cs="Arial" w:eastAsia="Arial" w:hAnsi="Arial"/>
                <w:sz w:val="16"/>
                <w:szCs w:val="16"/>
                <w:color w:val="auto"/>
              </w:rPr>
              <w:t>3,805.6</w:t>
            </w: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6,369</w:t>
            </w:r>
          </w:p>
        </w:tc>
        <w:tc>
          <w:tcPr>
            <w:tcW w:w="20" w:type="dxa"/>
            <w:vAlign w:val="bottom"/>
          </w:tcPr>
          <w:p>
            <w:pPr>
              <w:spacing w:after="0"/>
              <w:rPr>
                <w:sz w:val="17"/>
                <w:szCs w:val="17"/>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7,581</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7,269</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6,692</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23,684</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51,595</w:t>
            </w:r>
          </w:p>
        </w:tc>
      </w:tr>
      <w:tr>
        <w:trPr>
          <w:trHeight w:val="203"/>
        </w:trPr>
        <w:tc>
          <w:tcPr>
            <w:tcW w:w="50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9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8,260</w:t>
            </w: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12,234</w:t>
            </w:r>
          </w:p>
        </w:tc>
        <w:tc>
          <w:tcPr>
            <w:tcW w:w="9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12,775</w:t>
            </w:r>
          </w:p>
        </w:tc>
        <w:tc>
          <w:tcPr>
            <w:tcW w:w="8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12,535</w:t>
            </w:r>
          </w:p>
        </w:tc>
        <w:tc>
          <w:tcPr>
            <w:tcW w:w="140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113,250</w:t>
            </w:r>
          </w:p>
        </w:tc>
        <w:tc>
          <w:tcPr>
            <w:tcW w:w="1100" w:type="dxa"/>
            <w:vAlign w:val="bottom"/>
            <w:shd w:val="clear" w:color="auto" w:fill="E5FFFF"/>
          </w:tcPr>
          <w:p>
            <w:pPr>
              <w:jc w:val="right"/>
              <w:ind w:right="319"/>
              <w:spacing w:after="0"/>
              <w:rPr>
                <w:sz w:val="20"/>
                <w:szCs w:val="20"/>
                <w:color w:val="auto"/>
              </w:rPr>
            </w:pPr>
            <w:r>
              <w:rPr>
                <w:rFonts w:ascii="Arial" w:cs="Arial" w:eastAsia="Arial" w:hAnsi="Arial"/>
                <w:sz w:val="16"/>
                <w:szCs w:val="16"/>
                <w:color w:val="auto"/>
              </w:rPr>
              <w:t>159,054</w:t>
            </w: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1,891</w:t>
            </w:r>
          </w:p>
        </w:tc>
        <w:tc>
          <w:tcPr>
            <w:tcW w:w="20" w:type="dxa"/>
            <w:vAlign w:val="bottom"/>
          </w:tcPr>
          <w:p>
            <w:pPr>
              <w:spacing w:after="0"/>
              <w:rPr>
                <w:sz w:val="17"/>
                <w:szCs w:val="17"/>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4,653</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5,506</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5,843</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89,566</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107,459</w:t>
            </w:r>
          </w:p>
        </w:tc>
      </w:tr>
      <w:tr>
        <w:trPr>
          <w:trHeight w:val="203"/>
        </w:trPr>
        <w:tc>
          <w:tcPr>
            <w:tcW w:w="504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77.1%</w:t>
            </w: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62.0%</w:t>
            </w:r>
          </w:p>
        </w:tc>
        <w:tc>
          <w:tcPr>
            <w:tcW w:w="9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56.9%</w:t>
            </w: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53.4%</w:t>
            </w:r>
          </w:p>
        </w:tc>
        <w:tc>
          <w:tcPr>
            <w:tcW w:w="140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20.9%</w:t>
            </w:r>
          </w:p>
        </w:tc>
        <w:tc>
          <w:tcPr>
            <w:tcW w:w="110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32.4%</w:t>
            </w:r>
          </w:p>
        </w:tc>
      </w:tr>
      <w:tr>
        <w:trPr>
          <w:trHeight w:val="274"/>
        </w:trPr>
        <w:tc>
          <w:tcPr>
            <w:tcW w:w="5040" w:type="dxa"/>
            <w:vAlign w:val="bottom"/>
          </w:tcPr>
          <w:p>
            <w:pPr>
              <w:spacing w:after="0"/>
              <w:rPr>
                <w:sz w:val="20"/>
                <w:szCs w:val="20"/>
                <w:color w:val="auto"/>
              </w:rPr>
            </w:pPr>
            <w:r>
              <w:rPr>
                <w:rFonts w:ascii="Arial" w:cs="Arial" w:eastAsia="Arial" w:hAnsi="Arial"/>
                <w:sz w:val="22"/>
                <w:szCs w:val="22"/>
                <w:color w:val="auto"/>
              </w:rPr>
              <w:t>____________</w:t>
            </w: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166" w:lineRule="exact"/>
        <w:rPr>
          <w:sz w:val="20"/>
          <w:szCs w:val="20"/>
          <w:color w:val="auto"/>
        </w:rPr>
      </w:pPr>
    </w:p>
    <w:p>
      <w:pPr>
        <w:ind w:left="200" w:right="100" w:hanging="192"/>
        <w:spacing w:after="0" w:line="260" w:lineRule="auto"/>
        <w:tabs>
          <w:tab w:leader="none" w:pos="191"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 xml:space="preserve">Reflects time charter revenues and contracted days for eleven of our currently wholly owned ships, the 15 ships currently owned by the Partnership, the bareboat vessel and the seven newbuildings on order for which we have secured time charters. Does not include charter revenues for the </w:t>
      </w:r>
      <w:r>
        <w:rPr>
          <w:rFonts w:ascii="Arial" w:cs="Arial" w:eastAsia="Arial" w:hAnsi="Arial"/>
          <w:sz w:val="12"/>
          <w:szCs w:val="12"/>
          <w:i w:val="1"/>
          <w:iCs w:val="1"/>
          <w:color w:val="auto"/>
        </w:rPr>
        <w:t>Methane Nile Eagle</w:t>
      </w:r>
      <w:r>
        <w:rPr>
          <w:rFonts w:ascii="Arial" w:cs="Arial" w:eastAsia="Arial" w:hAnsi="Arial"/>
          <w:sz w:val="12"/>
          <w:szCs w:val="12"/>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50" w:lineRule="exact"/>
        <w:rPr>
          <w:rFonts w:ascii="Arial" w:cs="Arial" w:eastAsia="Arial" w:hAnsi="Arial"/>
          <w:sz w:val="15"/>
          <w:szCs w:val="15"/>
          <w:color w:val="auto"/>
          <w:vertAlign w:val="superscript"/>
        </w:rPr>
      </w:pPr>
    </w:p>
    <w:p>
      <w:pPr>
        <w:ind w:left="200" w:right="260" w:hanging="192"/>
        <w:spacing w:after="0" w:line="215" w:lineRule="auto"/>
        <w:tabs>
          <w:tab w:leader="none" w:pos="191"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61" w:lineRule="exact"/>
        <w:rPr>
          <w:rFonts w:ascii="Arial" w:cs="Arial" w:eastAsia="Arial" w:hAnsi="Arial"/>
          <w:sz w:val="18"/>
          <w:szCs w:val="18"/>
          <w:color w:val="auto"/>
          <w:vertAlign w:val="superscript"/>
        </w:rPr>
      </w:pPr>
    </w:p>
    <w:p>
      <w:pPr>
        <w:ind w:left="200" w:right="420" w:hanging="192"/>
        <w:spacing w:after="0" w:line="215" w:lineRule="auto"/>
        <w:tabs>
          <w:tab w:leader="none" w:pos="191"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200" w:lineRule="exact"/>
        <w:rPr>
          <w:sz w:val="20"/>
          <w:szCs w:val="20"/>
          <w:color w:val="auto"/>
        </w:rPr>
      </w:pPr>
    </w:p>
    <w:p>
      <w:pPr>
        <w:spacing w:after="0" w:line="208" w:lineRule="exact"/>
        <w:rPr>
          <w:sz w:val="20"/>
          <w:szCs w:val="20"/>
          <w:color w:val="auto"/>
        </w:rPr>
      </w:pPr>
    </w:p>
    <w:p>
      <w:pPr>
        <w:ind w:firstLine="356"/>
        <w:spacing w:after="0" w:line="306" w:lineRule="auto"/>
        <w:rPr>
          <w:sz w:val="20"/>
          <w:szCs w:val="20"/>
          <w:color w:val="auto"/>
        </w:rPr>
      </w:pPr>
      <w:r>
        <w:rPr>
          <w:rFonts w:ascii="Arial" w:cs="Arial" w:eastAsia="Arial" w:hAnsi="Arial"/>
          <w:sz w:val="14"/>
          <w:szCs w:val="14"/>
          <w:color w:val="auto"/>
        </w:rPr>
        <w:t>Other than the assumptions reflected in the footnotes to the table, including our assumption that our newbuildings are delivered on schedule, the table does not reflect events occurring after March 31, 2020.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6, 2020.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right="340" w:firstLine="356"/>
        <w:spacing w:after="0" w:line="328"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March 6, 2020 and Note 2 of our unaudited condensed consolidated financial statements included elsewhere in this report.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20" w:type="dxa"/>
            <w:vAlign w:val="bottom"/>
            <w:gridSpan w:val="7"/>
          </w:tcPr>
          <w:p>
            <w:pPr>
              <w:ind w:left="330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1020" w:type="dxa"/>
            <w:vAlign w:val="bottom"/>
          </w:tcPr>
          <w:p>
            <w:pPr>
              <w:spacing w:after="0"/>
              <w:rPr>
                <w:sz w:val="18"/>
                <w:szCs w:val="18"/>
                <w:color w:val="auto"/>
              </w:rPr>
            </w:pPr>
          </w:p>
        </w:tc>
      </w:tr>
      <w:tr>
        <w:trPr>
          <w:trHeight w:val="441"/>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12"/>
        </w:trPr>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5"/>
        </w:trPr>
        <w:tc>
          <w:tcPr>
            <w:tcW w:w="10220" w:type="dxa"/>
            <w:vAlign w:val="bottom"/>
            <w:gridSpan w:val="7"/>
            <w:shd w:val="clear" w:color="auto" w:fill="E5FFFF"/>
          </w:tcPr>
          <w:p>
            <w:pPr>
              <w:spacing w:after="0" w:line="175" w:lineRule="exact"/>
              <w:rPr>
                <w:sz w:val="20"/>
                <w:szCs w:val="20"/>
                <w:color w:val="auto"/>
              </w:rPr>
            </w:pPr>
            <w:r>
              <w:rPr>
                <w:rFonts w:ascii="Arial" w:cs="Arial" w:eastAsia="Arial" w:hAnsi="Arial"/>
                <w:sz w:val="16"/>
                <w:szCs w:val="16"/>
                <w:color w:val="0000FF"/>
              </w:rPr>
              <w:t>Unaudited condensed consolidated statements of financial position as of December 31, 2019 and March 31, 2020</w:t>
            </w:r>
          </w:p>
        </w:tc>
        <w:tc>
          <w:tcPr>
            <w:tcW w:w="1020" w:type="dxa"/>
            <w:vAlign w:val="bottom"/>
            <w:shd w:val="clear" w:color="auto" w:fill="E5FFFF"/>
          </w:tcPr>
          <w:p>
            <w:pPr>
              <w:jc w:val="center"/>
              <w:spacing w:after="0" w:line="175" w:lineRule="exact"/>
              <w:rPr>
                <w:sz w:val="20"/>
                <w:szCs w:val="20"/>
                <w:color w:val="auto"/>
              </w:rPr>
            </w:pPr>
            <w:r>
              <w:rPr>
                <w:rFonts w:ascii="Arial" w:cs="Arial" w:eastAsia="Arial" w:hAnsi="Arial"/>
                <w:sz w:val="16"/>
                <w:szCs w:val="16"/>
                <w:color w:val="auto"/>
                <w:w w:val="91"/>
              </w:rPr>
              <w:t>F-2</w:t>
            </w:r>
          </w:p>
        </w:tc>
      </w:tr>
      <w:tr>
        <w:trPr>
          <w:trHeight w:val="21"/>
        </w:trPr>
        <w:tc>
          <w:tcPr>
            <w:tcW w:w="4380" w:type="dxa"/>
            <w:vAlign w:val="bottom"/>
            <w:tcBorders>
              <w:top w:val="single" w:sz="8" w:color="0000FF"/>
            </w:tcBorders>
            <w:shd w:val="clear" w:color="auto" w:fill="E5FFFF"/>
          </w:tcPr>
          <w:p>
            <w:pPr>
              <w:spacing w:after="0" w:line="20" w:lineRule="exact"/>
              <w:rPr>
                <w:sz w:val="1"/>
                <w:szCs w:val="1"/>
                <w:color w:val="auto"/>
              </w:rPr>
            </w:pPr>
          </w:p>
        </w:tc>
        <w:tc>
          <w:tcPr>
            <w:tcW w:w="2960" w:type="dxa"/>
            <w:vAlign w:val="bottom"/>
            <w:tcBorders>
              <w:top w:val="single" w:sz="8" w:color="0000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1560" w:type="dxa"/>
            <w:vAlign w:val="bottom"/>
            <w:tcBorders>
              <w:top w:val="single" w:sz="8" w:color="E5FFFF"/>
            </w:tcBorders>
            <w:shd w:val="clear" w:color="auto" w:fill="E5FFFF"/>
          </w:tcPr>
          <w:p>
            <w:pPr>
              <w:spacing w:after="0" w:line="20" w:lineRule="exact"/>
              <w:rPr>
                <w:sz w:val="1"/>
                <w:szCs w:val="1"/>
                <w:color w:val="auto"/>
              </w:rPr>
            </w:pPr>
          </w:p>
        </w:tc>
        <w:tc>
          <w:tcPr>
            <w:tcW w:w="1020" w:type="dxa"/>
            <w:vAlign w:val="bottom"/>
            <w:tcBorders>
              <w:top w:val="single" w:sz="8" w:color="E5FFFF"/>
            </w:tcBorders>
            <w:shd w:val="clear" w:color="auto" w:fill="E5FFFF"/>
          </w:tcPr>
          <w:p>
            <w:pPr>
              <w:spacing w:after="0" w:line="20" w:lineRule="exact"/>
              <w:rPr>
                <w:sz w:val="1"/>
                <w:szCs w:val="1"/>
                <w:color w:val="auto"/>
              </w:rPr>
            </w:pPr>
          </w:p>
        </w:tc>
      </w:tr>
      <w:tr>
        <w:trPr>
          <w:trHeight w:val="176"/>
        </w:trPr>
        <w:tc>
          <w:tcPr>
            <w:tcW w:w="10220" w:type="dxa"/>
            <w:vAlign w:val="bottom"/>
            <w:gridSpan w:val="7"/>
          </w:tcPr>
          <w:p>
            <w:pPr>
              <w:spacing w:after="0" w:line="175" w:lineRule="exact"/>
              <w:rPr>
                <w:sz w:val="20"/>
                <w:szCs w:val="20"/>
                <w:color w:val="auto"/>
              </w:rPr>
            </w:pPr>
            <w:r>
              <w:rPr>
                <w:rFonts w:ascii="Arial" w:cs="Arial" w:eastAsia="Arial" w:hAnsi="Arial"/>
                <w:sz w:val="16"/>
                <w:szCs w:val="16"/>
                <w:color w:val="0000FF"/>
              </w:rPr>
              <w:t>Unaudited condensed consolidated statements of profit or loss for the three months ended March 31, 2019 and 2020</w:t>
            </w:r>
          </w:p>
        </w:tc>
        <w:tc>
          <w:tcPr>
            <w:tcW w:w="1020" w:type="dxa"/>
            <w:vAlign w:val="bottom"/>
          </w:tcPr>
          <w:p>
            <w:pPr>
              <w:jc w:val="center"/>
              <w:spacing w:after="0" w:line="175" w:lineRule="exact"/>
              <w:rPr>
                <w:sz w:val="20"/>
                <w:szCs w:val="20"/>
                <w:color w:val="auto"/>
              </w:rPr>
            </w:pPr>
            <w:r>
              <w:rPr>
                <w:rFonts w:ascii="Arial" w:cs="Arial" w:eastAsia="Arial" w:hAnsi="Arial"/>
                <w:sz w:val="16"/>
                <w:szCs w:val="16"/>
                <w:color w:val="auto"/>
                <w:w w:val="91"/>
              </w:rPr>
              <w:t>F-3</w:t>
            </w:r>
          </w:p>
        </w:tc>
      </w:tr>
      <w:tr>
        <w:trPr>
          <w:trHeight w:val="20"/>
        </w:trPr>
        <w:tc>
          <w:tcPr>
            <w:tcW w:w="438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660" w:type="dxa"/>
            <w:vAlign w:val="bottom"/>
            <w:tcBorders>
              <w:bottom w:val="single" w:sz="8" w:color="0000FF"/>
            </w:tcBorders>
            <w:gridSpan w:val="6"/>
            <w:shd w:val="clear" w:color="auto" w:fill="E5FFFF"/>
          </w:tcPr>
          <w:p>
            <w:pPr>
              <w:spacing w:after="0" w:line="175" w:lineRule="exact"/>
              <w:rPr>
                <w:sz w:val="20"/>
                <w:szCs w:val="20"/>
                <w:color w:val="auto"/>
              </w:rPr>
            </w:pPr>
            <w:r>
              <w:rPr>
                <w:rFonts w:ascii="Arial" w:cs="Arial" w:eastAsia="Arial" w:hAnsi="Arial"/>
                <w:sz w:val="16"/>
                <w:szCs w:val="16"/>
                <w:color w:val="0000FF"/>
                <w:w w:val="90"/>
              </w:rPr>
              <w:t>Unaudited condensed consolidated statements of comprehensive income or loss for the three months ended March 31, 2019 and 2020</w:t>
            </w:r>
          </w:p>
        </w:tc>
        <w:tc>
          <w:tcPr>
            <w:tcW w:w="1560" w:type="dxa"/>
            <w:vAlign w:val="bottom"/>
            <w:tcBorders>
              <w:bottom w:val="single" w:sz="8" w:color="E5FFFF"/>
            </w:tcBorders>
            <w:shd w:val="clear" w:color="auto" w:fill="E5FFFF"/>
          </w:tcPr>
          <w:p>
            <w:pPr>
              <w:spacing w:after="0"/>
              <w:rPr>
                <w:sz w:val="17"/>
                <w:szCs w:val="17"/>
                <w:color w:val="auto"/>
              </w:rPr>
            </w:pPr>
          </w:p>
        </w:tc>
        <w:tc>
          <w:tcPr>
            <w:tcW w:w="1020" w:type="dxa"/>
            <w:vAlign w:val="bottom"/>
            <w:tcBorders>
              <w:bottom w:val="single" w:sz="8" w:color="E5FFFF"/>
            </w:tcBorders>
            <w:shd w:val="clear" w:color="auto" w:fill="E5FFFF"/>
          </w:tcPr>
          <w:p>
            <w:pPr>
              <w:jc w:val="center"/>
              <w:spacing w:after="0" w:line="175" w:lineRule="exact"/>
              <w:rPr>
                <w:sz w:val="20"/>
                <w:szCs w:val="20"/>
                <w:color w:val="auto"/>
              </w:rPr>
            </w:pPr>
            <w:r>
              <w:rPr>
                <w:rFonts w:ascii="Arial" w:cs="Arial" w:eastAsia="Arial" w:hAnsi="Arial"/>
                <w:sz w:val="16"/>
                <w:szCs w:val="16"/>
                <w:color w:val="auto"/>
                <w:w w:val="91"/>
              </w:rPr>
              <w:t>F-4</w:t>
            </w:r>
          </w:p>
        </w:tc>
      </w:tr>
      <w:tr>
        <w:trPr>
          <w:trHeight w:val="176"/>
        </w:trPr>
        <w:tc>
          <w:tcPr>
            <w:tcW w:w="10220" w:type="dxa"/>
            <w:vAlign w:val="bottom"/>
            <w:gridSpan w:val="7"/>
          </w:tcPr>
          <w:p>
            <w:pPr>
              <w:spacing w:after="0" w:line="175" w:lineRule="exact"/>
              <w:rPr>
                <w:sz w:val="20"/>
                <w:szCs w:val="20"/>
                <w:color w:val="auto"/>
              </w:rPr>
            </w:pPr>
            <w:r>
              <w:rPr>
                <w:rFonts w:ascii="Arial" w:cs="Arial" w:eastAsia="Arial" w:hAnsi="Arial"/>
                <w:sz w:val="16"/>
                <w:szCs w:val="16"/>
                <w:color w:val="0000FF"/>
              </w:rPr>
              <w:t>Unaudited condensed consolidated statements of changes in equity for the three months ended March 31, 2019 and 2020</w:t>
            </w:r>
          </w:p>
        </w:tc>
        <w:tc>
          <w:tcPr>
            <w:tcW w:w="1020" w:type="dxa"/>
            <w:vAlign w:val="bottom"/>
          </w:tcPr>
          <w:p>
            <w:pPr>
              <w:jc w:val="center"/>
              <w:spacing w:after="0" w:line="175" w:lineRule="exact"/>
              <w:rPr>
                <w:sz w:val="20"/>
                <w:szCs w:val="20"/>
                <w:color w:val="auto"/>
              </w:rPr>
            </w:pPr>
            <w:r>
              <w:rPr>
                <w:rFonts w:ascii="Arial" w:cs="Arial" w:eastAsia="Arial" w:hAnsi="Arial"/>
                <w:sz w:val="16"/>
                <w:szCs w:val="16"/>
                <w:color w:val="auto"/>
                <w:w w:val="91"/>
              </w:rPr>
              <w:t>F-5</w:t>
            </w:r>
          </w:p>
        </w:tc>
      </w:tr>
      <w:tr>
        <w:trPr>
          <w:trHeight w:val="21"/>
        </w:trPr>
        <w:tc>
          <w:tcPr>
            <w:tcW w:w="438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220" w:type="dxa"/>
            <w:vAlign w:val="bottom"/>
            <w:gridSpan w:val="7"/>
            <w:shd w:val="clear" w:color="auto" w:fill="E5FFFF"/>
          </w:tcPr>
          <w:p>
            <w:pPr>
              <w:spacing w:after="0" w:line="175" w:lineRule="exact"/>
              <w:rPr>
                <w:sz w:val="20"/>
                <w:szCs w:val="20"/>
                <w:color w:val="auto"/>
              </w:rPr>
            </w:pPr>
            <w:r>
              <w:rPr>
                <w:rFonts w:ascii="Arial" w:cs="Arial" w:eastAsia="Arial" w:hAnsi="Arial"/>
                <w:sz w:val="16"/>
                <w:szCs w:val="16"/>
                <w:color w:val="0000FF"/>
              </w:rPr>
              <w:t>Unaudited condensed consolidated statements of cash flows for the three months ended March 31, 2019 and 2020</w:t>
            </w:r>
          </w:p>
        </w:tc>
        <w:tc>
          <w:tcPr>
            <w:tcW w:w="1020" w:type="dxa"/>
            <w:vAlign w:val="bottom"/>
            <w:shd w:val="clear" w:color="auto" w:fill="E5FFFF"/>
          </w:tcPr>
          <w:p>
            <w:pPr>
              <w:jc w:val="center"/>
              <w:spacing w:after="0" w:line="175" w:lineRule="exact"/>
              <w:rPr>
                <w:sz w:val="20"/>
                <w:szCs w:val="20"/>
                <w:color w:val="auto"/>
              </w:rPr>
            </w:pPr>
            <w:r>
              <w:rPr>
                <w:rFonts w:ascii="Arial" w:cs="Arial" w:eastAsia="Arial" w:hAnsi="Arial"/>
                <w:sz w:val="16"/>
                <w:szCs w:val="16"/>
                <w:color w:val="auto"/>
                <w:w w:val="91"/>
              </w:rPr>
              <w:t>F-6</w:t>
            </w:r>
          </w:p>
        </w:tc>
      </w:tr>
      <w:tr>
        <w:trPr>
          <w:trHeight w:val="175"/>
        </w:trPr>
        <w:tc>
          <w:tcPr>
            <w:tcW w:w="7420" w:type="dxa"/>
            <w:vAlign w:val="bottom"/>
            <w:tcBorders>
              <w:top w:val="single" w:sz="8" w:color="0000FF"/>
            </w:tcBorders>
            <w:gridSpan w:val="3"/>
          </w:tcPr>
          <w:p>
            <w:pPr>
              <w:spacing w:after="0" w:line="175"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2800" w:type="dxa"/>
            <w:vAlign w:val="bottom"/>
            <w:tcBorders>
              <w:top w:val="single" w:sz="8" w:color="E5FFFF"/>
            </w:tcBorders>
            <w:gridSpan w:val="4"/>
          </w:tcPr>
          <w:p>
            <w:pPr>
              <w:spacing w:after="0"/>
              <w:rPr>
                <w:sz w:val="15"/>
                <w:szCs w:val="15"/>
                <w:color w:val="auto"/>
              </w:rPr>
            </w:pPr>
          </w:p>
        </w:tc>
        <w:tc>
          <w:tcPr>
            <w:tcW w:w="1020" w:type="dxa"/>
            <w:vAlign w:val="bottom"/>
            <w:tcBorders>
              <w:top w:val="single" w:sz="8" w:color="E5FFFF"/>
            </w:tcBorders>
          </w:tcPr>
          <w:p>
            <w:pPr>
              <w:jc w:val="center"/>
              <w:spacing w:after="0" w:line="175" w:lineRule="exact"/>
              <w:rPr>
                <w:sz w:val="20"/>
                <w:szCs w:val="20"/>
                <w:color w:val="auto"/>
              </w:rPr>
            </w:pPr>
            <w:r>
              <w:rPr>
                <w:rFonts w:ascii="Arial" w:cs="Arial" w:eastAsia="Arial" w:hAnsi="Arial"/>
                <w:sz w:val="16"/>
                <w:szCs w:val="16"/>
                <w:color w:val="auto"/>
                <w:w w:val="91"/>
              </w:rPr>
              <w:t>F-7</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4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b w:val="1"/>
                <w:bCs w:val="1"/>
                <w:color w:val="auto"/>
              </w:rPr>
              <w:t>As of December 31, 2019 and March 31, 2020</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64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2280" w:type="dxa"/>
            <w:vAlign w:val="bottom"/>
            <w:gridSpan w:val="4"/>
          </w:tcPr>
          <w:p>
            <w:pPr>
              <w:ind w:left="240"/>
              <w:spacing w:after="0"/>
              <w:rPr>
                <w:sz w:val="20"/>
                <w:szCs w:val="20"/>
                <w:color w:val="auto"/>
              </w:rPr>
            </w:pPr>
            <w:r>
              <w:rPr>
                <w:rFonts w:ascii="Arial" w:cs="Arial" w:eastAsia="Arial" w:hAnsi="Arial"/>
                <w:sz w:val="16"/>
                <w:szCs w:val="16"/>
                <w:b w:val="1"/>
                <w:bCs w:val="1"/>
                <w:color w:val="auto"/>
              </w:rPr>
              <w:t>December 31, 2019</w:t>
            </w: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85"/>
        </w:trPr>
        <w:tc>
          <w:tcPr>
            <w:tcW w:w="6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420" w:type="dxa"/>
            <w:vAlign w:val="bottom"/>
            <w:tcBorders>
              <w:top w:val="single" w:sz="8" w:color="auto"/>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260" w:type="dxa"/>
            <w:vAlign w:val="bottom"/>
            <w:tcBorders>
              <w:top w:val="single" w:sz="8" w:color="auto"/>
            </w:tcBorders>
            <w:shd w:val="clear" w:color="auto" w:fill="E5FFFF"/>
          </w:tcPr>
          <w:p>
            <w:pPr>
              <w:spacing w:after="0"/>
              <w:rPr>
                <w:sz w:val="16"/>
                <w:szCs w:val="16"/>
                <w:color w:val="auto"/>
              </w:rPr>
            </w:pPr>
          </w:p>
        </w:tc>
        <w:tc>
          <w:tcPr>
            <w:tcW w:w="144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9,511</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21,620</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11,592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24,221</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60" w:type="dxa"/>
            <w:vAlign w:val="bottom"/>
            <w:shd w:val="clear" w:color="auto" w:fill="E5FFFF"/>
          </w:tcPr>
          <w:p>
            <w:pPr>
              <w:spacing w:after="0"/>
              <w:rPr>
                <w:sz w:val="18"/>
                <w:szCs w:val="18"/>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3,572</w:t>
            </w:r>
          </w:p>
        </w:tc>
        <w:tc>
          <w:tcPr>
            <w:tcW w:w="26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Tangible fixed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4,427,065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4,401,977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203,323</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Right-of-use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206,495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7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4,907,399</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4,961,238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24,900</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573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429</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Inventories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8,172</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13,475</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6"/>
                <w:szCs w:val="16"/>
                <w:color w:val="auto"/>
              </w:rPr>
              <w:t>Short-term investments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4,500</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8</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263,747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70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315,796</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7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4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5,223,195</w:t>
            </w:r>
          </w:p>
        </w:tc>
        <w:tc>
          <w:tcPr>
            <w:tcW w:w="2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5,281,787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Preference shares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810</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Contributed surplus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760,671</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746,073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16,799</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Treasury shares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60" w:type="dxa"/>
            <w:vAlign w:val="bottom"/>
          </w:tcPr>
          <w:p>
            <w:pPr>
              <w:spacing w:after="0"/>
              <w:rPr>
                <w:sz w:val="17"/>
                <w:szCs w:val="17"/>
                <w:color w:val="auto"/>
              </w:rPr>
            </w:pPr>
          </w:p>
        </w:tc>
        <w:tc>
          <w:tcPr>
            <w:tcW w:w="2020" w:type="dxa"/>
            <w:vAlign w:val="bottom"/>
            <w:gridSpan w:val="3"/>
          </w:tcPr>
          <w:p>
            <w:pPr>
              <w:jc w:val="right"/>
              <w:ind w:right="200"/>
              <w:spacing w:after="0"/>
              <w:rPr>
                <w:sz w:val="20"/>
                <w:szCs w:val="20"/>
                <w:color w:val="auto"/>
              </w:rPr>
            </w:pPr>
            <w:r>
              <w:rPr>
                <w:rFonts w:ascii="Arial" w:cs="Arial" w:eastAsia="Arial" w:hAnsi="Arial"/>
                <w:sz w:val="16"/>
                <w:szCs w:val="16"/>
                <w:color w:val="auto"/>
              </w:rPr>
              <w:t>(2,159)</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(87,832)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(139,311)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688,335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617,313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961,518</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946,861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70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1,649,853</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1,564,174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70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27,615</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38,993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7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601</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8,095</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136,242</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255,422</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214,700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9,363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7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437,538</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381,434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41,837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2,891,973</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3,028,319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195,567</w:t>
            </w:r>
          </w:p>
        </w:tc>
        <w:tc>
          <w:tcPr>
            <w:tcW w:w="26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6,427</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7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3,135,804</w:t>
            </w:r>
          </w:p>
        </w:tc>
        <w:tc>
          <w:tcPr>
            <w:tcW w:w="2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3,336,179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5,223,195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5,281,787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2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2019 and 2020</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7240" w:type="dxa"/>
            <w:vAlign w:val="bottom"/>
          </w:tcPr>
          <w:p>
            <w:pPr>
              <w:spacing w:after="0"/>
              <w:rPr>
                <w:sz w:val="19"/>
                <w:szCs w:val="19"/>
                <w:color w:val="auto"/>
              </w:rPr>
            </w:pP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Note</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rPr>
              <w:t>March 31, 2019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8"/>
              </w:rPr>
              <w:t>March 31, 2020</w:t>
            </w:r>
          </w:p>
        </w:tc>
        <w:tc>
          <w:tcPr>
            <w:tcW w:w="0" w:type="dxa"/>
            <w:vAlign w:val="bottom"/>
          </w:tcPr>
          <w:p>
            <w:pPr>
              <w:spacing w:after="0"/>
              <w:rPr>
                <w:sz w:val="1"/>
                <w:szCs w:val="1"/>
                <w:color w:val="auto"/>
              </w:rPr>
            </w:pPr>
          </w:p>
        </w:tc>
      </w:tr>
      <w:tr>
        <w:trPr>
          <w:trHeight w:val="199"/>
        </w:trPr>
        <w:tc>
          <w:tcPr>
            <w:tcW w:w="7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660" w:type="dxa"/>
            <w:vAlign w:val="bottom"/>
            <w:tcBorders>
              <w:top w:val="single" w:sz="8" w:color="auto"/>
            </w:tcBorders>
            <w:shd w:val="clear" w:color="auto" w:fill="E5FFFF"/>
          </w:tcPr>
          <w:p>
            <w:pPr>
              <w:jc w:val="center"/>
              <w:ind w:left="19"/>
              <w:spacing w:after="0"/>
              <w:rPr>
                <w:sz w:val="20"/>
                <w:szCs w:val="20"/>
                <w:color w:val="auto"/>
              </w:rPr>
            </w:pPr>
            <w:r>
              <w:rPr>
                <w:rFonts w:ascii="Arial" w:cs="Arial" w:eastAsia="Arial" w:hAnsi="Arial"/>
                <w:sz w:val="16"/>
                <w:szCs w:val="16"/>
                <w:color w:val="auto"/>
                <w:w w:val="89"/>
              </w:rPr>
              <w:t>11</w:t>
            </w: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2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6"/>
                <w:szCs w:val="16"/>
                <w:color w:val="auto"/>
              </w:rPr>
              <w:t>Net pool allocation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(6,738)</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(6,917)</w:t>
            </w:r>
          </w:p>
        </w:tc>
        <w:tc>
          <w:tcPr>
            <w:tcW w:w="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(32,970)</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6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5, 6</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(39,599)</w:t>
            </w:r>
          </w:p>
        </w:tc>
        <w:tc>
          <w:tcPr>
            <w:tcW w:w="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(10,377)</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6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2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Arial" w:cs="Arial" w:eastAsia="Arial" w:hAnsi="Arial"/>
                <w:sz w:val="16"/>
                <w:szCs w:val="16"/>
                <w:color w:val="auto"/>
              </w:rPr>
              <w:t>Financial costs</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89"/>
              </w:rPr>
              <w:t>18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(45,507)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1,459</w:t>
            </w: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Loss on derivatives</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89"/>
              </w:rPr>
              <w:t>18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(20,244)</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6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4</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66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20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for the period</w:t>
            </w:r>
          </w:p>
        </w:tc>
        <w:tc>
          <w:tcPr>
            <w:tcW w:w="66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20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(10,947)</w:t>
            </w:r>
          </w:p>
        </w:tc>
        <w:tc>
          <w:tcPr>
            <w:tcW w:w="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Non-controlling interests</w:t>
            </w:r>
          </w:p>
        </w:tc>
        <w:tc>
          <w:tcPr>
            <w:tcW w:w="660" w:type="dxa"/>
            <w:vAlign w:val="bottom"/>
            <w:tcBorders>
              <w:bottom w:val="single" w:sz="8" w:color="E5FFFF"/>
            </w:tcBorders>
          </w:tcPr>
          <w:p>
            <w:pPr>
              <w:jc w:val="center"/>
              <w:ind w:left="19"/>
              <w:spacing w:after="0"/>
              <w:rPr>
                <w:sz w:val="20"/>
                <w:szCs w:val="20"/>
                <w:color w:val="auto"/>
              </w:rPr>
            </w:pPr>
            <w:r>
              <w:rPr>
                <w:rFonts w:ascii="Arial" w:cs="Arial" w:eastAsia="Arial" w:hAnsi="Arial"/>
                <w:sz w:val="16"/>
                <w:szCs w:val="16"/>
                <w:color w:val="auto"/>
                <w:w w:val="89"/>
              </w:rPr>
              <w:t>3</w:t>
            </w:r>
          </w:p>
        </w:tc>
        <w:tc>
          <w:tcPr>
            <w:tcW w:w="28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w:t>
            </w:r>
          </w:p>
        </w:tc>
        <w:tc>
          <w:tcPr>
            <w:tcW w:w="20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E5FFFF"/>
            </w:tcBorders>
            <w:shd w:val="clear" w:color="auto" w:fill="E5FFFF"/>
          </w:tcPr>
          <w:p>
            <w:pPr>
              <w:spacing w:after="0"/>
              <w:rPr>
                <w:sz w:val="17"/>
                <w:szCs w:val="17"/>
                <w:color w:val="auto"/>
              </w:rPr>
            </w:pPr>
          </w:p>
        </w:tc>
        <w:tc>
          <w:tcPr>
            <w:tcW w:w="66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20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240" w:type="dxa"/>
            <w:vAlign w:val="bottom"/>
          </w:tcPr>
          <w:p>
            <w:pPr>
              <w:spacing w:after="0"/>
              <w:rPr>
                <w:sz w:val="20"/>
                <w:szCs w:val="20"/>
                <w:color w:val="auto"/>
              </w:rPr>
            </w:pPr>
            <w:r>
              <w:rPr>
                <w:rFonts w:ascii="Arial" w:cs="Arial" w:eastAsia="Arial" w:hAnsi="Arial"/>
                <w:sz w:val="16"/>
                <w:szCs w:val="16"/>
                <w:b w:val="1"/>
                <w:bCs w:val="1"/>
                <w:color w:val="auto"/>
              </w:rPr>
              <w:t>Loss per share — basic and diluted</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89"/>
              </w:rPr>
              <w:t>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(0.17</w:t>
            </w: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06374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2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2019 and 2020</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140" w:type="dxa"/>
            <w:vAlign w:val="bottom"/>
            <w:gridSpan w:val="3"/>
          </w:tcPr>
          <w:p>
            <w:pPr>
              <w:ind w:left="220"/>
              <w:spacing w:after="0"/>
              <w:rPr>
                <w:sz w:val="20"/>
                <w:szCs w:val="20"/>
                <w:color w:val="auto"/>
              </w:rPr>
            </w:pPr>
            <w:r>
              <w:rPr>
                <w:rFonts w:ascii="Arial" w:cs="Arial" w:eastAsia="Arial" w:hAnsi="Arial"/>
                <w:sz w:val="16"/>
                <w:szCs w:val="16"/>
                <w:b w:val="1"/>
                <w:bCs w:val="1"/>
                <w:color w:val="auto"/>
              </w:rPr>
              <w:t>Note</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 2019</w:t>
            </w:r>
          </w:p>
        </w:tc>
        <w:tc>
          <w:tcPr>
            <w:tcW w:w="13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March 31, 2020</w:t>
            </w:r>
          </w:p>
        </w:tc>
        <w:tc>
          <w:tcPr>
            <w:tcW w:w="0" w:type="dxa"/>
            <w:vAlign w:val="bottom"/>
          </w:tcPr>
          <w:p>
            <w:pPr>
              <w:spacing w:after="0"/>
              <w:rPr>
                <w:sz w:val="1"/>
                <w:szCs w:val="1"/>
                <w:color w:val="auto"/>
              </w:rPr>
            </w:pPr>
          </w:p>
        </w:tc>
      </w:tr>
      <w:tr>
        <w:trPr>
          <w:trHeight w:val="202"/>
        </w:trPr>
        <w:tc>
          <w:tcPr>
            <w:tcW w:w="7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for the period</w:t>
            </w:r>
          </w:p>
        </w:tc>
        <w:tc>
          <w:tcPr>
            <w:tcW w:w="78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(39,437)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7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60" w:type="dxa"/>
            <w:vAlign w:val="bottom"/>
            <w:tcBorders>
              <w:right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 net of amounts recycled to profit or loss</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loss for the period</w:t>
            </w:r>
          </w:p>
        </w:tc>
        <w:tc>
          <w:tcPr>
            <w:tcW w:w="78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(1,239)</w:t>
            </w:r>
          </w:p>
        </w:tc>
        <w:tc>
          <w:tcPr>
            <w:tcW w:w="1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comprehensive income/(loss) for the period</w:t>
            </w:r>
          </w:p>
        </w:tc>
        <w:tc>
          <w:tcPr>
            <w:tcW w:w="780" w:type="dxa"/>
            <w:vAlign w:val="bottom"/>
            <w:tcBorders>
              <w:bottom w:val="single" w:sz="8" w:color="E5FFFF"/>
            </w:tcBorders>
          </w:tcPr>
          <w:p>
            <w:pPr>
              <w:spacing w:after="0"/>
              <w:rPr>
                <w:sz w:val="20"/>
                <w:szCs w:val="20"/>
                <w:color w:val="auto"/>
              </w:rPr>
            </w:pPr>
          </w:p>
        </w:tc>
        <w:tc>
          <w:tcPr>
            <w:tcW w:w="26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4,660</w:t>
            </w:r>
          </w:p>
        </w:tc>
        <w:tc>
          <w:tcPr>
            <w:tcW w:w="18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724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78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260" w:type="dxa"/>
            <w:vAlign w:val="bottom"/>
            <w:tcBorders>
              <w:right w:val="single" w:sz="8" w:color="E5FFFF"/>
            </w:tcBorders>
            <w:shd w:val="clear" w:color="auto" w:fill="E5FF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Owners of the Group</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(12,186)</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(55,589)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7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16,846</w:t>
            </w:r>
          </w:p>
        </w:tc>
        <w:tc>
          <w:tcPr>
            <w:tcW w:w="100" w:type="dxa"/>
            <w:vAlign w:val="bottom"/>
            <w:shd w:val="clear" w:color="auto" w:fill="E5FFFF"/>
          </w:tcPr>
          <w:p>
            <w:pPr>
              <w:spacing w:after="0"/>
              <w:rPr>
                <w:sz w:val="17"/>
                <w:szCs w:val="17"/>
                <w:color w:val="auto"/>
              </w:rPr>
            </w:pPr>
          </w:p>
        </w:tc>
        <w:tc>
          <w:tcPr>
            <w:tcW w:w="12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12,042</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7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(43,547</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Preference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Contributed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1"/>
              </w:rPr>
              <w:t>Treasury</w:t>
            </w:r>
          </w:p>
        </w:tc>
        <w:tc>
          <w:tcPr>
            <w:tcW w:w="15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1"/>
              </w:rPr>
              <w:t>Retained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Attributable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Non -</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surplus</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Reserves</w:t>
            </w:r>
          </w:p>
        </w:tc>
        <w:tc>
          <w:tcPr>
            <w:tcW w:w="92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4"/>
              </w:rPr>
              <w:t>shares</w:t>
            </w:r>
          </w:p>
        </w:tc>
        <w:tc>
          <w:tcPr>
            <w:tcW w:w="158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earnings/(Accumulated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(Note 15)</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15)</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 15)</w:t>
            </w:r>
          </w:p>
        </w:tc>
        <w:tc>
          <w:tcPr>
            <w:tcW w:w="880" w:type="dxa"/>
            <w:vAlign w:val="bottom"/>
            <w:gridSpan w:val="2"/>
            <w:vMerge w:val="continue"/>
          </w:tcPr>
          <w:p>
            <w:pPr>
              <w:spacing w:after="0"/>
              <w:rPr>
                <w:sz w:val="14"/>
                <w:szCs w:val="14"/>
                <w:color w:val="auto"/>
              </w:rPr>
            </w:pPr>
          </w:p>
        </w:tc>
        <w:tc>
          <w:tcPr>
            <w:tcW w:w="92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(Note 15)</w:t>
            </w:r>
          </w:p>
        </w:tc>
        <w:tc>
          <w:tcPr>
            <w:tcW w:w="15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1"/>
              </w:rPr>
              <w:t>deficit)</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the Group</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interests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Borders>
              <w:top w:val="single" w:sz="8" w:color="E5FFFF"/>
            </w:tcBorders>
            <w:shd w:val="clear" w:color="auto" w:fill="E5FFFF"/>
          </w:tcPr>
          <w:p>
            <w:pPr>
              <w:spacing w:after="0" w:line="169" w:lineRule="exact"/>
              <w:rPr>
                <w:sz w:val="20"/>
                <w:szCs w:val="20"/>
                <w:color w:val="auto"/>
              </w:rPr>
            </w:pPr>
            <w:r>
              <w:rPr>
                <w:rFonts w:ascii="Arial" w:cs="Arial" w:eastAsia="Arial" w:hAnsi="Arial"/>
                <w:sz w:val="16"/>
                <w:szCs w:val="16"/>
                <w:b w:val="1"/>
                <w:bCs w:val="1"/>
                <w:color w:val="auto"/>
              </w:rPr>
              <w:t>Balance as of December 31,</w:t>
            </w:r>
          </w:p>
        </w:tc>
        <w:tc>
          <w:tcPr>
            <w:tcW w:w="74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74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76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142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2018</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810</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46</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850,576</w:t>
            </w:r>
          </w:p>
        </w:tc>
        <w:tc>
          <w:tcPr>
            <w:tcW w:w="16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18,962</w:t>
            </w:r>
          </w:p>
        </w:tc>
        <w:tc>
          <w:tcPr>
            <w:tcW w:w="14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(3,266)</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12,614</w:t>
            </w:r>
          </w:p>
        </w:tc>
        <w:tc>
          <w:tcPr>
            <w:tcW w:w="16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879,742</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1,103,380</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1,983,122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Opening adjustment</w:t>
            </w:r>
            <w:r>
              <w:rPr>
                <w:rFonts w:ascii="Arial" w:cs="Arial" w:eastAsia="Arial" w:hAnsi="Arial"/>
                <w:sz w:val="21"/>
                <w:szCs w:val="21"/>
                <w:color w:val="auto"/>
                <w:vertAlign w:val="superscript"/>
              </w:rPr>
              <w:t>(1)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E5FF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5FF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Balance as of January 1, 2019</w:t>
            </w: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850,576</w:t>
            </w:r>
          </w:p>
        </w:tc>
        <w:tc>
          <w:tcPr>
            <w:tcW w:w="16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18,962</w:t>
            </w:r>
          </w:p>
        </w:tc>
        <w:tc>
          <w:tcPr>
            <w:tcW w:w="140" w:type="dxa"/>
            <w:vAlign w:val="bottom"/>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(3,266)</w:t>
            </w:r>
          </w:p>
        </w:tc>
        <w:tc>
          <w:tcPr>
            <w:tcW w:w="160" w:type="dxa"/>
            <w:vAlign w:val="bottom"/>
            <w:shd w:val="clear" w:color="auto" w:fill="E5FFFF"/>
          </w:tcPr>
          <w:p>
            <w:pPr>
              <w:spacing w:after="0"/>
              <w:rPr>
                <w:sz w:val="17"/>
                <w:szCs w:val="17"/>
                <w:color w:val="auto"/>
              </w:rPr>
            </w:pP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12,829</w:t>
            </w:r>
          </w:p>
        </w:tc>
        <w:tc>
          <w:tcPr>
            <w:tcW w:w="16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879,957</w:t>
            </w:r>
          </w:p>
        </w:tc>
        <w:tc>
          <w:tcPr>
            <w:tcW w:w="1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1,103,508</w:t>
            </w:r>
          </w:p>
        </w:tc>
        <w:tc>
          <w:tcPr>
            <w:tcW w:w="1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1,983,465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Arial" w:cs="Arial" w:eastAsia="Arial" w:hAnsi="Arial"/>
                <w:sz w:val="16"/>
                <w:szCs w:val="16"/>
                <w:color w:val="auto"/>
              </w:rPr>
              <w:t>Equity offering costs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Dividend paid (common and</w:t>
            </w: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preference shares)</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(14,645)</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(14,645)</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(26,773)</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6"/>
                <w:szCs w:val="16"/>
                <w:color w:val="auto"/>
                <w:w w:val="97"/>
              </w:rPr>
              <w:t>Share-based compensation, net of</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6"/>
                <w:szCs w:val="16"/>
                <w:color w:val="auto"/>
              </w:rPr>
              <w:t>accrued dividend (Note 20)</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1,166</w:t>
            </w:r>
          </w:p>
        </w:tc>
        <w:tc>
          <w:tcPr>
            <w:tcW w:w="14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1,166</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08"/>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 net</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(3,752)</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(3,752)</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(Loss)/profit for the period</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(10,947)</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(10,947)</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16,846</w:t>
            </w:r>
          </w:p>
        </w:tc>
        <w:tc>
          <w:tcPr>
            <w:tcW w:w="780" w:type="dxa"/>
            <w:vAlign w:val="bottom"/>
          </w:tcPr>
          <w:p>
            <w:pPr>
              <w:jc w:val="right"/>
              <w:spacing w:after="0"/>
              <w:rPr>
                <w:sz w:val="20"/>
                <w:szCs w:val="20"/>
                <w:color w:val="auto"/>
              </w:rPr>
            </w:pPr>
            <w:r>
              <w:rPr>
                <w:rFonts w:ascii="Arial" w:cs="Arial" w:eastAsia="Arial" w:hAnsi="Arial"/>
                <w:sz w:val="16"/>
                <w:szCs w:val="16"/>
                <w:color w:val="auto"/>
              </w:rPr>
              <w:t>5,899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Other comprehensive loss for the</w:t>
            </w: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period</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(1,239)</w:t>
            </w:r>
          </w:p>
        </w:tc>
        <w:tc>
          <w:tcPr>
            <w:tcW w:w="9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(1,239)</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sz w:val="20"/>
                <w:szCs w:val="20"/>
                <w:color w:val="auto"/>
              </w:rPr>
            </w:pPr>
            <w:r>
              <w:rPr>
                <w:rFonts w:ascii="Arial" w:cs="Arial" w:eastAsia="Arial" w:hAnsi="Arial"/>
                <w:sz w:val="16"/>
                <w:szCs w:val="16"/>
                <w:b w:val="1"/>
                <w:bCs w:val="1"/>
                <w:color w:val="auto"/>
              </w:rPr>
              <w:t>Total comprehensive</w:t>
            </w: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180"/>
              <w:spacing w:after="0"/>
              <w:rPr>
                <w:sz w:val="20"/>
                <w:szCs w:val="20"/>
                <w:color w:val="auto"/>
              </w:rPr>
            </w:pPr>
            <w:r>
              <w:rPr>
                <w:rFonts w:ascii="Arial" w:cs="Arial" w:eastAsia="Arial" w:hAnsi="Arial"/>
                <w:sz w:val="16"/>
                <w:szCs w:val="16"/>
                <w:b w:val="1"/>
                <w:bCs w:val="1"/>
                <w:color w:val="auto"/>
              </w:rPr>
              <w:t>(loss)/income for the period</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(1,239)</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(10,947)</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(12,186)</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16,846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4,660</w:t>
            </w:r>
          </w:p>
        </w:tc>
        <w:tc>
          <w:tcPr>
            <w:tcW w:w="0" w:type="dxa"/>
            <w:vAlign w:val="bottom"/>
          </w:tcPr>
          <w:p>
            <w:pPr>
              <w:spacing w:after="0"/>
              <w:rPr>
                <w:sz w:val="1"/>
                <w:szCs w:val="1"/>
                <w:color w:val="auto"/>
              </w:rPr>
            </w:pPr>
          </w:p>
        </w:tc>
      </w:tr>
      <w:tr>
        <w:trPr>
          <w:trHeight w:val="202"/>
        </w:trPr>
        <w:tc>
          <w:tcPr>
            <w:tcW w:w="2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March 31, 2019</w:t>
            </w: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835,931</w:t>
            </w:r>
          </w:p>
        </w:tc>
        <w:tc>
          <w:tcPr>
            <w:tcW w:w="1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18,889</w:t>
            </w:r>
          </w:p>
        </w:tc>
        <w:tc>
          <w:tcPr>
            <w:tcW w:w="140" w:type="dxa"/>
            <w:vAlign w:val="bottom"/>
            <w:tcBorders>
              <w:top w:val="single" w:sz="8" w:color="E5FFFF"/>
            </w:tcBorders>
            <w:shd w:val="clear" w:color="auto" w:fill="E5FFFF"/>
          </w:tcPr>
          <w:p>
            <w:pPr>
              <w:spacing w:after="0"/>
              <w:rPr>
                <w:sz w:val="17"/>
                <w:szCs w:val="17"/>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(7,018)</w:t>
            </w:r>
          </w:p>
        </w:tc>
        <w:tc>
          <w:tcPr>
            <w:tcW w:w="16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1,882</w:t>
            </w:r>
          </w:p>
        </w:tc>
        <w:tc>
          <w:tcPr>
            <w:tcW w:w="16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850,540</w:t>
            </w:r>
          </w:p>
        </w:tc>
        <w:tc>
          <w:tcPr>
            <w:tcW w:w="1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1,093,729</w:t>
            </w:r>
          </w:p>
        </w:tc>
        <w:tc>
          <w:tcPr>
            <w:tcW w:w="1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1,944,269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Balance as of December 31,</w:t>
            </w: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2019</w:t>
            </w:r>
          </w:p>
        </w:tc>
        <w:tc>
          <w:tcPr>
            <w:tcW w:w="7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760,671</w:t>
            </w:r>
          </w:p>
        </w:tc>
        <w:tc>
          <w:tcPr>
            <w:tcW w:w="16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16,799</w:t>
            </w:r>
          </w:p>
        </w:tc>
        <w:tc>
          <w:tcPr>
            <w:tcW w:w="14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(2,159)</w:t>
            </w:r>
          </w:p>
        </w:tc>
        <w:tc>
          <w:tcPr>
            <w:tcW w:w="15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(87,832)</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688,335</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961,518</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1,649,853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6"/>
                <w:szCs w:val="16"/>
                <w:color w:val="auto"/>
              </w:rPr>
              <w:t>Other equity related costs</w:t>
            </w: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16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vMerge w:val="continue"/>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Dividend paid (common and</w:t>
            </w: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preference shares) (Note 15)</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(14,598)</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(14,598)</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(25,698)</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6"/>
                <w:szCs w:val="16"/>
                <w:color w:val="auto"/>
                <w:w w:val="97"/>
              </w:rPr>
              <w:t>Share-based compensation, net of</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6"/>
                <w:szCs w:val="16"/>
                <w:color w:val="auto"/>
              </w:rPr>
              <w:t>accrued dividend (Note 20)</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1,165</w:t>
            </w:r>
          </w:p>
        </w:tc>
        <w:tc>
          <w:tcPr>
            <w:tcW w:w="14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1,165</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09"/>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 net</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(2,000)</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(2,000)</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(996)</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(Loss)/profit for the period</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(51,479)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(51,479)</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12,042</w:t>
            </w:r>
          </w:p>
        </w:tc>
        <w:tc>
          <w:tcPr>
            <w:tcW w:w="780" w:type="dxa"/>
            <w:vAlign w:val="bottom"/>
          </w:tcPr>
          <w:p>
            <w:pPr>
              <w:jc w:val="right"/>
              <w:spacing w:after="0"/>
              <w:rPr>
                <w:sz w:val="20"/>
                <w:szCs w:val="20"/>
                <w:color w:val="auto"/>
              </w:rPr>
            </w:pPr>
            <w:r>
              <w:rPr>
                <w:rFonts w:ascii="Arial" w:cs="Arial" w:eastAsia="Arial" w:hAnsi="Arial"/>
                <w:sz w:val="16"/>
                <w:szCs w:val="16"/>
                <w:color w:val="auto"/>
              </w:rPr>
              <w:t>(39,437)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E5FFFF"/>
          </w:tcPr>
          <w:p>
            <w:pPr>
              <w:spacing w:after="0"/>
              <w:rPr>
                <w:sz w:val="20"/>
                <w:szCs w:val="20"/>
                <w:color w:val="auto"/>
              </w:rPr>
            </w:pPr>
            <w:r>
              <w:rPr>
                <w:rFonts w:ascii="Arial" w:cs="Arial" w:eastAsia="Arial" w:hAnsi="Arial"/>
                <w:sz w:val="16"/>
                <w:szCs w:val="16"/>
                <w:color w:val="auto"/>
              </w:rPr>
              <w:t>Other comprehensive loss for the</w:t>
            </w: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period</w:t>
            </w:r>
          </w:p>
        </w:tc>
        <w:tc>
          <w:tcPr>
            <w:tcW w:w="8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(4,110)</w:t>
            </w:r>
          </w:p>
        </w:tc>
        <w:tc>
          <w:tcPr>
            <w:tcW w:w="9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(4,110)</w:t>
            </w: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sz w:val="20"/>
                <w:szCs w:val="20"/>
                <w:color w:val="auto"/>
              </w:rPr>
            </w:pPr>
            <w:r>
              <w:rPr>
                <w:rFonts w:ascii="Arial" w:cs="Arial" w:eastAsia="Arial" w:hAnsi="Arial"/>
                <w:sz w:val="16"/>
                <w:szCs w:val="16"/>
                <w:b w:val="1"/>
                <w:bCs w:val="1"/>
                <w:color w:val="auto"/>
              </w:rPr>
              <w:t>Total comprehensive</w:t>
            </w: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180"/>
              <w:spacing w:after="0"/>
              <w:rPr>
                <w:sz w:val="20"/>
                <w:szCs w:val="20"/>
                <w:color w:val="auto"/>
              </w:rPr>
            </w:pPr>
            <w:r>
              <w:rPr>
                <w:rFonts w:ascii="Arial" w:cs="Arial" w:eastAsia="Arial" w:hAnsi="Arial"/>
                <w:sz w:val="16"/>
                <w:szCs w:val="16"/>
                <w:b w:val="1"/>
                <w:bCs w:val="1"/>
                <w:color w:val="auto"/>
              </w:rPr>
              <w:t>(loss)/income for the period</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(4,110)</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(51,479)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(55,589)</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12,042</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(43,547)</w:t>
            </w:r>
          </w:p>
        </w:tc>
        <w:tc>
          <w:tcPr>
            <w:tcW w:w="0" w:type="dxa"/>
            <w:vAlign w:val="bottom"/>
          </w:tcPr>
          <w:p>
            <w:pPr>
              <w:spacing w:after="0"/>
              <w:rPr>
                <w:sz w:val="1"/>
                <w:szCs w:val="1"/>
                <w:color w:val="auto"/>
              </w:rPr>
            </w:pPr>
          </w:p>
        </w:tc>
      </w:tr>
      <w:tr>
        <w:trPr>
          <w:trHeight w:val="210"/>
        </w:trPr>
        <w:tc>
          <w:tcPr>
            <w:tcW w:w="2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March 31, 2020</w:t>
            </w: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746,073</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13,854</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(4,159</w:t>
            </w:r>
          </w:p>
        </w:tc>
        <w:tc>
          <w:tcPr>
            <w:tcW w:w="160" w:type="dxa"/>
            <w:vAlign w:val="bottom"/>
            <w:tcBorders>
              <w:top w:val="single" w:sz="8" w:color="E5FFFF"/>
              <w:bottom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(139,311</w:t>
            </w:r>
          </w:p>
        </w:tc>
        <w:tc>
          <w:tcPr>
            <w:tcW w:w="160" w:type="dxa"/>
            <w:vAlign w:val="bottom"/>
            <w:tcBorders>
              <w:top w:val="single" w:sz="8" w:color="E5FFFF"/>
              <w:bottom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617,313</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946,861</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1,564,174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Restated so as to reflect an adjustment introduced due to the adoption of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69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2019 and 2020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6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4"/>
          </w:tcPr>
          <w:p>
            <w:pPr>
              <w:ind w:left="76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69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6"/>
                <w:szCs w:val="16"/>
                <w:b w:val="1"/>
                <w:bCs w:val="1"/>
                <w:color w:val="auto"/>
              </w:rPr>
              <w:t>Note</w:t>
            </w:r>
          </w:p>
        </w:tc>
        <w:tc>
          <w:tcPr>
            <w:tcW w:w="18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 2019</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2020</w:t>
            </w:r>
          </w:p>
        </w:tc>
      </w:tr>
      <w:tr>
        <w:trPr>
          <w:trHeight w:val="185"/>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tcBorders>
              <w:top w:val="single" w:sz="8" w:color="auto"/>
            </w:tcBorders>
            <w:shd w:val="clear" w:color="auto" w:fill="E5FFFF"/>
          </w:tcPr>
          <w:p>
            <w:pPr>
              <w:spacing w:after="0"/>
              <w:rPr>
                <w:sz w:val="16"/>
                <w:szCs w:val="16"/>
                <w:color w:val="auto"/>
              </w:rPr>
            </w:pPr>
          </w:p>
        </w:tc>
        <w:tc>
          <w:tcPr>
            <w:tcW w:w="60" w:type="dxa"/>
            <w:vAlign w:val="bottom"/>
            <w:tcBorders>
              <w:top w:val="single" w:sz="8" w:color="E5FFFF"/>
            </w:tcBorders>
            <w:shd w:val="clear" w:color="auto" w:fill="E5FFFF"/>
          </w:tcPr>
          <w:p>
            <w:pPr>
              <w:spacing w:after="0"/>
              <w:rPr>
                <w:sz w:val="16"/>
                <w:szCs w:val="16"/>
                <w:color w:val="auto"/>
              </w:rPr>
            </w:pPr>
          </w:p>
        </w:tc>
        <w:tc>
          <w:tcPr>
            <w:tcW w:w="158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54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Profit/(loss) for the period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5,899</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(39,437)</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Depreciation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39,599</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41,497</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(245)</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Financial income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(1,459)</w:t>
            </w:r>
          </w:p>
        </w:tc>
        <w:tc>
          <w:tcPr>
            <w:tcW w:w="1540" w:type="dxa"/>
            <w:vAlign w:val="bottom"/>
          </w:tcPr>
          <w:p>
            <w:pPr>
              <w:jc w:val="right"/>
              <w:spacing w:after="0"/>
              <w:rPr>
                <w:sz w:val="20"/>
                <w:szCs w:val="20"/>
                <w:color w:val="auto"/>
              </w:rPr>
            </w:pPr>
            <w:r>
              <w:rPr>
                <w:rFonts w:ascii="Arial" w:cs="Arial" w:eastAsia="Arial" w:hAnsi="Arial"/>
                <w:sz w:val="16"/>
                <w:szCs w:val="16"/>
                <w:color w:val="auto"/>
              </w:rPr>
              <w:t>(468)</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45,507</w:t>
            </w: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41,441</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Unrealized foreign exchange losses on cash and cash equivalents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19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 including ineffective portion of</w:t>
            </w:r>
          </w:p>
        </w:tc>
        <w:tc>
          <w:tcPr>
            <w:tcW w:w="74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54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69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cash flow hedges</w:t>
            </w:r>
          </w:p>
        </w:tc>
        <w:tc>
          <w:tcPr>
            <w:tcW w:w="7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18</w:t>
            </w:r>
          </w:p>
        </w:tc>
        <w:tc>
          <w:tcPr>
            <w:tcW w:w="6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21,103</w:t>
            </w:r>
          </w:p>
        </w:tc>
        <w:tc>
          <w:tcPr>
            <w:tcW w:w="2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70,049</w:t>
            </w:r>
          </w:p>
        </w:tc>
        <w:tc>
          <w:tcPr>
            <w:tcW w:w="40" w:type="dxa"/>
            <w:vAlign w:val="bottom"/>
          </w:tcPr>
          <w:p>
            <w:pPr>
              <w:spacing w:after="0"/>
              <w:rPr>
                <w:sz w:val="18"/>
                <w:szCs w:val="18"/>
                <w:color w:val="auto"/>
              </w:rPr>
            </w:pPr>
          </w:p>
        </w:tc>
      </w:tr>
      <w:tr>
        <w:trPr>
          <w:trHeight w:val="203"/>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Borders>
              <w:bottom w:val="single" w:sz="8" w:color="E5FFFF"/>
            </w:tcBorders>
          </w:tcPr>
          <w:p>
            <w:pPr>
              <w:jc w:val="right"/>
              <w:ind w:right="99"/>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40" w:type="dxa"/>
            <w:vAlign w:val="bottom"/>
          </w:tcPr>
          <w:p>
            <w:pPr>
              <w:spacing w:after="0"/>
              <w:rPr>
                <w:sz w:val="17"/>
                <w:szCs w:val="17"/>
                <w:color w:val="auto"/>
              </w:rPr>
            </w:pPr>
          </w:p>
        </w:tc>
      </w:tr>
      <w:tr>
        <w:trPr>
          <w:trHeight w:val="196"/>
        </w:trPr>
        <w:tc>
          <w:tcPr>
            <w:tcW w:w="69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111,857</w:t>
            </w:r>
          </w:p>
        </w:tc>
        <w:tc>
          <w:tcPr>
            <w:tcW w:w="240" w:type="dxa"/>
            <w:vAlign w:val="bottom"/>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114,022</w:t>
            </w:r>
          </w:p>
        </w:tc>
        <w:tc>
          <w:tcPr>
            <w:tcW w:w="40" w:type="dxa"/>
            <w:vAlign w:val="bottom"/>
          </w:tcPr>
          <w:p>
            <w:pPr>
              <w:spacing w:after="0"/>
              <w:rPr>
                <w:sz w:val="17"/>
                <w:szCs w:val="17"/>
                <w:color w:val="auto"/>
              </w:rPr>
            </w:pP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Movements in working capital</w:t>
            </w: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(87,051)</w:t>
            </w:r>
          </w:p>
        </w:tc>
        <w:tc>
          <w:tcPr>
            <w:tcW w:w="40" w:type="dxa"/>
            <w:vAlign w:val="bottom"/>
          </w:tcPr>
          <w:p>
            <w:pPr>
              <w:spacing w:after="0"/>
              <w:rPr>
                <w:sz w:val="17"/>
                <w:szCs w:val="17"/>
                <w:color w:val="auto"/>
              </w:rPr>
            </w:pPr>
          </w:p>
        </w:tc>
      </w:tr>
      <w:tr>
        <w:trPr>
          <w:trHeight w:val="196"/>
        </w:trPr>
        <w:tc>
          <w:tcPr>
            <w:tcW w:w="6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100,181</w:t>
            </w:r>
          </w:p>
        </w:tc>
        <w:tc>
          <w:tcPr>
            <w:tcW w:w="240" w:type="dxa"/>
            <w:vAlign w:val="bottom"/>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26,971</w:t>
            </w:r>
          </w:p>
        </w:tc>
        <w:tc>
          <w:tcPr>
            <w:tcW w:w="40" w:type="dxa"/>
            <w:vAlign w:val="bottom"/>
          </w:tcPr>
          <w:p>
            <w:pPr>
              <w:spacing w:after="0"/>
              <w:rPr>
                <w:sz w:val="17"/>
                <w:szCs w:val="17"/>
                <w:color w:val="auto"/>
              </w:rPr>
            </w:pP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(57,467)</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(57,156)</w:t>
            </w:r>
          </w:p>
        </w:tc>
        <w:tc>
          <w:tcPr>
            <w:tcW w:w="40" w:type="dxa"/>
            <w:vAlign w:val="bottom"/>
          </w:tcPr>
          <w:p>
            <w:pPr>
              <w:spacing w:after="0"/>
              <w:rPr>
                <w:sz w:val="17"/>
                <w:szCs w:val="17"/>
                <w:color w:val="auto"/>
              </w:rPr>
            </w:pPr>
          </w:p>
        </w:tc>
      </w:tr>
      <w:tr>
        <w:trPr>
          <w:trHeight w:val="196"/>
        </w:trPr>
        <w:tc>
          <w:tcPr>
            <w:tcW w:w="6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42,714</w:t>
            </w:r>
          </w:p>
        </w:tc>
        <w:tc>
          <w:tcPr>
            <w:tcW w:w="240" w:type="dxa"/>
            <w:vAlign w:val="bottom"/>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(30,185)</w:t>
            </w:r>
          </w:p>
        </w:tc>
        <w:tc>
          <w:tcPr>
            <w:tcW w:w="40" w:type="dxa"/>
            <w:vAlign w:val="bottom"/>
          </w:tcPr>
          <w:p>
            <w:pPr>
              <w:spacing w:after="0"/>
              <w:rPr>
                <w:sz w:val="17"/>
                <w:szCs w:val="17"/>
                <w:color w:val="auto"/>
              </w:rPr>
            </w:pPr>
          </w:p>
        </w:tc>
      </w:tr>
      <w:tr>
        <w:trPr>
          <w:trHeight w:val="183"/>
        </w:trPr>
        <w:tc>
          <w:tcPr>
            <w:tcW w:w="69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(220,549)</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(59,685)</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5,629</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Payments for right-of-use assets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(980)</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538</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450</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(10,000)</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4,500</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1,363</w:t>
            </w:r>
          </w:p>
        </w:tc>
        <w:tc>
          <w:tcPr>
            <w:tcW w:w="240" w:type="dxa"/>
            <w:vAlign w:val="bottom"/>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(198,019)</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(55,143)</w:t>
            </w:r>
          </w:p>
        </w:tc>
        <w:tc>
          <w:tcPr>
            <w:tcW w:w="40" w:type="dxa"/>
            <w:vAlign w:val="bottom"/>
          </w:tcPr>
          <w:p>
            <w:pPr>
              <w:spacing w:after="0"/>
              <w:rPr>
                <w:sz w:val="17"/>
                <w:szCs w:val="17"/>
                <w:color w:val="auto"/>
              </w:rPr>
            </w:pPr>
          </w:p>
        </w:tc>
      </w:tr>
      <w:tr>
        <w:trPr>
          <w:trHeight w:val="183"/>
        </w:trPr>
        <w:tc>
          <w:tcPr>
            <w:tcW w:w="69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58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54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Proceeds from bank loans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525,805</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252,525</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Bank loan and bond repayments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(426,208)</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(124,116)</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Payment for bond repurchase at a premium</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(1,937)</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(7,780)</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(3,188)</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(668)</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(41,418)</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(37,780)</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Payment for cross currency swaps’ (“CCS”) termination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(4,051)</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(3,751)</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(2,996)</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Payments for lease liability</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(2,388)</w:t>
            </w:r>
          </w:p>
        </w:tc>
        <w:tc>
          <w:tcPr>
            <w:tcW w:w="1540" w:type="dxa"/>
            <w:vAlign w:val="bottom"/>
          </w:tcPr>
          <w:p>
            <w:pPr>
              <w:jc w:val="right"/>
              <w:spacing w:after="0"/>
              <w:rPr>
                <w:sz w:val="20"/>
                <w:szCs w:val="20"/>
                <w:color w:val="auto"/>
              </w:rPr>
            </w:pPr>
            <w:r>
              <w:rPr>
                <w:rFonts w:ascii="Arial" w:cs="Arial" w:eastAsia="Arial" w:hAnsi="Arial"/>
                <w:sz w:val="16"/>
                <w:szCs w:val="16"/>
                <w:color w:val="auto"/>
              </w:rPr>
              <w:t>(2,508)</w:t>
            </w:r>
          </w:p>
        </w:tc>
        <w:tc>
          <w:tcPr>
            <w:tcW w:w="40" w:type="dxa"/>
            <w:vAlign w:val="bottom"/>
          </w:tcPr>
          <w:p>
            <w:pPr>
              <w:spacing w:after="0"/>
              <w:rPr>
                <w:sz w:val="17"/>
                <w:szCs w:val="17"/>
                <w:color w:val="auto"/>
              </w:rPr>
            </w:pPr>
          </w:p>
        </w:tc>
      </w:tr>
      <w:tr>
        <w:trPr>
          <w:trHeight w:val="196"/>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74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43,592</w:t>
            </w:r>
          </w:p>
        </w:tc>
        <w:tc>
          <w:tcPr>
            <w:tcW w:w="24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75,949</w:t>
            </w:r>
          </w:p>
        </w:tc>
        <w:tc>
          <w:tcPr>
            <w:tcW w:w="40" w:type="dxa"/>
            <w:vAlign w:val="bottom"/>
          </w:tcPr>
          <w:p>
            <w:pPr>
              <w:spacing w:after="0"/>
              <w:rPr>
                <w:sz w:val="17"/>
                <w:szCs w:val="17"/>
                <w:color w:val="auto"/>
              </w:rPr>
            </w:pP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40" w:type="dxa"/>
            <w:vAlign w:val="bottom"/>
          </w:tcPr>
          <w:p>
            <w:pPr>
              <w:spacing w:after="0"/>
              <w:rPr>
                <w:sz w:val="17"/>
                <w:szCs w:val="17"/>
                <w:color w:val="auto"/>
              </w:rPr>
            </w:pPr>
          </w:p>
        </w:tc>
      </w:tr>
      <w:tr>
        <w:trPr>
          <w:trHeight w:val="196"/>
        </w:trPr>
        <w:tc>
          <w:tcPr>
            <w:tcW w:w="6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(111,844)</w:t>
            </w:r>
          </w:p>
        </w:tc>
        <w:tc>
          <w:tcPr>
            <w:tcW w:w="240" w:type="dxa"/>
            <w:vAlign w:val="bottom"/>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(11,602)</w:t>
            </w:r>
          </w:p>
        </w:tc>
        <w:tc>
          <w:tcPr>
            <w:tcW w:w="40" w:type="dxa"/>
            <w:vAlign w:val="bottom"/>
          </w:tcPr>
          <w:p>
            <w:pPr>
              <w:spacing w:after="0"/>
              <w:rPr>
                <w:sz w:val="17"/>
                <w:szCs w:val="17"/>
                <w:color w:val="auto"/>
              </w:rPr>
            </w:pPr>
          </w:p>
        </w:tc>
      </w:tr>
      <w:tr>
        <w:trPr>
          <w:trHeight w:val="196"/>
        </w:trPr>
        <w:tc>
          <w:tcPr>
            <w:tcW w:w="6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342,594</w:t>
            </w:r>
          </w:p>
        </w:tc>
        <w:tc>
          <w:tcPr>
            <w:tcW w:w="24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263,747</w:t>
            </w:r>
          </w:p>
        </w:tc>
        <w:tc>
          <w:tcPr>
            <w:tcW w:w="40" w:type="dxa"/>
            <w:vAlign w:val="bottom"/>
          </w:tcPr>
          <w:p>
            <w:pPr>
              <w:spacing w:after="0"/>
              <w:rPr>
                <w:sz w:val="17"/>
                <w:szCs w:val="17"/>
                <w:color w:val="auto"/>
              </w:rPr>
            </w:pPr>
          </w:p>
        </w:tc>
      </w:tr>
      <w:tr>
        <w:trPr>
          <w:trHeight w:val="203"/>
        </w:trPr>
        <w:tc>
          <w:tcPr>
            <w:tcW w:w="6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74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230,750</w:t>
            </w:r>
          </w:p>
        </w:tc>
        <w:tc>
          <w:tcPr>
            <w:tcW w:w="240" w:type="dxa"/>
            <w:vAlign w:val="bottom"/>
            <w:tcBorders>
              <w:bottom w:val="single" w:sz="8" w:color="E5FFFF"/>
            </w:tcBorders>
            <w:shd w:val="clear" w:color="auto" w:fill="E5FFFF"/>
          </w:tcPr>
          <w:p>
            <w:pPr>
              <w:spacing w:after="0"/>
              <w:rPr>
                <w:sz w:val="17"/>
                <w:szCs w:val="17"/>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252,145</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74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18</w:t>
            </w: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15,550</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22,007</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 Right-of-use assets</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1,157</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1,409</w:t>
            </w:r>
          </w:p>
        </w:tc>
        <w:tc>
          <w:tcPr>
            <w:tcW w:w="40" w:type="dxa"/>
            <w:vAlign w:val="bottom"/>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Dividend declared included in liabilities at the end of the period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2,516</w:t>
            </w:r>
          </w:p>
        </w:tc>
        <w:tc>
          <w:tcPr>
            <w:tcW w:w="40" w:type="dxa"/>
            <w:vAlign w:val="bottom"/>
          </w:tcPr>
          <w:p>
            <w:pPr>
              <w:spacing w:after="0"/>
              <w:rPr>
                <w:sz w:val="17"/>
                <w:szCs w:val="17"/>
                <w:color w:val="auto"/>
              </w:rPr>
            </w:pP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274</w:t>
            </w: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w:t>
            </w:r>
          </w:p>
        </w:tc>
        <w:tc>
          <w:tcPr>
            <w:tcW w:w="40" w:type="dxa"/>
            <w:vAlign w:val="bottom"/>
          </w:tcPr>
          <w:p>
            <w:pPr>
              <w:spacing w:after="0"/>
              <w:rPr>
                <w:sz w:val="17"/>
                <w:szCs w:val="17"/>
                <w:color w:val="auto"/>
              </w:rPr>
            </w:pPr>
          </w:p>
        </w:tc>
      </w:tr>
    </w:tbl>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40" w:firstLine="436"/>
        <w:spacing w:after="0" w:line="288" w:lineRule="auto"/>
        <w:rPr>
          <w:sz w:val="20"/>
          <w:szCs w:val="20"/>
          <w:color w:val="auto"/>
        </w:rPr>
      </w:pPr>
      <w:r>
        <w:rPr>
          <w:rFonts w:ascii="Arial" w:cs="Arial" w:eastAsia="Arial" w:hAnsi="Arial"/>
          <w:sz w:val="15"/>
          <w:szCs w:val="15"/>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Stamford, Singapore and Monaco. The registered office of GasLog is Clarendon House, 2 Church Street, Hamilton HM 11, Bermuda. GasLog’s chairman, Peter G. Livanos, is GasLog’s largest shareholder through his ownership of Ceres Shipping Ltd. (“Ceres Shipping”), which controls Blenheim Holdings Ltd. As of March 31, 2020, entities controlled by members of the Livanos family, including GasLog’s chairman, are deemed to beneficially own approximately 40.7% of GasLog’s issued and outstanding common shares. As a result of his ownership of GasLog’s common shares, Mr. Livanos can effectively control the outcome of most matters on which GasLog’s shareholders are entitled to vote.</w:t>
      </w:r>
    </w:p>
    <w:p>
      <w:pPr>
        <w:spacing w:after="0" w:line="180" w:lineRule="exact"/>
        <w:rPr>
          <w:sz w:val="20"/>
          <w:szCs w:val="20"/>
          <w:color w:val="auto"/>
        </w:rPr>
      </w:pPr>
    </w:p>
    <w:p>
      <w:pPr>
        <w:ind w:right="80" w:firstLine="405"/>
        <w:spacing w:after="0" w:line="273" w:lineRule="auto"/>
        <w:rPr>
          <w:sz w:val="20"/>
          <w:szCs w:val="20"/>
          <w:color w:val="auto"/>
        </w:rPr>
      </w:pPr>
      <w:r>
        <w:rPr>
          <w:rFonts w:ascii="Arial" w:cs="Arial" w:eastAsia="Arial" w:hAnsi="Arial"/>
          <w:sz w:val="16"/>
          <w:szCs w:val="16"/>
          <w:color w:val="auto"/>
        </w:rPr>
        <w:t>As of March 31, 2020, GasLog held a 35.6%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40" w:firstLine="436"/>
        <w:spacing w:after="0" w:line="328"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March 31, 2020, the Group’s structure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Cargo</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capacity</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Place of</w:t>
            </w:r>
          </w:p>
        </w:tc>
        <w:tc>
          <w:tcPr>
            <w:tcW w:w="11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Date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(cubic</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Principal activities</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meters</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Vessel</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incorporation</w:t>
            </w: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incorporation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“cbm”)</w:t>
            </w:r>
          </w:p>
        </w:tc>
        <w:tc>
          <w:tcPr>
            <w:tcW w:w="15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Investments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BVI</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July 2003</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w w:val="97"/>
              </w:rPr>
              <w:t>GasLog Carriers Ltd. (“GasLog Carriers”)</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2006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Partners GP LLC</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Marshall Islands</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Cyprus</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Services UK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England and Wales</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Services US Inc.</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Delaware</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Asia Pte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Singapore</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2015</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LNG Services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August 2004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w w:val="95"/>
              </w:rPr>
              <w:t>Vessel management services</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Monaco S.A.M.</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Monaco</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2010</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GAS-one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Savannah</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GAS-two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Singapore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GAS-six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February 2011</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Skagen</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3"/>
              </w:rPr>
              <w:t>July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GAS-nine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June 2011</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Saratoga</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GAS-ten Ltd.</w:t>
            </w:r>
          </w:p>
        </w:tc>
        <w:tc>
          <w:tcPr>
            <w:tcW w:w="17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June 2011</w:t>
            </w:r>
          </w:p>
        </w:tc>
        <w:tc>
          <w:tcPr>
            <w:tcW w:w="140" w:type="dxa"/>
            <w:vAlign w:val="bottom"/>
            <w:shd w:val="clear" w:color="auto" w:fill="E5FFFF"/>
          </w:tcPr>
          <w:p>
            <w:pPr>
              <w:spacing w:after="0"/>
              <w:rPr>
                <w:sz w:val="11"/>
                <w:szCs w:val="11"/>
                <w:color w:val="auto"/>
              </w:rPr>
            </w:pPr>
          </w:p>
        </w:tc>
        <w:tc>
          <w:tcPr>
            <w:tcW w:w="1920" w:type="dxa"/>
            <w:vAlign w:val="bottom"/>
            <w:gridSpan w:val="2"/>
            <w:shd w:val="clear" w:color="auto" w:fill="E5FFFF"/>
          </w:tcPr>
          <w:p>
            <w:pPr>
              <w:ind w:left="160"/>
              <w:spacing w:after="0" w:line="130"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30"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1"/>
                <w:szCs w:val="11"/>
                <w:color w:val="auto"/>
              </w:rPr>
            </w:pPr>
          </w:p>
        </w:tc>
        <w:tc>
          <w:tcPr>
            <w:tcW w:w="156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i w:val="1"/>
                <w:iCs w:val="1"/>
                <w:color w:val="auto"/>
                <w:w w:val="90"/>
              </w:rPr>
              <w:t>GasLog Salem</w:t>
            </w:r>
          </w:p>
        </w:tc>
        <w:tc>
          <w:tcPr>
            <w:tcW w:w="122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98"/>
              </w:rPr>
              <w:t>April 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GAS-fifteen Ltd.</w:t>
            </w:r>
          </w:p>
        </w:tc>
        <w:tc>
          <w:tcPr>
            <w:tcW w:w="1740" w:type="dxa"/>
            <w:vAlign w:val="bottom"/>
            <w:gridSpan w:val="3"/>
            <w:shd w:val="clear" w:color="auto" w:fill="E5FFFF"/>
          </w:tcPr>
          <w:p>
            <w:pPr>
              <w:ind w:left="140"/>
              <w:spacing w:after="0"/>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rPr>
                <w:sz w:val="20"/>
                <w:szCs w:val="20"/>
                <w:color w:val="auto"/>
              </w:rPr>
            </w:pPr>
            <w:r>
              <w:rPr>
                <w:rFonts w:ascii="Arial" w:cs="Arial" w:eastAsia="Arial" w:hAnsi="Arial"/>
                <w:sz w:val="14"/>
                <w:szCs w:val="14"/>
                <w:color w:val="auto"/>
              </w:rPr>
              <w:t>August 2013</w:t>
            </w:r>
          </w:p>
        </w:tc>
        <w:tc>
          <w:tcPr>
            <w:tcW w:w="140" w:type="dxa"/>
            <w:vAlign w:val="bottom"/>
            <w:shd w:val="clear" w:color="auto" w:fill="E5FFFF"/>
          </w:tcPr>
          <w:p>
            <w:pPr>
              <w:spacing w:after="0"/>
              <w:rPr>
                <w:sz w:val="14"/>
                <w:szCs w:val="14"/>
                <w:color w:val="auto"/>
              </w:rPr>
            </w:pPr>
          </w:p>
        </w:tc>
        <w:tc>
          <w:tcPr>
            <w:tcW w:w="192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rPr>
                <w:sz w:val="20"/>
                <w:szCs w:val="20"/>
                <w:color w:val="auto"/>
              </w:rPr>
            </w:pPr>
            <w:r>
              <w:rPr>
                <w:rFonts w:ascii="Arial" w:cs="Arial" w:eastAsia="Arial" w:hAnsi="Arial"/>
                <w:sz w:val="14"/>
                <w:szCs w:val="14"/>
                <w:color w:val="auto"/>
              </w:rPr>
              <w:t>153,600</w:t>
            </w:r>
          </w:p>
        </w:tc>
        <w:tc>
          <w:tcPr>
            <w:tcW w:w="140" w:type="dxa"/>
            <w:vAlign w:val="bottom"/>
            <w:shd w:val="clear" w:color="auto" w:fill="E5FFFF"/>
          </w:tcPr>
          <w:p>
            <w:pPr>
              <w:spacing w:after="0"/>
              <w:rPr>
                <w:sz w:val="14"/>
                <w:szCs w:val="14"/>
                <w:color w:val="auto"/>
              </w:rPr>
            </w:pP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4"/>
                <w:szCs w:val="14"/>
                <w:i w:val="1"/>
                <w:iCs w:val="1"/>
                <w:color w:val="auto"/>
                <w:w w:val="92"/>
              </w:rPr>
              <w:t>GasLog Chelsea</w:t>
            </w: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October 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GAS-eighteen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Lydon Volney</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two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Genoa</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three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Gladstone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four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June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GasLog Houston</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January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five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June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4"/>
              </w:rPr>
              <w:t>GasLog Hong Kong</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six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2015</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Lease asset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Julia Louise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eight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September 2016</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Windsor</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nine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September 2016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Dormant</w:t>
            </w:r>
            <w:r>
              <w:rPr>
                <w:rFonts w:ascii="Arial" w:cs="Arial" w:eastAsia="Arial" w:hAnsi="Arial"/>
                <w:sz w:val="17"/>
                <w:szCs w:val="17"/>
                <w:color w:val="auto"/>
                <w:vertAlign w:val="superscript"/>
              </w:rPr>
              <w:t>(2)</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Hull No. 2262</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Q3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one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Wales</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two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Hull No. 2300</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three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8"/>
              </w:rPr>
              <w:t>Hull No. 2301</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four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2311</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Q2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five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8"/>
              </w:rPr>
              <w:t>Hull No. 2312</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Q3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six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Dormant</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seven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Dormant</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line="130" w:lineRule="exact"/>
              <w:rPr>
                <w:sz w:val="20"/>
                <w:szCs w:val="20"/>
                <w:color w:val="auto"/>
              </w:rPr>
            </w:pPr>
            <w:r>
              <w:rPr>
                <w:rFonts w:ascii="Arial" w:cs="Arial" w:eastAsia="Arial" w:hAnsi="Arial"/>
                <w:sz w:val="14"/>
                <w:szCs w:val="14"/>
                <w:color w:val="auto"/>
              </w:rPr>
              <w:t>GasLog Hellas-1 Special Maritime</w:t>
            </w:r>
          </w:p>
        </w:tc>
        <w:tc>
          <w:tcPr>
            <w:tcW w:w="17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Greece</w:t>
            </w:r>
          </w:p>
        </w:tc>
        <w:tc>
          <w:tcPr>
            <w:tcW w:w="1180" w:type="dxa"/>
            <w:vAlign w:val="bottom"/>
          </w:tcPr>
          <w:p>
            <w:pPr>
              <w:spacing w:after="0" w:line="130" w:lineRule="exact"/>
              <w:rPr>
                <w:sz w:val="20"/>
                <w:szCs w:val="20"/>
                <w:color w:val="auto"/>
              </w:rPr>
            </w:pPr>
            <w:r>
              <w:rPr>
                <w:rFonts w:ascii="Arial" w:cs="Arial" w:eastAsia="Arial" w:hAnsi="Arial"/>
                <w:sz w:val="14"/>
                <w:szCs w:val="14"/>
                <w:color w:val="auto"/>
              </w:rPr>
              <w:t>June 2019</w:t>
            </w:r>
          </w:p>
        </w:tc>
        <w:tc>
          <w:tcPr>
            <w:tcW w:w="140" w:type="dxa"/>
            <w:vAlign w:val="bottom"/>
          </w:tcPr>
          <w:p>
            <w:pPr>
              <w:spacing w:after="0"/>
              <w:rPr>
                <w:sz w:val="11"/>
                <w:szCs w:val="11"/>
                <w:color w:val="auto"/>
              </w:rPr>
            </w:pPr>
          </w:p>
        </w:tc>
        <w:tc>
          <w:tcPr>
            <w:tcW w:w="19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0"/>
              </w:rPr>
              <w:t>180,000</w:t>
            </w:r>
          </w:p>
        </w:tc>
        <w:tc>
          <w:tcPr>
            <w:tcW w:w="140" w:type="dxa"/>
            <w:vAlign w:val="bottom"/>
          </w:tcPr>
          <w:p>
            <w:pPr>
              <w:spacing w:after="0"/>
              <w:rPr>
                <w:sz w:val="11"/>
                <w:szCs w:val="11"/>
                <w:color w:val="auto"/>
              </w:rPr>
            </w:pPr>
          </w:p>
        </w:tc>
        <w:tc>
          <w:tcPr>
            <w:tcW w:w="1560" w:type="dxa"/>
            <w:vAlign w:val="bottom"/>
            <w:gridSpan w:val="2"/>
          </w:tcPr>
          <w:p>
            <w:pPr>
              <w:jc w:val="center"/>
              <w:ind w:right="120"/>
              <w:spacing w:after="0" w:line="130" w:lineRule="exact"/>
              <w:rPr>
                <w:sz w:val="20"/>
                <w:szCs w:val="20"/>
                <w:color w:val="auto"/>
              </w:rPr>
            </w:pPr>
            <w:r>
              <w:rPr>
                <w:rFonts w:ascii="Arial" w:cs="Arial" w:eastAsia="Arial" w:hAnsi="Arial"/>
                <w:sz w:val="13"/>
                <w:szCs w:val="13"/>
                <w:i w:val="1"/>
                <w:iCs w:val="1"/>
                <w:color w:val="auto"/>
                <w:w w:val="96"/>
              </w:rPr>
              <w:t xml:space="preserve">GasLog Warsaw </w:t>
            </w:r>
            <w:r>
              <w:rPr>
                <w:rFonts w:ascii="Arial" w:cs="Arial" w:eastAsia="Arial" w:hAnsi="Arial"/>
                <w:sz w:val="15"/>
                <w:szCs w:val="15"/>
                <w:color w:val="auto"/>
                <w:w w:val="96"/>
                <w:vertAlign w:val="superscript"/>
              </w:rPr>
              <w:t>(2)</w:t>
            </w:r>
          </w:p>
        </w:tc>
        <w:tc>
          <w:tcPr>
            <w:tcW w:w="1220" w:type="dxa"/>
            <w:vAlign w:val="bottom"/>
          </w:tcPr>
          <w:p>
            <w:pPr>
              <w:jc w:val="center"/>
              <w:spacing w:after="0" w:line="130" w:lineRule="exact"/>
              <w:rPr>
                <w:sz w:val="20"/>
                <w:szCs w:val="20"/>
                <w:color w:val="auto"/>
              </w:rPr>
            </w:pPr>
            <w:r>
              <w:rPr>
                <w:rFonts w:ascii="Arial" w:cs="Arial" w:eastAsia="Arial" w:hAnsi="Arial"/>
                <w:sz w:val="14"/>
                <w:szCs w:val="14"/>
                <w:color w:val="auto"/>
                <w:w w:val="93"/>
              </w:rPr>
              <w:t>July 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180"/>
              <w:spacing w:after="0"/>
              <w:rPr>
                <w:sz w:val="20"/>
                <w:szCs w:val="20"/>
                <w:color w:val="auto"/>
              </w:rPr>
            </w:pPr>
            <w:r>
              <w:rPr>
                <w:rFonts w:ascii="Arial" w:cs="Arial" w:eastAsia="Arial" w:hAnsi="Arial"/>
                <w:sz w:val="14"/>
                <w:szCs w:val="14"/>
                <w:color w:val="auto"/>
              </w:rPr>
              <w:t>Enterprise</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35.6% interest subsidiaries:</w:t>
            </w:r>
          </w:p>
        </w:tc>
        <w:tc>
          <w:tcPr>
            <w:tcW w:w="140" w:type="dxa"/>
            <w:vAlign w:val="bottom"/>
            <w:shd w:val="clear" w:color="auto" w:fill="E5FFFF"/>
          </w:tcPr>
          <w:p>
            <w:pPr>
              <w:spacing w:after="0"/>
              <w:rPr>
                <w:sz w:val="12"/>
                <w:szCs w:val="12"/>
                <w:color w:val="auto"/>
              </w:rPr>
            </w:pPr>
          </w:p>
        </w:tc>
        <w:tc>
          <w:tcPr>
            <w:tcW w:w="1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7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Partners LP</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Marshall Islands</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GasLog Partners Holdings</w:t>
            </w:r>
          </w:p>
        </w:tc>
        <w:tc>
          <w:tcPr>
            <w:tcW w:w="17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Marshall Islands</w:t>
            </w:r>
          </w:p>
        </w:tc>
        <w:tc>
          <w:tcPr>
            <w:tcW w:w="1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April 2014</w:t>
            </w:r>
          </w:p>
        </w:tc>
        <w:tc>
          <w:tcPr>
            <w:tcW w:w="140" w:type="dxa"/>
            <w:vAlign w:val="bottom"/>
            <w:shd w:val="clear" w:color="auto" w:fill="E5FFFF"/>
          </w:tcPr>
          <w:p>
            <w:pPr>
              <w:spacing w:after="0"/>
              <w:rPr>
                <w:sz w:val="11"/>
                <w:szCs w:val="11"/>
                <w:color w:val="auto"/>
              </w:rPr>
            </w:pPr>
          </w:p>
        </w:tc>
        <w:tc>
          <w:tcPr>
            <w:tcW w:w="1920" w:type="dxa"/>
            <w:vAlign w:val="bottom"/>
            <w:gridSpan w:val="2"/>
            <w:shd w:val="clear" w:color="auto" w:fill="E5FFFF"/>
          </w:tcPr>
          <w:p>
            <w:pPr>
              <w:ind w:left="160"/>
              <w:spacing w:after="0" w:line="130"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1"/>
                <w:szCs w:val="11"/>
                <w:color w:val="auto"/>
              </w:rPr>
            </w:pPr>
          </w:p>
        </w:tc>
        <w:tc>
          <w:tcPr>
            <w:tcW w:w="86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E5FFFF"/>
          </w:tcPr>
          <w:p>
            <w:pPr>
              <w:ind w:left="180"/>
              <w:spacing w:after="0"/>
              <w:rPr>
                <w:sz w:val="20"/>
                <w:szCs w:val="20"/>
                <w:color w:val="auto"/>
              </w:rPr>
            </w:pPr>
            <w:r>
              <w:rPr>
                <w:rFonts w:ascii="Arial" w:cs="Arial" w:eastAsia="Arial" w:hAnsi="Arial"/>
                <w:sz w:val="14"/>
                <w:szCs w:val="14"/>
                <w:color w:val="auto"/>
              </w:rPr>
              <w:t>LLC</w:t>
            </w:r>
          </w:p>
        </w:tc>
        <w:tc>
          <w:tcPr>
            <w:tcW w:w="14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4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22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20"/>
                <w:szCs w:val="20"/>
                <w:color w:val="auto"/>
              </w:rPr>
            </w:pPr>
            <w:r>
              <w:rPr>
                <w:rFonts w:ascii="Arial" w:cs="Arial" w:eastAsia="Arial" w:hAnsi="Arial"/>
                <w:sz w:val="14"/>
                <w:szCs w:val="14"/>
                <w:color w:val="auto"/>
              </w:rPr>
              <w:t>GAS-three Ltd.</w:t>
            </w:r>
          </w:p>
        </w:tc>
        <w:tc>
          <w:tcPr>
            <w:tcW w:w="1580" w:type="dxa"/>
            <w:vAlign w:val="bottom"/>
          </w:tcPr>
          <w:p>
            <w:pPr>
              <w:ind w:left="520"/>
              <w:spacing w:after="0"/>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rPr>
                <w:sz w:val="20"/>
                <w:szCs w:val="20"/>
                <w:color w:val="auto"/>
              </w:rPr>
            </w:pPr>
            <w:r>
              <w:rPr>
                <w:rFonts w:ascii="Arial" w:cs="Arial" w:eastAsia="Arial" w:hAnsi="Arial"/>
                <w:sz w:val="14"/>
                <w:szCs w:val="14"/>
                <w:color w:val="auto"/>
              </w:rPr>
              <w:t>April 2010</w:t>
            </w:r>
          </w:p>
        </w:tc>
        <w:tc>
          <w:tcPr>
            <w:tcW w:w="1920" w:type="dxa"/>
            <w:vAlign w:val="bottom"/>
          </w:tcPr>
          <w:p>
            <w:pPr>
              <w:ind w:left="280"/>
              <w:spacing w:after="0"/>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155,000</w:t>
            </w:r>
          </w:p>
        </w:tc>
        <w:tc>
          <w:tcPr>
            <w:tcW w:w="1740" w:type="dxa"/>
            <w:vAlign w:val="bottom"/>
          </w:tcPr>
          <w:p>
            <w:pPr>
              <w:jc w:val="center"/>
              <w:spacing w:after="0"/>
              <w:rPr>
                <w:sz w:val="20"/>
                <w:szCs w:val="20"/>
                <w:color w:val="auto"/>
              </w:rPr>
            </w:pPr>
            <w:r>
              <w:rPr>
                <w:rFonts w:ascii="Arial" w:cs="Arial" w:eastAsia="Arial" w:hAnsi="Arial"/>
                <w:sz w:val="14"/>
                <w:szCs w:val="14"/>
                <w:i w:val="1"/>
                <w:iCs w:val="1"/>
                <w:color w:val="auto"/>
                <w:w w:val="92"/>
              </w:rPr>
              <w:t>GasLog Shanghai</w:t>
            </w: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January 2013</w:t>
            </w:r>
          </w:p>
        </w:tc>
      </w:tr>
      <w:tr>
        <w:trPr>
          <w:trHeight w:val="149"/>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April 2010</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155,000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2013</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GAS-five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February 2011</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155,000</w:t>
            </w:r>
          </w:p>
        </w:tc>
        <w:tc>
          <w:tcPr>
            <w:tcW w:w="1740" w:type="dxa"/>
            <w:vAlign w:val="bottom"/>
          </w:tcPr>
          <w:p>
            <w:pPr>
              <w:jc w:val="center"/>
              <w:ind w:left="8"/>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2013</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March 2011</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155,000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2"/>
              </w:rPr>
              <w:t>December 2013</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GAS-eight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March 2011</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155,000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Solaris</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GAS-eleven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December 2012</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174,000</w:t>
            </w:r>
          </w:p>
        </w:tc>
        <w:tc>
          <w:tcPr>
            <w:tcW w:w="1740" w:type="dxa"/>
            <w:vAlign w:val="bottom"/>
            <w:shd w:val="clear" w:color="auto" w:fill="E5FFFF"/>
          </w:tcPr>
          <w:p>
            <w:pPr>
              <w:jc w:val="center"/>
              <w:ind w:left="8"/>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2016</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GAS-twelve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December 2012</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174,000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2016</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GAS-thirteen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July 2013</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174,000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0"/>
              </w:rPr>
              <w:t>GasLog Geneva</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September 2016</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GAS-fourteen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July 2013</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174,000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2016</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GAS-sixteen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January 2014</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145,000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8"/>
              </w:rPr>
              <w:t>April 2014</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GAS-seventeen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January 2014</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145,000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r>
      <w:tr>
        <w:trPr>
          <w:trHeight w:val="149"/>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GAS-nineteen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April 2014</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145,000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GAS-twenty Ltd.</w:t>
            </w:r>
          </w:p>
        </w:tc>
        <w:tc>
          <w:tcPr>
            <w:tcW w:w="1580" w:type="dxa"/>
            <w:vAlign w:val="bottom"/>
          </w:tcPr>
          <w:p>
            <w:pPr>
              <w:ind w:left="520"/>
              <w:spacing w:after="0" w:line="130"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30" w:lineRule="exact"/>
              <w:rPr>
                <w:sz w:val="20"/>
                <w:szCs w:val="20"/>
                <w:color w:val="auto"/>
              </w:rPr>
            </w:pPr>
            <w:r>
              <w:rPr>
                <w:rFonts w:ascii="Arial" w:cs="Arial" w:eastAsia="Arial" w:hAnsi="Arial"/>
                <w:sz w:val="14"/>
                <w:szCs w:val="14"/>
                <w:color w:val="auto"/>
              </w:rPr>
              <w:t>April 2014</w:t>
            </w:r>
          </w:p>
        </w:tc>
        <w:tc>
          <w:tcPr>
            <w:tcW w:w="1920" w:type="dxa"/>
            <w:vAlign w:val="bottom"/>
          </w:tcPr>
          <w:p>
            <w:pPr>
              <w:ind w:left="280"/>
              <w:spacing w:after="0" w:line="130"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145,000</w:t>
            </w:r>
          </w:p>
        </w:tc>
        <w:tc>
          <w:tcPr>
            <w:tcW w:w="1740" w:type="dxa"/>
            <w:vAlign w:val="bottom"/>
          </w:tcPr>
          <w:p>
            <w:pPr>
              <w:jc w:val="center"/>
              <w:spacing w:after="0" w:line="130" w:lineRule="exact"/>
              <w:rPr>
                <w:sz w:val="20"/>
                <w:szCs w:val="20"/>
                <w:color w:val="auto"/>
              </w:rPr>
            </w:pPr>
            <w:r>
              <w:rPr>
                <w:rFonts w:ascii="Arial" w:cs="Arial" w:eastAsia="Arial" w:hAnsi="Arial"/>
                <w:sz w:val="14"/>
                <w:szCs w:val="14"/>
                <w:i w:val="1"/>
                <w:iCs w:val="1"/>
                <w:color w:val="auto"/>
                <w:w w:val="94"/>
              </w:rPr>
              <w:t>Methane Shirley</w:t>
            </w:r>
          </w:p>
        </w:tc>
        <w:tc>
          <w:tcPr>
            <w:tcW w:w="1220" w:type="dxa"/>
            <w:vAlign w:val="bottom"/>
          </w:tcPr>
          <w:p>
            <w:pPr>
              <w:jc w:val="center"/>
              <w:spacing w:after="0" w:line="130" w:lineRule="exact"/>
              <w:rPr>
                <w:sz w:val="20"/>
                <w:szCs w:val="20"/>
                <w:color w:val="auto"/>
              </w:rPr>
            </w:pPr>
            <w:r>
              <w:rPr>
                <w:rFonts w:ascii="Arial" w:cs="Arial" w:eastAsia="Arial" w:hAnsi="Arial"/>
                <w:sz w:val="14"/>
                <w:szCs w:val="14"/>
                <w:color w:val="auto"/>
                <w:w w:val="88"/>
              </w:rPr>
              <w:t>June 2014</w:t>
            </w:r>
          </w:p>
        </w:tc>
      </w:tr>
      <w:tr>
        <w:trPr>
          <w:trHeight w:val="167"/>
        </w:trPr>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i w:val="1"/>
                <w:iCs w:val="1"/>
                <w:color w:val="auto"/>
                <w:w w:val="97"/>
              </w:rPr>
              <w:t>Elisabeth</w:t>
            </w:r>
          </w:p>
        </w:tc>
        <w:tc>
          <w:tcPr>
            <w:tcW w:w="1220" w:type="dxa"/>
            <w:vAlign w:val="bottom"/>
          </w:tcPr>
          <w:p>
            <w:pPr>
              <w:spacing w:after="0"/>
              <w:rPr>
                <w:sz w:val="14"/>
                <w:szCs w:val="14"/>
                <w:color w:val="auto"/>
              </w:rPr>
            </w:pP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one Ltd.</w:t>
            </w:r>
          </w:p>
        </w:tc>
        <w:tc>
          <w:tcPr>
            <w:tcW w:w="1580" w:type="dxa"/>
            <w:vAlign w:val="bottom"/>
            <w:shd w:val="clear" w:color="auto" w:fill="E5FFFF"/>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shd w:val="clear" w:color="auto" w:fill="E5FFFF"/>
          </w:tcPr>
          <w:p>
            <w:pPr>
              <w:ind w:left="540"/>
              <w:spacing w:after="0" w:line="149" w:lineRule="exact"/>
              <w:rPr>
                <w:sz w:val="20"/>
                <w:szCs w:val="20"/>
                <w:color w:val="auto"/>
              </w:rPr>
            </w:pPr>
            <w:r>
              <w:rPr>
                <w:rFonts w:ascii="Arial" w:cs="Arial" w:eastAsia="Arial" w:hAnsi="Arial"/>
                <w:sz w:val="14"/>
                <w:szCs w:val="14"/>
                <w:color w:val="auto"/>
              </w:rPr>
              <w:t>April 2014</w:t>
            </w:r>
          </w:p>
        </w:tc>
        <w:tc>
          <w:tcPr>
            <w:tcW w:w="192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145,000</w:t>
            </w:r>
          </w:p>
        </w:tc>
        <w:tc>
          <w:tcPr>
            <w:tcW w:w="17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2"/>
              </w:rPr>
              <w:t>Methane Heather Sally</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GAS-twenty seven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January 2015</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170,000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Methane Becki Anne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2015</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580" w:type="dxa"/>
            <w:vAlign w:val="bottom"/>
            <w:shd w:val="clear" w:color="auto" w:fill="E5FFFF"/>
          </w:tcPr>
          <w:p>
            <w:pPr>
              <w:spacing w:after="0"/>
              <w:rPr>
                <w:sz w:val="12"/>
                <w:szCs w:val="12"/>
                <w:color w:val="auto"/>
              </w:rPr>
            </w:pPr>
          </w:p>
        </w:tc>
        <w:tc>
          <w:tcPr>
            <w:tcW w:w="1740" w:type="dxa"/>
            <w:vAlign w:val="bottom"/>
            <w:shd w:val="clear" w:color="auto" w:fill="E5FFFF"/>
          </w:tcPr>
          <w:p>
            <w:pPr>
              <w:spacing w:after="0"/>
              <w:rPr>
                <w:sz w:val="12"/>
                <w:szCs w:val="12"/>
                <w:color w:val="auto"/>
              </w:rPr>
            </w:pPr>
          </w:p>
        </w:tc>
        <w:tc>
          <w:tcPr>
            <w:tcW w:w="192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74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Egypt LNG Shipping Ltd.</w:t>
            </w:r>
          </w:p>
        </w:tc>
        <w:tc>
          <w:tcPr>
            <w:tcW w:w="1580" w:type="dxa"/>
            <w:vAlign w:val="bottom"/>
          </w:tcPr>
          <w:p>
            <w:pPr>
              <w:ind w:left="520"/>
              <w:spacing w:after="0" w:line="149" w:lineRule="exact"/>
              <w:rPr>
                <w:sz w:val="20"/>
                <w:szCs w:val="20"/>
                <w:color w:val="auto"/>
              </w:rPr>
            </w:pPr>
            <w:r>
              <w:rPr>
                <w:rFonts w:ascii="Arial" w:cs="Arial" w:eastAsia="Arial" w:hAnsi="Arial"/>
                <w:sz w:val="14"/>
                <w:szCs w:val="14"/>
                <w:color w:val="auto"/>
              </w:rPr>
              <w:t>Bermuda</w:t>
            </w:r>
          </w:p>
        </w:tc>
        <w:tc>
          <w:tcPr>
            <w:tcW w:w="1740" w:type="dxa"/>
            <w:vAlign w:val="bottom"/>
          </w:tcPr>
          <w:p>
            <w:pPr>
              <w:ind w:left="540"/>
              <w:spacing w:after="0" w:line="149" w:lineRule="exact"/>
              <w:rPr>
                <w:sz w:val="20"/>
                <w:szCs w:val="20"/>
                <w:color w:val="auto"/>
              </w:rPr>
            </w:pPr>
            <w:r>
              <w:rPr>
                <w:rFonts w:ascii="Arial" w:cs="Arial" w:eastAsia="Arial" w:hAnsi="Arial"/>
                <w:sz w:val="14"/>
                <w:szCs w:val="14"/>
                <w:color w:val="auto"/>
              </w:rPr>
              <w:t>May 2010</w:t>
            </w:r>
          </w:p>
        </w:tc>
        <w:tc>
          <w:tcPr>
            <w:tcW w:w="192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145,000</w:t>
            </w:r>
          </w:p>
        </w:tc>
        <w:tc>
          <w:tcPr>
            <w:tcW w:w="17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Methane Nile Eagle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2007</w:t>
            </w:r>
          </w:p>
        </w:tc>
      </w:tr>
      <w:tr>
        <w:trPr>
          <w:trHeight w:val="148"/>
        </w:trPr>
        <w:tc>
          <w:tcPr>
            <w:tcW w:w="212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580" w:type="dxa"/>
            <w:vAlign w:val="bottom"/>
            <w:shd w:val="clear" w:color="auto" w:fill="E5FFFF"/>
          </w:tcPr>
          <w:p>
            <w:pPr>
              <w:spacing w:after="0"/>
              <w:rPr>
                <w:sz w:val="12"/>
                <w:szCs w:val="12"/>
                <w:color w:val="auto"/>
              </w:rPr>
            </w:pPr>
          </w:p>
        </w:tc>
        <w:tc>
          <w:tcPr>
            <w:tcW w:w="1740" w:type="dxa"/>
            <w:vAlign w:val="bottom"/>
            <w:shd w:val="clear" w:color="auto" w:fill="E5FFFF"/>
          </w:tcPr>
          <w:p>
            <w:pPr>
              <w:spacing w:after="0"/>
              <w:rPr>
                <w:sz w:val="12"/>
                <w:szCs w:val="12"/>
                <w:color w:val="auto"/>
              </w:rPr>
            </w:pPr>
          </w:p>
        </w:tc>
        <w:tc>
          <w:tcPr>
            <w:tcW w:w="192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74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Gastrade S.A. (“Gastrade”)</w:t>
            </w:r>
          </w:p>
        </w:tc>
        <w:tc>
          <w:tcPr>
            <w:tcW w:w="1580" w:type="dxa"/>
            <w:vAlign w:val="bottom"/>
          </w:tcPr>
          <w:p>
            <w:pPr>
              <w:ind w:left="520"/>
              <w:spacing w:after="0"/>
              <w:rPr>
                <w:sz w:val="20"/>
                <w:szCs w:val="20"/>
                <w:color w:val="auto"/>
              </w:rPr>
            </w:pPr>
            <w:r>
              <w:rPr>
                <w:rFonts w:ascii="Arial" w:cs="Arial" w:eastAsia="Arial" w:hAnsi="Arial"/>
                <w:sz w:val="14"/>
                <w:szCs w:val="14"/>
                <w:color w:val="auto"/>
              </w:rPr>
              <w:t>Greece</w:t>
            </w:r>
          </w:p>
        </w:tc>
        <w:tc>
          <w:tcPr>
            <w:tcW w:w="1740" w:type="dxa"/>
            <w:vAlign w:val="bottom"/>
          </w:tcPr>
          <w:p>
            <w:pPr>
              <w:ind w:left="540"/>
              <w:spacing w:after="0"/>
              <w:rPr>
                <w:sz w:val="20"/>
                <w:szCs w:val="20"/>
                <w:color w:val="auto"/>
              </w:rPr>
            </w:pPr>
            <w:r>
              <w:rPr>
                <w:rFonts w:ascii="Arial" w:cs="Arial" w:eastAsia="Arial" w:hAnsi="Arial"/>
                <w:sz w:val="14"/>
                <w:szCs w:val="14"/>
                <w:color w:val="auto"/>
              </w:rPr>
              <w:t>June 2010</w:t>
            </w:r>
          </w:p>
        </w:tc>
        <w:tc>
          <w:tcPr>
            <w:tcW w:w="1920" w:type="dxa"/>
            <w:vAlign w:val="bottom"/>
          </w:tcPr>
          <w:p>
            <w:pPr>
              <w:ind w:left="280"/>
              <w:spacing w:after="0"/>
              <w:rPr>
                <w:sz w:val="20"/>
                <w:szCs w:val="20"/>
                <w:color w:val="auto"/>
              </w:rPr>
            </w:pPr>
            <w:r>
              <w:rPr>
                <w:rFonts w:ascii="Arial" w:cs="Arial" w:eastAsia="Arial" w:hAnsi="Arial"/>
                <w:sz w:val="14"/>
                <w:szCs w:val="14"/>
                <w:color w:val="auto"/>
              </w:rPr>
              <w:t>Service company</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740" w:type="dxa"/>
            <w:vAlign w:val="bottom"/>
          </w:tcPr>
          <w:p>
            <w:pPr>
              <w:jc w:val="center"/>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0"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For newbuildings, expected delivery quarters as of March 31, 2020 are presented.</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In June 2019, the newbuilding </w:t>
      </w:r>
      <w:r>
        <w:rPr>
          <w:rFonts w:ascii="Arial" w:cs="Arial" w:eastAsia="Arial" w:hAnsi="Arial"/>
          <w:sz w:val="13"/>
          <w:szCs w:val="13"/>
          <w:i w:val="1"/>
          <w:iCs w:val="1"/>
          <w:color w:val="auto"/>
        </w:rPr>
        <w:t>GasLog Warsaw</w:t>
      </w:r>
      <w:r>
        <w:rPr>
          <w:rFonts w:ascii="Arial" w:cs="Arial" w:eastAsia="Arial" w:hAnsi="Arial"/>
          <w:sz w:val="13"/>
          <w:szCs w:val="13"/>
          <w:color w:val="auto"/>
        </w:rPr>
        <w:t>, delivered on July 31, 2019, was transferred from GAS-twenty nine Ltd. to the subsidiary GasLog Hellas-1 Special Maritime Enterprise.</w:t>
      </w:r>
    </w:p>
    <w:p>
      <w:pPr>
        <w:spacing w:after="0" w:line="214"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89"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20" w:firstLine="436"/>
        <w:spacing w:after="0" w:line="297"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IFRS for a complete set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have been omitted, and, therefore, these unaudited condensed consolidated financial statements should be read in conjunction with the Group’s annual consolidated financial statements as of and for the year ended December 31, 2019 filed with the SEC on March 6, 2020.</w:t>
      </w:r>
    </w:p>
    <w:p>
      <w:pPr>
        <w:spacing w:after="0" w:line="172" w:lineRule="exact"/>
        <w:rPr>
          <w:sz w:val="20"/>
          <w:szCs w:val="20"/>
          <w:color w:val="auto"/>
        </w:rPr>
      </w:pPr>
    </w:p>
    <w:p>
      <w:pPr>
        <w:ind w:right="22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2019 and remain unchanged.</w:t>
      </w:r>
    </w:p>
    <w:p>
      <w:pPr>
        <w:spacing w:after="0" w:line="172" w:lineRule="exact"/>
        <w:rPr>
          <w:sz w:val="20"/>
          <w:szCs w:val="20"/>
          <w:color w:val="auto"/>
        </w:rPr>
      </w:pPr>
    </w:p>
    <w:p>
      <w:pPr>
        <w:ind w:right="12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380" w:firstLine="396"/>
        <w:spacing w:after="0" w:line="278" w:lineRule="auto"/>
        <w:rPr>
          <w:sz w:val="20"/>
          <w:szCs w:val="20"/>
          <w:color w:val="auto"/>
        </w:rPr>
      </w:pPr>
      <w:r>
        <w:rPr>
          <w:rFonts w:ascii="Arial" w:cs="Arial" w:eastAsia="Arial" w:hAnsi="Arial"/>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2019.</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May 7, 2020, GasLog’s board of directors authorized the unaudited condensed consolidated financial statements for issuance.</w:t>
      </w:r>
    </w:p>
    <w:p>
      <w:pPr>
        <w:spacing w:after="0" w:line="235" w:lineRule="exact"/>
        <w:rPr>
          <w:sz w:val="20"/>
          <w:szCs w:val="20"/>
          <w:color w:val="auto"/>
        </w:rPr>
      </w:pPr>
    </w:p>
    <w:p>
      <w:pPr>
        <w:ind w:firstLine="383"/>
        <w:spacing w:after="0" w:line="287"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market conditions, management anticipates that our primary sources of funds over the next 12 months will be available cash, cash from operations and bank borrowings under existing, refinanced or new debt facilities, as well as public equity or debt instruments, subject to a significant recovery in capital market conditions. We are continuing the process of refinancing our bank loans maturing in April and July 2021 and we are in discussion with our swaps counterparties in order to identify and execute measures to reduce cash collateral posted under the existing interest rate and cross currency swaps. Management believes that these anticipated sources of funds will be sufficient to meet our liquidity needs and to comply with bank loan and bond covenants for at least twelve months from the end of the reporting period and therefore it is appropriate to prepare the financial statements on a going concern basis, although there can be no assurance that we will be able to obtain such debt or equity financing or release of collateral on terms acceptable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340" w:firstLine="389"/>
        <w:spacing w:after="0" w:line="293" w:lineRule="auto"/>
        <w:rPr>
          <w:sz w:val="20"/>
          <w:szCs w:val="20"/>
          <w:color w:val="auto"/>
        </w:rPr>
      </w:pPr>
      <w:r>
        <w:rPr>
          <w:rFonts w:ascii="Arial" w:cs="Arial" w:eastAsia="Arial" w:hAnsi="Arial"/>
          <w:sz w:val="15"/>
          <w:szCs w:val="15"/>
          <w:color w:val="auto"/>
        </w:rPr>
        <w:t>The liquidity position and capital resources of the Company are set out on pages 23-24 of Exhibit 99.2 accompanying these unaudited condensed consolidated financial statements. The Company is continuing the process of refinancing its bank loans with its lenders in connection with the facilities due to mature in April and July 2021 which, if successfully completed, will remove all debt maturities until the maturity of the 8.875% senior unsecured notes (the “8.875% Senior Notes”) due in March 2022 , and all bank maturities until 2024. The main terms of the Company’s bank loan facilities are disclosed in Note 13 “Borrowings” of the Company’s annual consolidated financial statements for the year ended December 31, 2019 filed with the SEC on Form 20-F on March 6, 2020.</w:t>
      </w:r>
    </w:p>
    <w:p>
      <w:pPr>
        <w:spacing w:after="0" w:line="176" w:lineRule="exact"/>
        <w:rPr>
          <w:sz w:val="20"/>
          <w:szCs w:val="20"/>
          <w:color w:val="auto"/>
        </w:rPr>
      </w:pPr>
    </w:p>
    <w:p>
      <w:pPr>
        <w:ind w:right="100" w:firstLine="389"/>
        <w:spacing w:after="0" w:line="271" w:lineRule="auto"/>
        <w:rPr>
          <w:sz w:val="20"/>
          <w:szCs w:val="20"/>
          <w:color w:val="auto"/>
        </w:rPr>
      </w:pPr>
      <w:r>
        <w:rPr>
          <w:rFonts w:ascii="Arial" w:cs="Arial" w:eastAsia="Arial" w:hAnsi="Arial"/>
          <w:sz w:val="16"/>
          <w:szCs w:val="16"/>
          <w:color w:val="auto"/>
        </w:rPr>
        <w:t>The principal risks and uncertainties facing the Company have been disclosed on pages 17-18 of Exhibit 99.2 accompanying these unaudited condensed consolidated financial statements, as well as in the Annual Report on Form 20-F filed with the SEC on March 6, 2020. The Company keeps under constant review the possible implications of the recent COVID-19 outbreak and the associated effects on the LNG shipping market to allow current assessments of the impact of the virus to be incorporated into the latest full-year estimates in order to identify risks to future liquidity and covenant compliance and to enable management to take corrective actions, if required.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34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adopted in the current period with a material effect on the Group’s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60" w:firstLine="356"/>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Group’s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140" w:firstLine="255"/>
        <w:spacing w:after="0" w:line="273" w:lineRule="auto"/>
        <w:rPr>
          <w:sz w:val="20"/>
          <w:szCs w:val="20"/>
          <w:color w:val="auto"/>
        </w:rPr>
      </w:pPr>
      <w:r>
        <w:rPr>
          <w:rFonts w:ascii="Arial" w:cs="Arial" w:eastAsia="Arial" w:hAnsi="Arial"/>
          <w:sz w:val="16"/>
          <w:szCs w:val="16"/>
          <w:color w:val="auto"/>
        </w:rPr>
        <w:t>The profit allocation to non-controlling interests is based on the distribution policy for available cash stated in the Partnership Agreement as amended after the elimination of the incentive distribution right (“IDRs”) as of June 30, 2019. Following the IDRs’ elimination, 98% of the available cash is distributed to the common unitholders and 2% is distributed to the general partner. The updated earnings allocation has been applied to the Partnership’s earnings for the three months ended June 30, 2019 and onwards.</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Allocation of GasLog Partners’ profit</w:t>
            </w:r>
            <w:r>
              <w:rPr>
                <w:rFonts w:ascii="Arial" w:cs="Arial" w:eastAsia="Arial" w:hAnsi="Arial"/>
                <w:sz w:val="21"/>
                <w:szCs w:val="21"/>
                <w:b w:val="1"/>
                <w:bCs w:val="1"/>
                <w:i w:val="1"/>
                <w:iCs w:val="1"/>
                <w:color w:val="auto"/>
                <w:vertAlign w:val="superscript"/>
              </w:rPr>
              <w:t>(*)</w:t>
            </w:r>
          </w:p>
        </w:tc>
        <w:tc>
          <w:tcPr>
            <w:tcW w:w="29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three months ended</w:t>
            </w:r>
          </w:p>
        </w:tc>
      </w:tr>
      <w:tr>
        <w:trPr>
          <w:trHeight w:val="230"/>
        </w:trPr>
        <w:tc>
          <w:tcPr>
            <w:tcW w:w="4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2019</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 2020</w:t>
            </w:r>
          </w:p>
        </w:tc>
      </w:tr>
      <w:tr>
        <w:trPr>
          <w:trHeight w:val="188"/>
        </w:trPr>
        <w:tc>
          <w:tcPr>
            <w:tcW w:w="772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Partnership’s profit attributable to:</w:t>
            </w:r>
          </w:p>
        </w:tc>
        <w:tc>
          <w:tcPr>
            <w:tcW w:w="120" w:type="dxa"/>
            <w:vAlign w:val="bottom"/>
            <w:tcBorders>
              <w:top w:val="single" w:sz="8" w:color="auto"/>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r>
      <w:tr>
        <w:trPr>
          <w:trHeight w:val="203"/>
        </w:trPr>
        <w:tc>
          <w:tcPr>
            <w:tcW w:w="7840" w:type="dxa"/>
            <w:vAlign w:val="bottom"/>
            <w:gridSpan w:val="4"/>
          </w:tcPr>
          <w:p>
            <w:pPr>
              <w:spacing w:after="0"/>
              <w:rPr>
                <w:sz w:val="20"/>
                <w:szCs w:val="20"/>
                <w:color w:val="auto"/>
              </w:rPr>
            </w:pPr>
            <w:r>
              <w:rPr>
                <w:rFonts w:ascii="Arial" w:cs="Arial" w:eastAsia="Arial" w:hAnsi="Arial"/>
                <w:sz w:val="16"/>
                <w:szCs w:val="16"/>
                <w:color w:val="auto"/>
              </w:rPr>
              <w:t>Common unitholders</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12,529</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6,446</w:t>
            </w:r>
          </w:p>
        </w:tc>
      </w:tr>
      <w:tr>
        <w:trPr>
          <w:trHeight w:val="203"/>
        </w:trPr>
        <w:tc>
          <w:tcPr>
            <w:tcW w:w="7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w:t>
            </w:r>
          </w:p>
        </w:tc>
      </w:tr>
      <w:tr>
        <w:trPr>
          <w:trHeight w:val="203"/>
        </w:trPr>
        <w:tc>
          <w:tcPr>
            <w:tcW w:w="7840" w:type="dxa"/>
            <w:vAlign w:val="bottom"/>
            <w:gridSpan w:val="4"/>
          </w:tcPr>
          <w:p>
            <w:pPr>
              <w:spacing w:after="0"/>
              <w:rPr>
                <w:sz w:val="20"/>
                <w:szCs w:val="20"/>
                <w:color w:val="auto"/>
              </w:rPr>
            </w:pPr>
            <w:r>
              <w:rPr>
                <w:rFonts w:ascii="Arial" w:cs="Arial" w:eastAsia="Arial" w:hAnsi="Arial"/>
                <w:sz w:val="16"/>
                <w:szCs w:val="16"/>
                <w:color w:val="auto"/>
              </w:rPr>
              <w:t>IDRs</w:t>
            </w:r>
          </w:p>
        </w:tc>
        <w:tc>
          <w:tcPr>
            <w:tcW w:w="1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7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Paid and accrued preference equity distributions</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7,582</w:t>
            </w:r>
          </w:p>
        </w:tc>
        <w:tc>
          <w:tcPr>
            <w:tcW w:w="10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7,582</w:t>
            </w:r>
          </w:p>
        </w:tc>
      </w:tr>
      <w:tr>
        <w:trPr>
          <w:trHeight w:val="203"/>
        </w:trPr>
        <w:tc>
          <w:tcPr>
            <w:tcW w:w="78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20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r>
      <w:tr>
        <w:trPr>
          <w:trHeight w:val="203"/>
        </w:trPr>
        <w:tc>
          <w:tcPr>
            <w:tcW w:w="7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Partnership’s profit allocated to GasLog</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3,520</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2,127</w:t>
            </w:r>
          </w:p>
        </w:tc>
      </w:tr>
      <w:tr>
        <w:trPr>
          <w:trHeight w:val="203"/>
        </w:trPr>
        <w:tc>
          <w:tcPr>
            <w:tcW w:w="7840" w:type="dxa"/>
            <w:vAlign w:val="bottom"/>
            <w:gridSpan w:val="4"/>
          </w:tcPr>
          <w:p>
            <w:pPr>
              <w:spacing w:after="0"/>
              <w:rPr>
                <w:sz w:val="20"/>
                <w:szCs w:val="20"/>
                <w:color w:val="auto"/>
              </w:rPr>
            </w:pPr>
            <w:r>
              <w:rPr>
                <w:rFonts w:ascii="Arial" w:cs="Arial" w:eastAsia="Arial" w:hAnsi="Arial"/>
                <w:sz w:val="16"/>
                <w:szCs w:val="16"/>
                <w:color w:val="auto"/>
              </w:rPr>
              <w:t>Partnership’s profit allocated to non-controlling interests</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16,846</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12,042</w:t>
            </w:r>
          </w:p>
        </w:tc>
      </w:tr>
      <w:tr>
        <w:trPr>
          <w:trHeight w:val="203"/>
        </w:trPr>
        <w:tc>
          <w:tcPr>
            <w:tcW w:w="784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r>
    </w:tbl>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Excludes profits of GAS-twelve Ltd. for the period prior to its transfer to the Partnership on April 1, 2019.</w:t>
      </w:r>
    </w:p>
    <w:p>
      <w:pPr>
        <w:spacing w:after="0" w:line="212" w:lineRule="exact"/>
        <w:rPr>
          <w:sz w:val="20"/>
          <w:szCs w:val="20"/>
          <w:color w:val="auto"/>
        </w:rPr>
      </w:pPr>
    </w:p>
    <w:p>
      <w:pPr>
        <w:ind w:right="700" w:firstLine="389"/>
        <w:spacing w:after="0" w:line="293" w:lineRule="auto"/>
        <w:rPr>
          <w:sz w:val="20"/>
          <w:szCs w:val="20"/>
          <w:color w:val="auto"/>
        </w:rPr>
      </w:pPr>
      <w:r>
        <w:rPr>
          <w:rFonts w:ascii="Arial" w:cs="Arial" w:eastAsia="Arial" w:hAnsi="Arial"/>
          <w:sz w:val="16"/>
          <w:szCs w:val="16"/>
          <w:color w:val="auto"/>
        </w:rPr>
        <w:t>Dividends declared attributable to non-controlling interests included in the unaudited condensed consolidated statements of changes in equity represent cash distributions to holders of common and preference units.</w:t>
      </w:r>
    </w:p>
    <w:p>
      <w:pPr>
        <w:spacing w:after="0" w:line="172" w:lineRule="exact"/>
        <w:rPr>
          <w:sz w:val="20"/>
          <w:szCs w:val="20"/>
          <w:color w:val="auto"/>
        </w:rPr>
      </w:pPr>
    </w:p>
    <w:p>
      <w:pPr>
        <w:ind w:right="140" w:firstLine="389"/>
        <w:spacing w:after="0" w:line="293" w:lineRule="auto"/>
        <w:rPr>
          <w:sz w:val="20"/>
          <w:szCs w:val="20"/>
          <w:color w:val="auto"/>
        </w:rPr>
      </w:pPr>
      <w:r>
        <w:rPr>
          <w:rFonts w:ascii="Arial" w:cs="Arial" w:eastAsia="Arial" w:hAnsi="Arial"/>
          <w:sz w:val="16"/>
          <w:szCs w:val="16"/>
          <w:color w:val="auto"/>
        </w:rPr>
        <w:t>In the three months ended March 31, 2020, the board of directors of the Partnership approved and declared cash distributions of $26,754 and $7,582 for the common units and preference units, respectively held by non-controlling interests.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spacing w:after="0"/>
              <w:rPr>
                <w:sz w:val="20"/>
                <w:szCs w:val="20"/>
                <w:color w:val="auto"/>
              </w:rPr>
            </w:pPr>
            <w:r>
              <w:rPr>
                <w:rFonts w:ascii="Arial" w:cs="Arial" w:eastAsia="Arial" w:hAnsi="Arial"/>
                <w:sz w:val="16"/>
                <w:szCs w:val="16"/>
                <w:b w:val="1"/>
                <w:bCs w:val="1"/>
                <w:color w:val="auto"/>
              </w:rPr>
              <w:t>4. Investment in Associates</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9680" w:type="dxa"/>
            <w:vAlign w:val="bottom"/>
            <w:gridSpan w:val="2"/>
          </w:tcPr>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6"/>
        </w:trPr>
        <w:tc>
          <w:tcPr>
            <w:tcW w:w="3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340" w:type="dxa"/>
            <w:vAlign w:val="bottom"/>
          </w:tcPr>
          <w:p>
            <w:pPr>
              <w:spacing w:after="0"/>
              <w:rPr>
                <w:sz w:val="17"/>
                <w:szCs w:val="17"/>
                <w:color w:val="auto"/>
              </w:rPr>
            </w:pPr>
          </w:p>
        </w:tc>
        <w:tc>
          <w:tcPr>
            <w:tcW w:w="9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As of January 1, 2020</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21,620</w:t>
            </w:r>
          </w:p>
        </w:tc>
        <w:tc>
          <w:tcPr>
            <w:tcW w:w="60" w:type="dxa"/>
            <w:vAlign w:val="bottom"/>
          </w:tcPr>
          <w:p>
            <w:pPr>
              <w:spacing w:after="0"/>
              <w:rPr>
                <w:sz w:val="17"/>
                <w:szCs w:val="17"/>
                <w:color w:val="auto"/>
              </w:rPr>
            </w:pPr>
          </w:p>
        </w:tc>
      </w:tr>
      <w:tr>
        <w:trPr>
          <w:trHeight w:val="254"/>
        </w:trPr>
        <w:tc>
          <w:tcPr>
            <w:tcW w:w="9680" w:type="dxa"/>
            <w:vAlign w:val="bottom"/>
            <w:gridSpan w:val="2"/>
          </w:tcPr>
          <w:p>
            <w:pPr>
              <w:ind w:left="340"/>
              <w:spacing w:after="0"/>
              <w:rPr>
                <w:sz w:val="20"/>
                <w:szCs w:val="20"/>
                <w:color w:val="auto"/>
              </w:rPr>
            </w:pPr>
            <w:r>
              <w:rPr>
                <w:rFonts w:ascii="Arial" w:cs="Arial" w:eastAsia="Arial" w:hAnsi="Arial"/>
                <w:sz w:val="16"/>
                <w:szCs w:val="16"/>
                <w:color w:val="auto"/>
              </w:rPr>
              <w:t>Share of profit of associates</w:t>
            </w:r>
          </w:p>
        </w:tc>
        <w:tc>
          <w:tcPr>
            <w:tcW w:w="1480" w:type="dxa"/>
            <w:vAlign w:val="bottom"/>
          </w:tcPr>
          <w:p>
            <w:pPr>
              <w:jc w:val="right"/>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934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(875)</w:t>
            </w:r>
          </w:p>
        </w:tc>
        <w:tc>
          <w:tcPr>
            <w:tcW w:w="60" w:type="dxa"/>
            <w:vAlign w:val="bottom"/>
          </w:tcPr>
          <w:p>
            <w:pPr>
              <w:spacing w:after="0"/>
              <w:rPr>
                <w:sz w:val="22"/>
                <w:szCs w:val="22"/>
                <w:color w:val="auto"/>
              </w:rPr>
            </w:pPr>
          </w:p>
        </w:tc>
      </w:tr>
      <w:tr>
        <w:trPr>
          <w:trHeight w:val="233"/>
        </w:trPr>
        <w:tc>
          <w:tcPr>
            <w:tcW w:w="9680" w:type="dxa"/>
            <w:vAlign w:val="bottom"/>
            <w:gridSpan w:val="2"/>
          </w:tcPr>
          <w:p>
            <w:pPr>
              <w:ind w:left="340"/>
              <w:spacing w:after="0"/>
              <w:rPr>
                <w:sz w:val="20"/>
                <w:szCs w:val="20"/>
                <w:color w:val="auto"/>
              </w:rPr>
            </w:pPr>
            <w:r>
              <w:rPr>
                <w:rFonts w:ascii="Arial" w:cs="Arial" w:eastAsia="Arial" w:hAnsi="Arial"/>
                <w:sz w:val="16"/>
                <w:szCs w:val="16"/>
                <w:b w:val="1"/>
                <w:bCs w:val="1"/>
                <w:color w:val="auto"/>
              </w:rPr>
              <w:t>As of March 31,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21,151</w:t>
            </w:r>
          </w:p>
        </w:tc>
        <w:tc>
          <w:tcPr>
            <w:tcW w:w="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4940" w:type="dxa"/>
            <w:vAlign w:val="bottom"/>
            <w:gridSpan w:val="6"/>
          </w:tcPr>
          <w:p>
            <w:pPr>
              <w:spacing w:after="0"/>
              <w:rPr>
                <w:sz w:val="20"/>
                <w:szCs w:val="20"/>
                <w:color w:val="auto"/>
              </w:rPr>
            </w:pPr>
            <w:r>
              <w:rPr>
                <w:rFonts w:ascii="Arial" w:cs="Arial" w:eastAsia="Arial" w:hAnsi="Arial"/>
                <w:sz w:val="16"/>
                <w:szCs w:val="16"/>
                <w:b w:val="1"/>
                <w:bCs w:val="1"/>
                <w:color w:val="auto"/>
              </w:rPr>
              <w:t>5. Tangible Fixed Assets and Vessels Under Construction</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8"/>
          </w:tcPr>
          <w:p>
            <w:pPr>
              <w:ind w:left="240"/>
              <w:spacing w:after="0"/>
              <w:rPr>
                <w:sz w:val="20"/>
                <w:szCs w:val="20"/>
                <w:color w:val="auto"/>
              </w:rPr>
            </w:pPr>
            <w:r>
              <w:rPr>
                <w:rFonts w:ascii="Arial" w:cs="Arial" w:eastAsia="Arial" w:hAnsi="Arial"/>
                <w:sz w:val="16"/>
                <w:szCs w:val="16"/>
                <w:color w:val="auto"/>
              </w:rPr>
              <w:t>The movements in tangible fixed assets and vessels under construction are reported in the following table:</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Office property</w:t>
            </w: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Total</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and other tangible</w:t>
            </w: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tangible fixed</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Vessels under</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Vessels</w:t>
            </w: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assets</w:t>
            </w: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76"/>
              </w:rPr>
              <w:t>assets</w:t>
            </w: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construction</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E5FFFF"/>
              <w:bottom w:val="single" w:sz="8" w:color="auto"/>
            </w:tcBorders>
            <w:shd w:val="clear" w:color="auto" w:fill="E5FFFF"/>
          </w:tcPr>
          <w:p>
            <w:pPr>
              <w:spacing w:after="0" w:line="148" w:lineRule="exact"/>
              <w:rPr>
                <w:sz w:val="20"/>
                <w:szCs w:val="20"/>
                <w:color w:val="auto"/>
              </w:rPr>
            </w:pPr>
            <w:r>
              <w:rPr>
                <w:rFonts w:ascii="Arial" w:cs="Arial" w:eastAsia="Arial" w:hAnsi="Arial"/>
                <w:sz w:val="16"/>
                <w:szCs w:val="16"/>
                <w:b w:val="1"/>
                <w:bCs w:val="1"/>
                <w:color w:val="auto"/>
                <w:w w:val="78"/>
              </w:rPr>
              <w:t>Cost</w:t>
            </w:r>
          </w:p>
        </w:tc>
        <w:tc>
          <w:tcPr>
            <w:tcW w:w="4440" w:type="dxa"/>
            <w:vAlign w:val="bottom"/>
            <w:tcBorders>
              <w:top w:val="single" w:sz="8" w:color="E5FFFF"/>
              <w:bottom w:val="single" w:sz="8" w:color="E5FFFF"/>
            </w:tcBorders>
            <w:gridSpan w:val="3"/>
            <w:shd w:val="clear" w:color="auto" w:fill="E5FFFF"/>
          </w:tcPr>
          <w:p>
            <w:pPr>
              <w:spacing w:after="0"/>
              <w:rPr>
                <w:sz w:val="14"/>
                <w:szCs w:val="14"/>
                <w:color w:val="auto"/>
              </w:rPr>
            </w:pPr>
          </w:p>
        </w:tc>
        <w:tc>
          <w:tcPr>
            <w:tcW w:w="116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132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134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1360" w:type="dxa"/>
            <w:vAlign w:val="bottom"/>
            <w:tcBorders>
              <w:top w:val="single" w:sz="8" w:color="auto"/>
              <w:bottom w:val="single" w:sz="8" w:color="E5FFFF"/>
            </w:tcBorders>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4"/>
          </w:tcPr>
          <w:p>
            <w:pPr>
              <w:spacing w:after="0"/>
              <w:rPr>
                <w:sz w:val="20"/>
                <w:szCs w:val="20"/>
                <w:color w:val="auto"/>
              </w:rPr>
            </w:pPr>
            <w:r>
              <w:rPr>
                <w:rFonts w:ascii="Arial" w:cs="Arial" w:eastAsia="Arial" w:hAnsi="Arial"/>
                <w:sz w:val="16"/>
                <w:szCs w:val="16"/>
                <w:color w:val="auto"/>
              </w:rPr>
              <w:t>As of January 1, 2020</w:t>
            </w:r>
          </w:p>
        </w:tc>
        <w:tc>
          <w:tcPr>
            <w:tcW w:w="1160" w:type="dxa"/>
            <w:vAlign w:val="bottom"/>
          </w:tcPr>
          <w:p>
            <w:pPr>
              <w:jc w:val="right"/>
              <w:spacing w:after="0"/>
              <w:rPr>
                <w:sz w:val="20"/>
                <w:szCs w:val="20"/>
                <w:color w:val="auto"/>
              </w:rPr>
            </w:pPr>
            <w:r>
              <w:rPr>
                <w:rFonts w:ascii="Arial" w:cs="Arial" w:eastAsia="Arial" w:hAnsi="Arial"/>
                <w:sz w:val="16"/>
                <w:szCs w:val="16"/>
                <w:color w:val="auto"/>
              </w:rPr>
              <w:t>5,314,348</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25,164</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5,339,512</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203,323</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13,567</w:t>
            </w:r>
          </w:p>
        </w:tc>
        <w:tc>
          <w:tcPr>
            <w:tcW w:w="3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153</w:t>
            </w:r>
          </w:p>
        </w:tc>
        <w:tc>
          <w:tcPr>
            <w:tcW w:w="3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13,720</w:t>
            </w:r>
          </w:p>
        </w:tc>
        <w:tc>
          <w:tcPr>
            <w:tcW w:w="3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48,996</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(7,742)</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(7,742)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60" w:type="dxa"/>
            <w:vAlign w:val="bottom"/>
            <w:gridSpan w:val="5"/>
          </w:tcPr>
          <w:p>
            <w:pPr>
              <w:spacing w:after="0"/>
              <w:rPr>
                <w:sz w:val="20"/>
                <w:szCs w:val="20"/>
                <w:color w:val="auto"/>
              </w:rPr>
            </w:pPr>
            <w:r>
              <w:rPr>
                <w:rFonts w:ascii="Arial" w:cs="Arial" w:eastAsia="Arial" w:hAnsi="Arial"/>
                <w:sz w:val="16"/>
                <w:szCs w:val="16"/>
                <w:b w:val="1"/>
                <w:bCs w:val="1"/>
                <w:color w:val="auto"/>
              </w:rPr>
              <w:t>As of March 31, 2020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5,320,173</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25,317</w:t>
            </w:r>
          </w:p>
        </w:tc>
        <w:tc>
          <w:tcPr>
            <w:tcW w:w="3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5,345,490</w:t>
            </w:r>
          </w:p>
        </w:tc>
        <w:tc>
          <w:tcPr>
            <w:tcW w:w="3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252,319</w:t>
            </w:r>
          </w:p>
        </w:tc>
        <w:tc>
          <w:tcPr>
            <w:tcW w:w="0" w:type="dxa"/>
            <w:vAlign w:val="bottom"/>
          </w:tcPr>
          <w:p>
            <w:pPr>
              <w:spacing w:after="0"/>
              <w:rPr>
                <w:sz w:val="1"/>
                <w:szCs w:val="1"/>
                <w:color w:val="auto"/>
              </w:rPr>
            </w:pPr>
          </w:p>
        </w:tc>
      </w:tr>
      <w:tr>
        <w:trPr>
          <w:trHeight w:val="196"/>
        </w:trPr>
        <w:tc>
          <w:tcPr>
            <w:tcW w:w="1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7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E5FFFF"/>
            </w:tcBorders>
            <w:shd w:val="clear" w:color="auto" w:fill="E5FFFF"/>
          </w:tcPr>
          <w:p>
            <w:pPr>
              <w:spacing w:after="0"/>
              <w:rPr>
                <w:sz w:val="17"/>
                <w:szCs w:val="17"/>
                <w:color w:val="auto"/>
              </w:rPr>
            </w:pPr>
          </w:p>
        </w:tc>
        <w:tc>
          <w:tcPr>
            <w:tcW w:w="294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74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As of January 1, 2020</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907,192</w:t>
            </w:r>
          </w:p>
        </w:tc>
        <w:tc>
          <w:tcPr>
            <w:tcW w:w="3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5,255</w:t>
            </w:r>
          </w:p>
        </w:tc>
        <w:tc>
          <w:tcPr>
            <w:tcW w:w="3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912,447</w:t>
            </w:r>
          </w:p>
        </w:tc>
        <w:tc>
          <w:tcPr>
            <w:tcW w:w="3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4"/>
          </w:tcPr>
          <w:p>
            <w:pPr>
              <w:spacing w:after="0"/>
              <w:rPr>
                <w:sz w:val="20"/>
                <w:szCs w:val="20"/>
                <w:color w:val="auto"/>
              </w:rPr>
            </w:pPr>
            <w:r>
              <w:rPr>
                <w:rFonts w:ascii="Arial" w:cs="Arial" w:eastAsia="Arial" w:hAnsi="Arial"/>
                <w:sz w:val="16"/>
                <w:szCs w:val="16"/>
                <w:color w:val="auto"/>
              </w:rPr>
              <w:t>Depreciation expense</w:t>
            </w:r>
          </w:p>
        </w:tc>
        <w:tc>
          <w:tcPr>
            <w:tcW w:w="1160" w:type="dxa"/>
            <w:vAlign w:val="bottom"/>
          </w:tcPr>
          <w:p>
            <w:pPr>
              <w:jc w:val="right"/>
              <w:spacing w:after="0"/>
              <w:rPr>
                <w:sz w:val="20"/>
                <w:szCs w:val="20"/>
                <w:color w:val="auto"/>
              </w:rPr>
            </w:pPr>
            <w:r>
              <w:rPr>
                <w:rFonts w:ascii="Arial" w:cs="Arial" w:eastAsia="Arial" w:hAnsi="Arial"/>
                <w:sz w:val="16"/>
                <w:szCs w:val="16"/>
                <w:color w:val="auto"/>
              </w:rPr>
              <w:t>38,607</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201</w:t>
            </w: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38,808</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760" w:type="dxa"/>
            <w:vAlign w:val="bottom"/>
            <w:gridSpan w:val="5"/>
          </w:tcPr>
          <w:p>
            <w:pPr>
              <w:spacing w:after="0"/>
              <w:rPr>
                <w:sz w:val="20"/>
                <w:szCs w:val="20"/>
                <w:color w:val="auto"/>
              </w:rPr>
            </w:pPr>
            <w:r>
              <w:rPr>
                <w:rFonts w:ascii="Arial" w:cs="Arial" w:eastAsia="Arial" w:hAnsi="Arial"/>
                <w:sz w:val="16"/>
                <w:szCs w:val="16"/>
                <w:color w:val="auto"/>
              </w:rPr>
              <w:t>Fully amortized dry-docking component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(7,742)</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(7,742)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938,057</w:t>
            </w:r>
          </w:p>
        </w:tc>
        <w:tc>
          <w:tcPr>
            <w:tcW w:w="3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5,456</w:t>
            </w: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943,513</w:t>
            </w:r>
          </w:p>
        </w:tc>
        <w:tc>
          <w:tcPr>
            <w:tcW w:w="3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gridSpan w:val="2"/>
            <w:shd w:val="clear" w:color="auto" w:fill="E5FFFF"/>
          </w:tcPr>
          <w:p>
            <w:pPr>
              <w:spacing w:after="0" w:line="162" w:lineRule="exact"/>
              <w:rPr>
                <w:sz w:val="20"/>
                <w:szCs w:val="20"/>
                <w:color w:val="auto"/>
              </w:rPr>
            </w:pPr>
            <w:r>
              <w:rPr>
                <w:rFonts w:ascii="Arial" w:cs="Arial" w:eastAsia="Arial" w:hAnsi="Arial"/>
                <w:sz w:val="16"/>
                <w:szCs w:val="16"/>
                <w:b w:val="1"/>
                <w:bCs w:val="1"/>
                <w:color w:val="auto"/>
                <w:w w:val="87"/>
              </w:rPr>
              <w:t>Net book value</w:t>
            </w:r>
          </w:p>
        </w:tc>
        <w:tc>
          <w:tcPr>
            <w:tcW w:w="3720" w:type="dxa"/>
            <w:vAlign w:val="bottom"/>
            <w:tcBorders>
              <w:bottom w:val="single" w:sz="8" w:color="E5FFFF"/>
            </w:tcBorders>
            <w:gridSpan w:val="2"/>
            <w:shd w:val="clear" w:color="auto" w:fill="E5FFFF"/>
          </w:tcPr>
          <w:p>
            <w:pPr>
              <w:spacing w:after="0"/>
              <w:rPr>
                <w:sz w:val="15"/>
                <w:szCs w:val="15"/>
                <w:color w:val="auto"/>
              </w:rPr>
            </w:pPr>
          </w:p>
        </w:tc>
        <w:tc>
          <w:tcPr>
            <w:tcW w:w="11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32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34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3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December 31, 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4,407,156</w:t>
            </w:r>
          </w:p>
        </w:tc>
        <w:tc>
          <w:tcPr>
            <w:tcW w:w="3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19,909</w:t>
            </w:r>
          </w:p>
        </w:tc>
        <w:tc>
          <w:tcPr>
            <w:tcW w:w="3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4,427,065</w:t>
            </w:r>
          </w:p>
        </w:tc>
        <w:tc>
          <w:tcPr>
            <w:tcW w:w="32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203,323</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4,382,116</w:t>
            </w:r>
          </w:p>
        </w:tc>
        <w:tc>
          <w:tcPr>
            <w:tcW w:w="3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19,861</w:t>
            </w:r>
          </w:p>
        </w:tc>
        <w:tc>
          <w:tcPr>
            <w:tcW w:w="3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4,401,977</w:t>
            </w:r>
          </w:p>
        </w:tc>
        <w:tc>
          <w:tcPr>
            <w:tcW w:w="3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252,319</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120" w:firstLine="436"/>
        <w:spacing w:after="0" w:line="293" w:lineRule="auto"/>
        <w:rPr>
          <w:sz w:val="20"/>
          <w:szCs w:val="20"/>
          <w:color w:val="auto"/>
        </w:rPr>
      </w:pPr>
      <w:r>
        <w:rPr>
          <w:rFonts w:ascii="Arial" w:cs="Arial" w:eastAsia="Arial" w:hAnsi="Arial"/>
          <w:sz w:val="16"/>
          <w:szCs w:val="16"/>
          <w:color w:val="auto"/>
        </w:rPr>
        <w:t>Vessels with an aggregate carrying amount of $4,382,116 as of March 31, 2020 (December 31, 2019: $4,407,156) have been pledged as collateral under the terms of the Group’s loan agreements.</w:t>
      </w:r>
    </w:p>
    <w:p>
      <w:pPr>
        <w:spacing w:after="0" w:line="172" w:lineRule="exact"/>
        <w:rPr>
          <w:sz w:val="20"/>
          <w:szCs w:val="20"/>
          <w:color w:val="auto"/>
        </w:rPr>
      </w:pPr>
    </w:p>
    <w:p>
      <w:pPr>
        <w:ind w:firstLine="436"/>
        <w:spacing w:after="0" w:line="293" w:lineRule="auto"/>
        <w:rPr>
          <w:sz w:val="20"/>
          <w:szCs w:val="20"/>
          <w:color w:val="auto"/>
        </w:rPr>
      </w:pPr>
      <w:r>
        <w:rPr>
          <w:rFonts w:ascii="Arial" w:cs="Arial" w:eastAsia="Arial" w:hAnsi="Arial"/>
          <w:sz w:val="15"/>
          <w:szCs w:val="15"/>
          <w:color w:val="auto"/>
        </w:rPr>
        <w:t>On October 11, 2016, GasLog LNG Services Ltd. entered into an arrangement whereby it would have access to all long lead items (“LLIs”) necessary for the conversion of a GasLog LNG carrier vessel into an Floating Storage and Regasification Units (“FSRU”) whereby such conversion work would be undertaken by Keppel Shipyard Limited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GasLog has the following newbuildings on order at Samsung: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 of</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Estimated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Capacity</w:t>
            </w:r>
          </w:p>
        </w:tc>
      </w:tr>
      <w:tr>
        <w:trPr>
          <w:trHeight w:val="213"/>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LNG Carrier</w:t>
            </w: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agreement</w:t>
            </w: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delivery</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(cbm)</w:t>
            </w:r>
          </w:p>
        </w:tc>
      </w:tr>
      <w:tr>
        <w:trPr>
          <w:trHeight w:val="199"/>
        </w:trPr>
        <w:tc>
          <w:tcPr>
            <w:tcW w:w="21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GasLog Windsor</w:t>
            </w:r>
          </w:p>
        </w:tc>
        <w:tc>
          <w:tcPr>
            <w:tcW w:w="1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January 2018</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6"/>
                <w:szCs w:val="16"/>
                <w:color w:val="auto"/>
                <w:w w:val="89"/>
              </w:rPr>
              <w:t>Q2 2020</w:t>
            </w:r>
            <w:r>
              <w:rPr>
                <w:rFonts w:ascii="Arial" w:cs="Arial" w:eastAsia="Arial" w:hAnsi="Arial"/>
                <w:sz w:val="21"/>
                <w:szCs w:val="21"/>
                <w:color w:val="auto"/>
                <w:w w:val="89"/>
                <w:vertAlign w:val="superscript"/>
              </w:rPr>
              <w:t>(1)</w:t>
            </w:r>
          </w:p>
        </w:tc>
        <w:tc>
          <w:tcPr>
            <w:tcW w:w="2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180,000</w:t>
            </w:r>
          </w:p>
        </w:tc>
      </w:tr>
      <w:tr>
        <w:trPr>
          <w:trHeight w:val="203"/>
        </w:trPr>
        <w:tc>
          <w:tcPr>
            <w:tcW w:w="226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Wales</w:t>
            </w:r>
          </w:p>
        </w:tc>
        <w:tc>
          <w:tcPr>
            <w:tcW w:w="17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4"/>
              </w:rPr>
              <w:t>March 2018</w:t>
            </w:r>
          </w:p>
        </w:tc>
        <w:tc>
          <w:tcPr>
            <w:tcW w:w="15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Q2 2020</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r>
      <w:tr>
        <w:trPr>
          <w:trHeight w:val="203"/>
        </w:trPr>
        <w:tc>
          <w:tcPr>
            <w:tcW w:w="2260" w:type="dxa"/>
            <w:vAlign w:val="bottom"/>
            <w:gridSpan w:val="2"/>
          </w:tcPr>
          <w:p>
            <w:pPr>
              <w:spacing w:after="0"/>
              <w:rPr>
                <w:sz w:val="20"/>
                <w:szCs w:val="20"/>
                <w:color w:val="auto"/>
              </w:rPr>
            </w:pPr>
            <w:r>
              <w:rPr>
                <w:rFonts w:ascii="Arial" w:cs="Arial" w:eastAsia="Arial" w:hAnsi="Arial"/>
                <w:sz w:val="16"/>
                <w:szCs w:val="16"/>
                <w:color w:val="auto"/>
              </w:rPr>
              <w:t>Hull No. 2262</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Q3 2020</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180,000</w:t>
            </w:r>
          </w:p>
        </w:tc>
      </w:tr>
      <w:tr>
        <w:trPr>
          <w:trHeight w:val="203"/>
        </w:trPr>
        <w:tc>
          <w:tcPr>
            <w:tcW w:w="22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2300</w:t>
            </w:r>
          </w:p>
        </w:tc>
        <w:tc>
          <w:tcPr>
            <w:tcW w:w="17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August 2018</w:t>
            </w:r>
          </w:p>
        </w:tc>
        <w:tc>
          <w:tcPr>
            <w:tcW w:w="15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Q4 2020</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r>
      <w:tr>
        <w:trPr>
          <w:trHeight w:val="203"/>
        </w:trPr>
        <w:tc>
          <w:tcPr>
            <w:tcW w:w="2260" w:type="dxa"/>
            <w:vAlign w:val="bottom"/>
            <w:gridSpan w:val="2"/>
          </w:tcPr>
          <w:p>
            <w:pPr>
              <w:spacing w:after="0"/>
              <w:rPr>
                <w:sz w:val="20"/>
                <w:szCs w:val="20"/>
                <w:color w:val="auto"/>
              </w:rPr>
            </w:pPr>
            <w:r>
              <w:rPr>
                <w:rFonts w:ascii="Arial" w:cs="Arial" w:eastAsia="Arial" w:hAnsi="Arial"/>
                <w:sz w:val="16"/>
                <w:szCs w:val="16"/>
                <w:color w:val="auto"/>
              </w:rPr>
              <w:t>Hull No. 2301</w:t>
            </w: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August 2018</w:t>
            </w: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Q1 2021</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174,000</w:t>
            </w:r>
          </w:p>
        </w:tc>
      </w:tr>
      <w:tr>
        <w:trPr>
          <w:trHeight w:val="203"/>
        </w:trPr>
        <w:tc>
          <w:tcPr>
            <w:tcW w:w="22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2311</w:t>
            </w:r>
          </w:p>
        </w:tc>
        <w:tc>
          <w:tcPr>
            <w:tcW w:w="17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December 2018</w:t>
            </w:r>
          </w:p>
        </w:tc>
        <w:tc>
          <w:tcPr>
            <w:tcW w:w="15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Q2 2021</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r>
      <w:tr>
        <w:trPr>
          <w:trHeight w:val="206"/>
        </w:trPr>
        <w:tc>
          <w:tcPr>
            <w:tcW w:w="2260" w:type="dxa"/>
            <w:vAlign w:val="bottom"/>
            <w:gridSpan w:val="2"/>
          </w:tcPr>
          <w:p>
            <w:pPr>
              <w:spacing w:after="0"/>
              <w:rPr>
                <w:sz w:val="20"/>
                <w:szCs w:val="20"/>
                <w:color w:val="auto"/>
              </w:rPr>
            </w:pPr>
            <w:r>
              <w:rPr>
                <w:rFonts w:ascii="Arial" w:cs="Arial" w:eastAsia="Arial" w:hAnsi="Arial"/>
                <w:sz w:val="16"/>
                <w:szCs w:val="16"/>
                <w:color w:val="auto"/>
              </w:rPr>
              <w:t>Hull No. 2312</w:t>
            </w: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2018</w:t>
            </w: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Q3 2021</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180,000</w:t>
            </w:r>
          </w:p>
        </w:tc>
      </w:tr>
    </w:tbl>
    <w:p>
      <w:pPr>
        <w:spacing w:after="0" w:line="169"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The vessel was delivered on April 1, 2020 (Note 22)</w:t>
      </w:r>
    </w:p>
    <w:p>
      <w:pPr>
        <w:spacing w:after="0" w:line="191" w:lineRule="exact"/>
        <w:rPr>
          <w:sz w:val="20"/>
          <w:szCs w:val="20"/>
          <w:color w:val="auto"/>
        </w:rPr>
      </w:pPr>
    </w:p>
    <w:p>
      <w:pPr>
        <w:ind w:right="16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March 31, 2020, the Group has paid to the shipyard $244,011 for the vessels that are under construction and expects to pay the remaining installments as they come due upon each vessel’s keel laying, launching and delivery (Note 16).</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320" w:type="dxa"/>
            <w:vAlign w:val="bottom"/>
          </w:tcPr>
          <w:p>
            <w:pPr>
              <w:ind w:left="360"/>
              <w:spacing w:after="0"/>
              <w:rPr>
                <w:sz w:val="20"/>
                <w:szCs w:val="20"/>
                <w:color w:val="auto"/>
              </w:rPr>
            </w:pPr>
            <w:r>
              <w:rPr>
                <w:rFonts w:ascii="Arial" w:cs="Arial" w:eastAsia="Arial" w:hAnsi="Arial"/>
                <w:sz w:val="16"/>
                <w:szCs w:val="16"/>
                <w:color w:val="auto"/>
                <w:w w:val="99"/>
              </w:rPr>
              <w:t>The vessels under construction costs as of December 31, 2019 and March 31, 2020 are as follows:</w:t>
            </w: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2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10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 2019</w:t>
            </w: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20" w:type="dxa"/>
            <w:vAlign w:val="bottom"/>
          </w:tcPr>
          <w:p>
            <w:pPr>
              <w:spacing w:after="0"/>
              <w:rPr>
                <w:sz w:val="17"/>
                <w:szCs w:val="17"/>
                <w:color w:val="auto"/>
              </w:rPr>
            </w:pPr>
          </w:p>
        </w:tc>
        <w:tc>
          <w:tcPr>
            <w:tcW w:w="7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197,637</w:t>
            </w:r>
          </w:p>
        </w:tc>
        <w:tc>
          <w:tcPr>
            <w:tcW w:w="3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244,011</w:t>
            </w: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780" w:type="dxa"/>
            <w:vAlign w:val="bottom"/>
          </w:tcPr>
          <w:p>
            <w:pPr>
              <w:jc w:val="right"/>
              <w:spacing w:after="0"/>
              <w:rPr>
                <w:sz w:val="20"/>
                <w:szCs w:val="20"/>
                <w:color w:val="auto"/>
              </w:rPr>
            </w:pPr>
            <w:r>
              <w:rPr>
                <w:rFonts w:ascii="Arial" w:cs="Arial" w:eastAsia="Arial" w:hAnsi="Arial"/>
                <w:sz w:val="16"/>
                <w:szCs w:val="16"/>
                <w:color w:val="auto"/>
              </w:rPr>
              <w:t>3,879</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4,847</w:t>
            </w:r>
          </w:p>
        </w:tc>
      </w:tr>
      <w:tr>
        <w:trPr>
          <w:trHeight w:val="203"/>
        </w:trPr>
        <w:tc>
          <w:tcPr>
            <w:tcW w:w="20" w:type="dxa"/>
            <w:vAlign w:val="bottom"/>
          </w:tcPr>
          <w:p>
            <w:pPr>
              <w:spacing w:after="0"/>
              <w:rPr>
                <w:sz w:val="17"/>
                <w:szCs w:val="17"/>
                <w:color w:val="auto"/>
              </w:rPr>
            </w:pPr>
          </w:p>
        </w:tc>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1,807</w:t>
            </w:r>
          </w:p>
        </w:tc>
        <w:tc>
          <w:tcPr>
            <w:tcW w:w="320" w:type="dxa"/>
            <w:vAlign w:val="bottom"/>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3,461</w:t>
            </w:r>
          </w:p>
        </w:tc>
      </w:tr>
      <w:tr>
        <w:trPr>
          <w:trHeight w:val="203"/>
        </w:trPr>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203,323</w:t>
            </w:r>
          </w:p>
        </w:tc>
        <w:tc>
          <w:tcPr>
            <w:tcW w:w="3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252,319</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6. Leases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are reported in the following table: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ind w:left="100"/>
              <w:spacing w:after="0"/>
              <w:rPr>
                <w:sz w:val="20"/>
                <w:szCs w:val="20"/>
                <w:color w:val="auto"/>
              </w:rPr>
            </w:pPr>
            <w:r>
              <w:rPr>
                <w:rFonts w:ascii="Arial" w:cs="Arial" w:eastAsia="Arial" w:hAnsi="Arial"/>
                <w:sz w:val="16"/>
                <w:szCs w:val="16"/>
                <w:b w:val="1"/>
                <w:bCs w:val="1"/>
                <w:color w:val="auto"/>
              </w:rPr>
              <w:t>Right-of-Use Assets</w:t>
            </w:r>
          </w:p>
        </w:tc>
        <w:tc>
          <w:tcPr>
            <w:tcW w:w="1540" w:type="dxa"/>
            <w:vAlign w:val="bottom"/>
            <w:gridSpan w:val="2"/>
          </w:tcPr>
          <w:p>
            <w:pPr>
              <w:ind w:left="400"/>
              <w:spacing w:after="0"/>
              <w:rPr>
                <w:sz w:val="20"/>
                <w:szCs w:val="20"/>
                <w:color w:val="auto"/>
              </w:rPr>
            </w:pPr>
            <w:r>
              <w:rPr>
                <w:rFonts w:ascii="Arial" w:cs="Arial" w:eastAsia="Arial" w:hAnsi="Arial"/>
                <w:sz w:val="16"/>
                <w:szCs w:val="16"/>
                <w:b w:val="1"/>
                <w:bCs w:val="1"/>
                <w:color w:val="auto"/>
              </w:rPr>
              <w:t>Vessels</w:t>
            </w:r>
          </w:p>
        </w:tc>
        <w:tc>
          <w:tcPr>
            <w:tcW w:w="1960" w:type="dxa"/>
            <w:vAlign w:val="bottom"/>
            <w:gridSpan w:val="2"/>
          </w:tcPr>
          <w:p>
            <w:pPr>
              <w:ind w:left="240"/>
              <w:spacing w:after="0"/>
              <w:rPr>
                <w:sz w:val="20"/>
                <w:szCs w:val="20"/>
                <w:color w:val="auto"/>
              </w:rPr>
            </w:pPr>
            <w:r>
              <w:rPr>
                <w:rFonts w:ascii="Arial" w:cs="Arial" w:eastAsia="Arial" w:hAnsi="Arial"/>
                <w:sz w:val="16"/>
                <w:szCs w:val="16"/>
                <w:b w:val="1"/>
                <w:bCs w:val="1"/>
                <w:color w:val="auto"/>
              </w:rPr>
              <w:t>Vessel Equipment</w:t>
            </w:r>
          </w:p>
        </w:tc>
        <w:tc>
          <w:tcPr>
            <w:tcW w:w="1380" w:type="dxa"/>
            <w:vAlign w:val="bottom"/>
          </w:tcPr>
          <w:p>
            <w:pPr>
              <w:ind w:left="600"/>
              <w:spacing w:after="0"/>
              <w:rPr>
                <w:sz w:val="20"/>
                <w:szCs w:val="20"/>
                <w:color w:val="auto"/>
              </w:rPr>
            </w:pPr>
            <w:r>
              <w:rPr>
                <w:rFonts w:ascii="Arial" w:cs="Arial" w:eastAsia="Arial" w:hAnsi="Arial"/>
                <w:sz w:val="16"/>
                <w:szCs w:val="16"/>
                <w:b w:val="1"/>
                <w:bCs w:val="1"/>
                <w:color w:val="auto"/>
                <w:w w:val="95"/>
              </w:rPr>
              <w:t>Properties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9"/>
        </w:trPr>
        <w:tc>
          <w:tcPr>
            <w:tcW w:w="2540" w:type="dxa"/>
            <w:vAlign w:val="bottom"/>
            <w:tcBorders>
              <w:top w:val="single" w:sz="8" w:color="E5FFFF"/>
            </w:tcBorders>
            <w:shd w:val="clear" w:color="auto" w:fill="E5FFFF"/>
          </w:tcPr>
          <w:p>
            <w:pPr>
              <w:ind w:left="100"/>
              <w:spacing w:after="0"/>
              <w:rPr>
                <w:sz w:val="20"/>
                <w:szCs w:val="20"/>
                <w:color w:val="auto"/>
              </w:rPr>
            </w:pPr>
            <w:r>
              <w:rPr>
                <w:rFonts w:ascii="Arial" w:cs="Arial" w:eastAsia="Arial" w:hAnsi="Arial"/>
                <w:sz w:val="16"/>
                <w:szCs w:val="16"/>
                <w:color w:val="auto"/>
              </w:rPr>
              <w:t>As of January 1, 2020</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200,032</w:t>
            </w:r>
          </w:p>
        </w:tc>
        <w:tc>
          <w:tcPr>
            <w:tcW w:w="26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1,857</w:t>
            </w: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w w:val="99"/>
              </w:rPr>
              <w:t>4,550</w:t>
            </w:r>
          </w:p>
        </w:tc>
        <w:tc>
          <w:tcPr>
            <w:tcW w:w="24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56</w:t>
            </w:r>
          </w:p>
        </w:tc>
        <w:tc>
          <w:tcPr>
            <w:tcW w:w="2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206,495</w:t>
            </w:r>
          </w:p>
        </w:tc>
      </w:tr>
      <w:tr>
        <w:trPr>
          <w:trHeight w:val="203"/>
        </w:trPr>
        <w:tc>
          <w:tcPr>
            <w:tcW w:w="2540" w:type="dxa"/>
            <w:vAlign w:val="bottom"/>
          </w:tcPr>
          <w:p>
            <w:pPr>
              <w:ind w:left="100"/>
              <w:spacing w:after="0"/>
              <w:rPr>
                <w:sz w:val="20"/>
                <w:szCs w:val="20"/>
                <w:color w:val="auto"/>
              </w:rPr>
            </w:pPr>
            <w:r>
              <w:rPr>
                <w:rFonts w:ascii="Arial" w:cs="Arial" w:eastAsia="Arial" w:hAnsi="Arial"/>
                <w:sz w:val="16"/>
                <w:szCs w:val="16"/>
                <w:color w:val="auto"/>
              </w:rPr>
              <w:t>Additions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1,964</w:t>
            </w:r>
          </w:p>
        </w:tc>
        <w:tc>
          <w:tcPr>
            <w:tcW w:w="26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2,801</w:t>
            </w:r>
          </w:p>
        </w:tc>
      </w:tr>
      <w:tr>
        <w:trPr>
          <w:trHeight w:val="203"/>
        </w:trPr>
        <w:tc>
          <w:tcPr>
            <w:tcW w:w="2540" w:type="dxa"/>
            <w:vAlign w:val="bottom"/>
            <w:shd w:val="clear" w:color="auto" w:fill="E5FFFF"/>
          </w:tcPr>
          <w:p>
            <w:pPr>
              <w:ind w:left="100"/>
              <w:spacing w:after="0"/>
              <w:rPr>
                <w:sz w:val="20"/>
                <w:szCs w:val="20"/>
                <w:color w:val="auto"/>
              </w:rPr>
            </w:pPr>
            <w:r>
              <w:rPr>
                <w:rFonts w:ascii="Arial" w:cs="Arial" w:eastAsia="Arial" w:hAnsi="Arial"/>
                <w:sz w:val="16"/>
                <w:szCs w:val="16"/>
                <w:color w:val="auto"/>
              </w:rPr>
              <w:t>Depreciation expense</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(1,952)</w:t>
            </w:r>
          </w:p>
        </w:tc>
        <w:tc>
          <w:tcPr>
            <w:tcW w:w="260" w:type="dxa"/>
            <w:vAlign w:val="bottom"/>
            <w:shd w:val="clear" w:color="auto" w:fill="E5FFFF"/>
          </w:tcPr>
          <w:p>
            <w:pPr>
              <w:spacing w:after="0"/>
              <w:rPr>
                <w:sz w:val="17"/>
                <w:szCs w:val="17"/>
                <w:color w:val="auto"/>
              </w:rPr>
            </w:pPr>
          </w:p>
        </w:tc>
        <w:tc>
          <w:tcPr>
            <w:tcW w:w="174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(429)</w:t>
            </w:r>
          </w:p>
        </w:tc>
        <w:tc>
          <w:tcPr>
            <w:tcW w:w="240" w:type="dxa"/>
            <w:vAlign w:val="bottom"/>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(17)</w:t>
            </w:r>
          </w:p>
        </w:tc>
        <w:tc>
          <w:tcPr>
            <w:tcW w:w="220" w:type="dxa"/>
            <w:vAlign w:val="bottom"/>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(2,689)</w:t>
            </w:r>
          </w:p>
        </w:tc>
      </w:tr>
      <w:tr>
        <w:trPr>
          <w:trHeight w:val="203"/>
        </w:trPr>
        <w:tc>
          <w:tcPr>
            <w:tcW w:w="2540" w:type="dxa"/>
            <w:vAlign w:val="bottom"/>
          </w:tcPr>
          <w:p>
            <w:pPr>
              <w:ind w:left="100"/>
              <w:spacing w:after="0"/>
              <w:rPr>
                <w:sz w:val="20"/>
                <w:szCs w:val="20"/>
                <w:color w:val="auto"/>
              </w:rPr>
            </w:pPr>
            <w:r>
              <w:rPr>
                <w:rFonts w:ascii="Arial" w:cs="Arial" w:eastAsia="Arial" w:hAnsi="Arial"/>
                <w:sz w:val="16"/>
                <w:szCs w:val="16"/>
                <w:b w:val="1"/>
                <w:bCs w:val="1"/>
                <w:color w:val="auto"/>
              </w:rPr>
              <w:t>As of March 31, 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200,044</w:t>
            </w:r>
          </w:p>
        </w:tc>
        <w:tc>
          <w:tcPr>
            <w:tcW w:w="260" w:type="dxa"/>
            <w:vAlign w:val="bottom"/>
          </w:tcPr>
          <w:p>
            <w:pPr>
              <w:spacing w:after="0"/>
              <w:rPr>
                <w:sz w:val="17"/>
                <w:szCs w:val="17"/>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1,828</w:t>
            </w:r>
          </w:p>
        </w:tc>
        <w:tc>
          <w:tcPr>
            <w:tcW w:w="2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4,637</w:t>
            </w:r>
          </w:p>
        </w:tc>
        <w:tc>
          <w:tcPr>
            <w:tcW w:w="2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206,607</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ind w:left="440"/>
              <w:spacing w:after="0"/>
              <w:rPr>
                <w:sz w:val="20"/>
                <w:szCs w:val="20"/>
                <w:color w:val="auto"/>
              </w:rPr>
            </w:pPr>
            <w:r>
              <w:rPr>
                <w:rFonts w:ascii="Arial" w:cs="Arial" w:eastAsia="Arial" w:hAnsi="Arial"/>
                <w:sz w:val="16"/>
                <w:szCs w:val="16"/>
                <w:color w:val="auto"/>
              </w:rPr>
              <w:t>An analysis of the lease liabilities is as follows:</w:t>
            </w: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9"/>
        </w:trPr>
        <w:tc>
          <w:tcPr>
            <w:tcW w:w="8020" w:type="dxa"/>
            <w:vAlign w:val="bottom"/>
          </w:tcPr>
          <w:p>
            <w:pPr>
              <w:spacing w:after="0"/>
              <w:rPr>
                <w:sz w:val="24"/>
                <w:szCs w:val="24"/>
                <w:color w:val="auto"/>
              </w:rPr>
            </w:pPr>
          </w:p>
        </w:tc>
        <w:tc>
          <w:tcPr>
            <w:tcW w:w="2280" w:type="dxa"/>
            <w:vAlign w:val="bottom"/>
            <w:gridSpan w:val="3"/>
          </w:tcPr>
          <w:p>
            <w:pPr>
              <w:ind w:left="1100"/>
              <w:spacing w:after="0"/>
              <w:rPr>
                <w:sz w:val="20"/>
                <w:szCs w:val="20"/>
                <w:color w:val="auto"/>
              </w:rPr>
            </w:pPr>
            <w:r>
              <w:rPr>
                <w:rFonts w:ascii="Arial" w:cs="Arial" w:eastAsia="Arial" w:hAnsi="Arial"/>
                <w:sz w:val="16"/>
                <w:szCs w:val="16"/>
                <w:b w:val="1"/>
                <w:bCs w:val="1"/>
                <w:color w:val="auto"/>
                <w:w w:val="93"/>
              </w:rPr>
              <w:t>Lease Liabilities</w:t>
            </w:r>
          </w:p>
        </w:tc>
      </w:tr>
      <w:tr>
        <w:trPr>
          <w:trHeight w:val="202"/>
        </w:trPr>
        <w:tc>
          <w:tcPr>
            <w:tcW w:w="8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January 1, 2020</w:t>
            </w:r>
          </w:p>
        </w:tc>
        <w:tc>
          <w:tcPr>
            <w:tcW w:w="2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204,930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Arial" w:cs="Arial" w:eastAsia="Arial" w:hAnsi="Arial"/>
                <w:sz w:val="16"/>
                <w:szCs w:val="16"/>
                <w:color w:val="auto"/>
              </w:rPr>
              <w:t>Additions</w:t>
            </w:r>
          </w:p>
        </w:tc>
        <w:tc>
          <w:tcPr>
            <w:tcW w:w="2220" w:type="dxa"/>
            <w:vAlign w:val="bottom"/>
          </w:tcPr>
          <w:p>
            <w:pPr>
              <w:jc w:val="right"/>
              <w:spacing w:after="0"/>
              <w:rPr>
                <w:sz w:val="20"/>
                <w:szCs w:val="20"/>
                <w:color w:val="auto"/>
              </w:rPr>
            </w:pPr>
            <w:r>
              <w:rPr>
                <w:rFonts w:ascii="Arial" w:cs="Arial" w:eastAsia="Arial" w:hAnsi="Arial"/>
                <w:sz w:val="16"/>
                <w:szCs w:val="16"/>
                <w:color w:val="auto"/>
              </w:rPr>
              <w:t>836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Lease charge (Note 18)</w:t>
            </w:r>
          </w:p>
        </w:tc>
        <w:tc>
          <w:tcPr>
            <w:tcW w:w="2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Payments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2220" w:type="dxa"/>
            <w:vAlign w:val="bottom"/>
          </w:tcPr>
          <w:p>
            <w:pPr>
              <w:jc w:val="right"/>
              <w:spacing w:after="0"/>
              <w:rPr>
                <w:sz w:val="20"/>
                <w:szCs w:val="20"/>
                <w:color w:val="auto"/>
              </w:rPr>
            </w:pPr>
            <w:r>
              <w:rPr>
                <w:rFonts w:ascii="Arial" w:cs="Arial" w:eastAsia="Arial" w:hAnsi="Arial"/>
                <w:sz w:val="16"/>
                <w:szCs w:val="16"/>
                <w:color w:val="auto"/>
              </w:rPr>
              <w:t>9,694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193,445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203,139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6" w:lineRule="exact"/>
        <w:rPr>
          <w:sz w:val="20"/>
          <w:szCs w:val="20"/>
          <w:color w:val="auto"/>
        </w:rPr>
      </w:pPr>
    </w:p>
    <w:p>
      <w:pPr>
        <w:ind w:right="480" w:firstLine="383"/>
        <w:spacing w:after="0" w:line="328" w:lineRule="auto"/>
        <w:rPr>
          <w:sz w:val="20"/>
          <w:szCs w:val="20"/>
          <w:color w:val="auto"/>
        </w:rPr>
      </w:pPr>
      <w:r>
        <w:rPr>
          <w:rFonts w:ascii="Arial" w:cs="Arial" w:eastAsia="Arial" w:hAnsi="Arial"/>
          <w:sz w:val="15"/>
          <w:szCs w:val="15"/>
          <w:color w:val="auto"/>
        </w:rPr>
        <w:t>An amount of $151 has been recognized in the unaudited condensed consolidated statement of profit or loss for the three months ended March 31, 2020, which represents the lease expense incurred for low value leases not included in the measurement of the right-of-use assets and the lease liabilities.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20"/>
                <w:szCs w:val="20"/>
                <w:color w:val="auto"/>
              </w:rPr>
            </w:pPr>
            <w:r>
              <w:rPr>
                <w:rFonts w:ascii="Arial" w:cs="Arial" w:eastAsia="Arial" w:hAnsi="Arial"/>
                <w:sz w:val="16"/>
                <w:szCs w:val="16"/>
                <w:b w:val="1"/>
                <w:bCs w:val="1"/>
                <w:color w:val="auto"/>
              </w:rPr>
              <w:t>7. Other Non-Current Assets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18"/>
        </w:trPr>
        <w:tc>
          <w:tcPr>
            <w:tcW w:w="7060" w:type="dxa"/>
            <w:vAlign w:val="bottom"/>
          </w:tcPr>
          <w:p>
            <w:pPr>
              <w:ind w:left="340"/>
              <w:spacing w:after="0"/>
              <w:rPr>
                <w:sz w:val="20"/>
                <w:szCs w:val="20"/>
                <w:color w:val="auto"/>
              </w:rPr>
            </w:pPr>
            <w:r>
              <w:rPr>
                <w:rFonts w:ascii="Arial" w:cs="Arial" w:eastAsia="Arial" w:hAnsi="Arial"/>
                <w:sz w:val="16"/>
                <w:szCs w:val="16"/>
                <w:color w:val="auto"/>
              </w:rPr>
              <w:t>Other non-current assets consist of the following: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1"/>
        </w:trPr>
        <w:tc>
          <w:tcPr>
            <w:tcW w:w="7060" w:type="dxa"/>
            <w:vAlign w:val="bottom"/>
          </w:tcPr>
          <w:p>
            <w:pPr>
              <w:spacing w:after="0"/>
              <w:rPr>
                <w:sz w:val="24"/>
                <w:szCs w:val="24"/>
                <w:color w:val="auto"/>
              </w:rPr>
            </w:pPr>
          </w:p>
        </w:tc>
        <w:tc>
          <w:tcPr>
            <w:tcW w:w="230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 2019</w:t>
            </w: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Various guarantees</w:t>
            </w: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388</w:t>
            </w:r>
          </w:p>
        </w:tc>
        <w:tc>
          <w:tcPr>
            <w:tcW w:w="140" w:type="dxa"/>
            <w:vAlign w:val="bottom"/>
            <w:tcBorders>
              <w:top w:val="single" w:sz="8" w:color="auto"/>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371</w:t>
            </w:r>
          </w:p>
        </w:tc>
      </w:tr>
      <w:tr>
        <w:trPr>
          <w:trHeight w:val="203"/>
        </w:trPr>
        <w:tc>
          <w:tcPr>
            <w:tcW w:w="7060" w:type="dxa"/>
            <w:vAlign w:val="bottom"/>
          </w:tcPr>
          <w:p>
            <w:pPr>
              <w:spacing w:after="0"/>
              <w:rPr>
                <w:sz w:val="20"/>
                <w:szCs w:val="20"/>
                <w:color w:val="auto"/>
              </w:rPr>
            </w:pPr>
            <w:r>
              <w:rPr>
                <w:rFonts w:ascii="Arial" w:cs="Arial" w:eastAsia="Arial" w:hAnsi="Arial"/>
                <w:sz w:val="16"/>
                <w:szCs w:val="16"/>
                <w:color w:val="auto"/>
              </w:rPr>
              <w:t>Other long-term assets</w:t>
            </w:r>
          </w:p>
        </w:tc>
        <w:tc>
          <w:tcPr>
            <w:tcW w:w="1740" w:type="dxa"/>
            <w:vAlign w:val="bottom"/>
          </w:tcPr>
          <w:p>
            <w:pPr>
              <w:jc w:val="right"/>
              <w:spacing w:after="0"/>
              <w:rPr>
                <w:sz w:val="20"/>
                <w:szCs w:val="20"/>
                <w:color w:val="auto"/>
              </w:rPr>
            </w:pPr>
            <w:r>
              <w:rPr>
                <w:rFonts w:ascii="Arial" w:cs="Arial" w:eastAsia="Arial" w:hAnsi="Arial"/>
                <w:sz w:val="16"/>
                <w:szCs w:val="16"/>
                <w:color w:val="auto"/>
              </w:rPr>
              <w:t>1,613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203"/>
        </w:trPr>
        <w:tc>
          <w:tcPr>
            <w:tcW w:w="7060" w:type="dxa"/>
            <w:vAlign w:val="bottom"/>
            <w:shd w:val="clear" w:color="auto" w:fill="E5FFFF"/>
          </w:tcPr>
          <w:p>
            <w:pPr>
              <w:spacing w:after="0"/>
              <w:rPr>
                <w:sz w:val="20"/>
                <w:szCs w:val="20"/>
                <w:color w:val="auto"/>
              </w:rPr>
            </w:pPr>
            <w:r>
              <w:rPr>
                <w:rFonts w:ascii="Arial" w:cs="Arial" w:eastAsia="Arial" w:hAnsi="Arial"/>
                <w:sz w:val="16"/>
                <w:szCs w:val="16"/>
                <w:color w:val="auto"/>
              </w:rPr>
              <w:t>Cash collaterals on swaps</w:t>
            </w: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22,220</w:t>
            </w:r>
          </w:p>
        </w:tc>
        <w:tc>
          <w:tcPr>
            <w:tcW w:w="1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56,890</w:t>
            </w:r>
          </w:p>
        </w:tc>
      </w:tr>
      <w:tr>
        <w:trPr>
          <w:trHeight w:val="196"/>
        </w:trPr>
        <w:tc>
          <w:tcPr>
            <w:tcW w:w="70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58,787</w:t>
            </w:r>
          </w:p>
        </w:tc>
      </w:tr>
      <w:tr>
        <w:trPr>
          <w:trHeight w:val="20"/>
        </w:trPr>
        <w:tc>
          <w:tcPr>
            <w:tcW w:w="7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Cash collaterals on swaps represent cash deposited for the Group’s interest rate swaps, being the difference between their fair value and an agreed threshold. An amount of $24,310 of cash collaterals has been included in Prepayments and other current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20"/>
                <w:szCs w:val="20"/>
                <w:color w:val="auto"/>
              </w:rPr>
            </w:pPr>
            <w:r>
              <w:rPr>
                <w:rFonts w:ascii="Arial" w:cs="Arial" w:eastAsia="Arial" w:hAnsi="Arial"/>
                <w:sz w:val="16"/>
                <w:szCs w:val="16"/>
                <w:b w:val="1"/>
                <w:bCs w:val="1"/>
                <w:color w:val="auto"/>
              </w:rPr>
              <w:t>8. Cash and Cash Equivalents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19"/>
        </w:trPr>
        <w:tc>
          <w:tcPr>
            <w:tcW w:w="7060" w:type="dxa"/>
            <w:vAlign w:val="bottom"/>
          </w:tcPr>
          <w:p>
            <w:pPr>
              <w:ind w:left="340"/>
              <w:spacing w:after="0"/>
              <w:rPr>
                <w:sz w:val="20"/>
                <w:szCs w:val="20"/>
                <w:color w:val="auto"/>
              </w:rPr>
            </w:pPr>
            <w:r>
              <w:rPr>
                <w:rFonts w:ascii="Arial" w:cs="Arial" w:eastAsia="Arial" w:hAnsi="Arial"/>
                <w:sz w:val="16"/>
                <w:szCs w:val="16"/>
                <w:color w:val="auto"/>
              </w:rPr>
              <w:t>Cash and cash equivalents consist of the following: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1"/>
        </w:trPr>
        <w:tc>
          <w:tcPr>
            <w:tcW w:w="7060" w:type="dxa"/>
            <w:vAlign w:val="bottom"/>
          </w:tcPr>
          <w:p>
            <w:pPr>
              <w:spacing w:after="0"/>
              <w:rPr>
                <w:sz w:val="24"/>
                <w:szCs w:val="24"/>
                <w:color w:val="auto"/>
              </w:rPr>
            </w:pPr>
          </w:p>
        </w:tc>
        <w:tc>
          <w:tcPr>
            <w:tcW w:w="230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 2019</w:t>
            </w: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Current accounts</w:t>
            </w:r>
          </w:p>
        </w:tc>
        <w:tc>
          <w:tcPr>
            <w:tcW w:w="1880" w:type="dxa"/>
            <w:vAlign w:val="bottom"/>
            <w:tcBorders>
              <w:top w:val="single" w:sz="8" w:color="auto"/>
            </w:tcBorders>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113,655</w:t>
            </w:r>
          </w:p>
        </w:tc>
        <w:tc>
          <w:tcPr>
            <w:tcW w:w="4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48,323</w:t>
            </w:r>
          </w:p>
        </w:tc>
      </w:tr>
      <w:tr>
        <w:trPr>
          <w:trHeight w:val="203"/>
        </w:trPr>
        <w:tc>
          <w:tcPr>
            <w:tcW w:w="7060" w:type="dxa"/>
            <w:vAlign w:val="bottom"/>
          </w:tcPr>
          <w:p>
            <w:pPr>
              <w:spacing w:after="0"/>
              <w:rPr>
                <w:sz w:val="20"/>
                <w:szCs w:val="20"/>
                <w:color w:val="auto"/>
              </w:rPr>
            </w:pPr>
            <w:r>
              <w:rPr>
                <w:rFonts w:ascii="Arial" w:cs="Arial" w:eastAsia="Arial" w:hAnsi="Arial"/>
                <w:sz w:val="16"/>
                <w:szCs w:val="16"/>
                <w:color w:val="auto"/>
              </w:rPr>
              <w:t>Time deposits (with original maturities of three months or less)</w:t>
            </w:r>
          </w:p>
        </w:tc>
        <w:tc>
          <w:tcPr>
            <w:tcW w:w="1740" w:type="dxa"/>
            <w:vAlign w:val="bottom"/>
          </w:tcPr>
          <w:p>
            <w:pPr>
              <w:jc w:val="right"/>
              <w:spacing w:after="0"/>
              <w:rPr>
                <w:sz w:val="20"/>
                <w:szCs w:val="20"/>
                <w:color w:val="auto"/>
              </w:rPr>
            </w:pPr>
            <w:r>
              <w:rPr>
                <w:rFonts w:ascii="Arial" w:cs="Arial" w:eastAsia="Arial" w:hAnsi="Arial"/>
                <w:sz w:val="16"/>
                <w:szCs w:val="16"/>
                <w:color w:val="auto"/>
              </w:rPr>
              <w:t>149,491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52,558</w:t>
            </w:r>
          </w:p>
        </w:tc>
      </w:tr>
      <w:tr>
        <w:trPr>
          <w:trHeight w:val="203"/>
        </w:trPr>
        <w:tc>
          <w:tcPr>
            <w:tcW w:w="706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client accounts</w:t>
            </w:r>
          </w:p>
        </w:tc>
        <w:tc>
          <w:tcPr>
            <w:tcW w:w="1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601</w:t>
            </w:r>
          </w:p>
        </w:tc>
        <w:tc>
          <w:tcPr>
            <w:tcW w:w="1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914</w:t>
            </w:r>
          </w:p>
        </w:tc>
      </w:tr>
      <w:tr>
        <w:trPr>
          <w:trHeight w:val="203"/>
        </w:trPr>
        <w:tc>
          <w:tcPr>
            <w:tcW w:w="7060" w:type="dxa"/>
            <w:vAlign w:val="bottom"/>
          </w:tcPr>
          <w:p>
            <w:pPr>
              <w:spacing w:after="0"/>
              <w:rPr>
                <w:sz w:val="20"/>
                <w:szCs w:val="20"/>
                <w:color w:val="auto"/>
              </w:rPr>
            </w:pPr>
            <w:r>
              <w:rPr>
                <w:rFonts w:ascii="Arial" w:cs="Arial" w:eastAsia="Arial" w:hAnsi="Arial"/>
                <w:sz w:val="16"/>
                <w:szCs w:val="16"/>
                <w:color w:val="auto"/>
              </w:rPr>
              <w:t>Restricted cash</w:t>
            </w:r>
          </w:p>
        </w:tc>
        <w:tc>
          <w:tcPr>
            <w:tcW w:w="230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150,350</w:t>
            </w:r>
          </w:p>
        </w:tc>
      </w:tr>
      <w:tr>
        <w:trPr>
          <w:trHeight w:val="196"/>
        </w:trPr>
        <w:tc>
          <w:tcPr>
            <w:tcW w:w="7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263,747</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42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252,145</w:t>
            </w:r>
          </w:p>
        </w:tc>
      </w:tr>
      <w:tr>
        <w:trPr>
          <w:trHeight w:val="20"/>
        </w:trPr>
        <w:tc>
          <w:tcPr>
            <w:tcW w:w="7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Restricted cash represents the cash in relation to the amount drawn for the delivery of the </w:t>
      </w:r>
      <w:r>
        <w:rPr>
          <w:rFonts w:ascii="Arial" w:cs="Arial" w:eastAsia="Arial" w:hAnsi="Arial"/>
          <w:sz w:val="14"/>
          <w:szCs w:val="14"/>
          <w:i w:val="1"/>
          <w:iCs w:val="1"/>
          <w:color w:val="auto"/>
        </w:rPr>
        <w:t>GasLog Windsor</w:t>
      </w:r>
      <w:r>
        <w:rPr>
          <w:rFonts w:ascii="Arial" w:cs="Arial" w:eastAsia="Arial" w:hAnsi="Arial"/>
          <w:sz w:val="14"/>
          <w:szCs w:val="14"/>
          <w:color w:val="auto"/>
        </w:rPr>
        <w:t xml:space="preserve"> until her delivery from the shipyard on April 1, 2020 (Note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3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20"/>
                <w:szCs w:val="20"/>
                <w:color w:val="auto"/>
              </w:rPr>
            </w:pPr>
            <w:r>
              <w:rPr>
                <w:rFonts w:ascii="Arial" w:cs="Arial" w:eastAsia="Arial" w:hAnsi="Arial"/>
                <w:sz w:val="16"/>
                <w:szCs w:val="16"/>
                <w:b w:val="1"/>
                <w:bCs w:val="1"/>
                <w:color w:val="auto"/>
              </w:rPr>
              <w:t>9. Borrowings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9"/>
        </w:trPr>
        <w:tc>
          <w:tcPr>
            <w:tcW w:w="7400" w:type="dxa"/>
            <w:vAlign w:val="bottom"/>
          </w:tcPr>
          <w:p>
            <w:pPr>
              <w:ind w:left="440"/>
              <w:spacing w:after="0"/>
              <w:rPr>
                <w:sz w:val="20"/>
                <w:szCs w:val="20"/>
                <w:color w:val="auto"/>
              </w:rPr>
            </w:pPr>
            <w:r>
              <w:rPr>
                <w:rFonts w:ascii="Arial" w:cs="Arial" w:eastAsia="Arial" w:hAnsi="Arial"/>
                <w:sz w:val="16"/>
                <w:szCs w:val="16"/>
                <w:color w:val="auto"/>
              </w:rPr>
              <w:t>An analysis of the borrowings is as follows: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1"/>
        </w:trPr>
        <w:tc>
          <w:tcPr>
            <w:tcW w:w="7400" w:type="dxa"/>
            <w:vAlign w:val="bottom"/>
          </w:tcPr>
          <w:p>
            <w:pPr>
              <w:spacing w:after="0"/>
              <w:rPr>
                <w:sz w:val="24"/>
                <w:szCs w:val="24"/>
                <w:color w:val="auto"/>
              </w:rPr>
            </w:pPr>
          </w:p>
        </w:tc>
        <w:tc>
          <w:tcPr>
            <w:tcW w:w="21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December 31, 2019</w:t>
            </w:r>
          </w:p>
        </w:tc>
        <w:tc>
          <w:tcPr>
            <w:tcW w:w="1640" w:type="dxa"/>
            <w:vAlign w:val="bottom"/>
            <w:gridSpan w:val="3"/>
          </w:tcPr>
          <w:p>
            <w:pPr>
              <w:ind w:left="260"/>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268,090</w:t>
            </w:r>
          </w:p>
        </w:tc>
        <w:tc>
          <w:tcPr>
            <w:tcW w:w="3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227,404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2140" w:type="dxa"/>
            <w:vAlign w:val="bottom"/>
            <w:gridSpan w:val="2"/>
          </w:tcPr>
          <w:p>
            <w:pPr>
              <w:jc w:val="right"/>
              <w:ind w:right="260"/>
              <w:spacing w:after="0"/>
              <w:rPr>
                <w:sz w:val="20"/>
                <w:szCs w:val="20"/>
                <w:color w:val="auto"/>
              </w:rPr>
            </w:pPr>
            <w:r>
              <w:rPr>
                <w:rFonts w:ascii="Arial" w:cs="Arial" w:eastAsia="Arial" w:hAnsi="Arial"/>
                <w:sz w:val="16"/>
                <w:szCs w:val="16"/>
                <w:color w:val="auto"/>
              </w:rPr>
              <w:t>(12,668)</w:t>
            </w:r>
          </w:p>
        </w:tc>
        <w:tc>
          <w:tcPr>
            <w:tcW w:w="1600" w:type="dxa"/>
            <w:vAlign w:val="bottom"/>
          </w:tcPr>
          <w:p>
            <w:pPr>
              <w:jc w:val="right"/>
              <w:spacing w:after="0"/>
              <w:rPr>
                <w:sz w:val="20"/>
                <w:szCs w:val="20"/>
                <w:color w:val="auto"/>
              </w:rPr>
            </w:pPr>
            <w:r>
              <w:rPr>
                <w:rFonts w:ascii="Arial" w:cs="Arial" w:eastAsia="Arial" w:hAnsi="Arial"/>
                <w:sz w:val="16"/>
                <w:szCs w:val="16"/>
                <w:color w:val="auto"/>
              </w:rPr>
              <w:t>(12,704)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255,422</w:t>
            </w:r>
          </w:p>
        </w:tc>
        <w:tc>
          <w:tcPr>
            <w:tcW w:w="3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214,700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820" w:type="dxa"/>
            <w:vAlign w:val="bottom"/>
          </w:tcPr>
          <w:p>
            <w:pPr>
              <w:jc w:val="right"/>
              <w:spacing w:after="0"/>
              <w:rPr>
                <w:sz w:val="20"/>
                <w:szCs w:val="20"/>
                <w:color w:val="auto"/>
              </w:rPr>
            </w:pPr>
            <w:r>
              <w:rPr>
                <w:rFonts w:ascii="Arial" w:cs="Arial" w:eastAsia="Arial" w:hAnsi="Arial"/>
                <w:sz w:val="16"/>
                <w:szCs w:val="16"/>
                <w:color w:val="auto"/>
              </w:rPr>
              <w:t>2,930,221</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3,066,700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40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premium</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1,457</w:t>
            </w:r>
          </w:p>
        </w:tc>
        <w:tc>
          <w:tcPr>
            <w:tcW w:w="32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2140" w:type="dxa"/>
            <w:vAlign w:val="bottom"/>
            <w:gridSpan w:val="2"/>
          </w:tcPr>
          <w:p>
            <w:pPr>
              <w:jc w:val="right"/>
              <w:ind w:right="260"/>
              <w:spacing w:after="0"/>
              <w:rPr>
                <w:sz w:val="20"/>
                <w:szCs w:val="20"/>
                <w:color w:val="auto"/>
              </w:rPr>
            </w:pPr>
            <w:r>
              <w:rPr>
                <w:rFonts w:ascii="Arial" w:cs="Arial" w:eastAsia="Arial" w:hAnsi="Arial"/>
                <w:sz w:val="16"/>
                <w:szCs w:val="16"/>
                <w:color w:val="auto"/>
              </w:rPr>
              <w:t>(39,705)</w:t>
            </w:r>
          </w:p>
        </w:tc>
        <w:tc>
          <w:tcPr>
            <w:tcW w:w="1600" w:type="dxa"/>
            <w:vAlign w:val="bottom"/>
          </w:tcPr>
          <w:p>
            <w:pPr>
              <w:jc w:val="right"/>
              <w:spacing w:after="0"/>
              <w:rPr>
                <w:sz w:val="20"/>
                <w:szCs w:val="20"/>
                <w:color w:val="auto"/>
              </w:rPr>
            </w:pPr>
            <w:r>
              <w:rPr>
                <w:rFonts w:ascii="Arial" w:cs="Arial" w:eastAsia="Arial" w:hAnsi="Arial"/>
                <w:sz w:val="16"/>
                <w:szCs w:val="16"/>
                <w:color w:val="auto"/>
              </w:rPr>
              <w:t>(39,673)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non-current portion</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2,891,973</w:t>
            </w:r>
          </w:p>
        </w:tc>
        <w:tc>
          <w:tcPr>
            <w:tcW w:w="3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3,028,319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3,147,395</w:t>
            </w:r>
          </w:p>
        </w:tc>
        <w:tc>
          <w:tcPr>
            <w:tcW w:w="3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3,243,019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889"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ind w:right="80" w:firstLine="383"/>
        <w:spacing w:after="0" w:line="293" w:lineRule="auto"/>
        <w:rPr>
          <w:sz w:val="20"/>
          <w:szCs w:val="20"/>
          <w:color w:val="auto"/>
        </w:rPr>
      </w:pPr>
      <w:r>
        <w:rPr>
          <w:rFonts w:ascii="Arial" w:cs="Arial" w:eastAsia="Arial" w:hAnsi="Arial"/>
          <w:sz w:val="16"/>
          <w:szCs w:val="16"/>
          <w:color w:val="auto"/>
        </w:rPr>
        <w:t>The main terms of the Group’s loan facilities in existence as of December 31, 2019 have been disclosed in the annual audited consolidated financial statements for the year ended December 31, 2019. Refer to Note 13 “Borrowings”.</w:t>
      </w:r>
    </w:p>
    <w:p>
      <w:pPr>
        <w:spacing w:after="0" w:line="172" w:lineRule="exact"/>
        <w:rPr>
          <w:sz w:val="20"/>
          <w:szCs w:val="20"/>
          <w:color w:val="auto"/>
        </w:rPr>
      </w:pPr>
    </w:p>
    <w:p>
      <w:pPr>
        <w:jc w:val="both"/>
        <w:ind w:right="20" w:firstLine="405"/>
        <w:spacing w:after="0" w:line="278" w:lineRule="auto"/>
        <w:rPr>
          <w:sz w:val="20"/>
          <w:szCs w:val="20"/>
          <w:color w:val="auto"/>
        </w:rPr>
      </w:pPr>
      <w:r>
        <w:rPr>
          <w:rFonts w:ascii="Arial" w:cs="Arial" w:eastAsia="Arial" w:hAnsi="Arial"/>
          <w:sz w:val="16"/>
          <w:szCs w:val="16"/>
          <w:color w:val="auto"/>
        </w:rPr>
        <w:t xml:space="preserve">During the three months ended March 31, 2020, the Group drew down $100,000 under the revolving credit facility of the credit agreement of up to $1,050,000 entered into on July 19, 2016 (the “Legacy Facility Refinancing”) and $152,525 under the Newbuilding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In addition, the Group repaid $81,057 in accordance with the repayment terms under its loan facilities.</w:t>
      </w:r>
    </w:p>
    <w:p>
      <w:pPr>
        <w:spacing w:after="0" w:line="184" w:lineRule="exact"/>
        <w:rPr>
          <w:sz w:val="20"/>
          <w:szCs w:val="20"/>
          <w:color w:val="auto"/>
        </w:rPr>
      </w:pPr>
    </w:p>
    <w:p>
      <w:pPr>
        <w:ind w:right="120" w:firstLine="383"/>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320" w:firstLine="436"/>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2019. Refer to Note 13 “Borrowings”.</w:t>
      </w:r>
    </w:p>
    <w:p>
      <w:pPr>
        <w:spacing w:after="0" w:line="172" w:lineRule="exact"/>
        <w:rPr>
          <w:sz w:val="20"/>
          <w:szCs w:val="20"/>
          <w:color w:val="auto"/>
        </w:rPr>
      </w:pPr>
    </w:p>
    <w:p>
      <w:pPr>
        <w:ind w:right="80" w:firstLine="436"/>
        <w:spacing w:after="0" w:line="293" w:lineRule="auto"/>
        <w:rPr>
          <w:sz w:val="20"/>
          <w:szCs w:val="20"/>
          <w:color w:val="auto"/>
        </w:rPr>
      </w:pPr>
      <w:r>
        <w:rPr>
          <w:rFonts w:ascii="Arial" w:cs="Arial" w:eastAsia="Arial" w:hAnsi="Arial"/>
          <w:sz w:val="16"/>
          <w:szCs w:val="16"/>
          <w:color w:val="auto"/>
        </w:rPr>
        <w:t>On January 13, 2020 GasLog completed the exchange of $10,000 for the partial exchange of the outstanding 8.875% Senior Notes and, on January 31, 2020, GasLog repurchased and cancelled NOK 434,000 of the outstanding NOK 2021 Bonds at a price of 104.0% par value resulting in a loss of $1,937.</w:t>
      </w:r>
    </w:p>
    <w:p>
      <w:pPr>
        <w:spacing w:after="0" w:line="172" w:lineRule="exact"/>
        <w:rPr>
          <w:sz w:val="20"/>
          <w:szCs w:val="20"/>
          <w:color w:val="auto"/>
        </w:rPr>
      </w:pPr>
    </w:p>
    <w:p>
      <w:pPr>
        <w:jc w:val="both"/>
        <w:ind w:right="40" w:firstLine="436"/>
        <w:spacing w:after="0" w:line="278" w:lineRule="auto"/>
        <w:rPr>
          <w:sz w:val="20"/>
          <w:szCs w:val="20"/>
          <w:color w:val="auto"/>
        </w:rPr>
      </w:pPr>
      <w:r>
        <w:rPr>
          <w:rFonts w:ascii="Arial" w:cs="Arial" w:eastAsia="Arial" w:hAnsi="Arial"/>
          <w:sz w:val="16"/>
          <w:szCs w:val="16"/>
          <w:color w:val="auto"/>
        </w:rPr>
        <w:t>The carrying amount under the NOK bond maturing in 2024 (the “NOK 2024 Bond”), net of unamortized financing costs, as of March 31, 2020 is $84,177 (carrying amount under the NOK 2021 Bonds and the NOK 2024 Bonds as of December 31, 2019: $149,433) while their fair value is $61,671 based on a USD/NOK exchange rate of 0.0952 as of March 31, 2020 (December 31, 2019: $157,383, based on a USD/NOK exchange rate of 0.1134).</w:t>
      </w:r>
    </w:p>
    <w:p>
      <w:pPr>
        <w:spacing w:after="0" w:line="184" w:lineRule="exact"/>
        <w:rPr>
          <w:sz w:val="20"/>
          <w:szCs w:val="20"/>
          <w:color w:val="auto"/>
        </w:rPr>
      </w:pPr>
    </w:p>
    <w:p>
      <w:pPr>
        <w:ind w:right="480" w:firstLine="436"/>
        <w:spacing w:after="0" w:line="293" w:lineRule="auto"/>
        <w:rPr>
          <w:sz w:val="20"/>
          <w:szCs w:val="20"/>
          <w:color w:val="auto"/>
        </w:rPr>
      </w:pPr>
      <w:r>
        <w:rPr>
          <w:rFonts w:ascii="Arial" w:cs="Arial" w:eastAsia="Arial" w:hAnsi="Arial"/>
          <w:sz w:val="16"/>
          <w:szCs w:val="16"/>
          <w:color w:val="auto"/>
        </w:rPr>
        <w:t>The carrying amount under the 8.875% senior unsecured notes due in 2022, net of unamortized financing costs and premium as of March 31, 2020 is $313,146 (December 31, 2019: $322,938).</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March 31, 2020.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Related Party Transactions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Assets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3"/>
        </w:trPr>
        <w:tc>
          <w:tcPr>
            <w:tcW w:w="9220" w:type="dxa"/>
            <w:vAlign w:val="bottom"/>
            <w:gridSpan w:val="2"/>
          </w:tcPr>
          <w:p>
            <w:pPr>
              <w:jc w:val="center"/>
              <w:ind w:left="8059"/>
              <w:spacing w:after="0"/>
              <w:rPr>
                <w:sz w:val="20"/>
                <w:szCs w:val="20"/>
                <w:color w:val="auto"/>
              </w:rPr>
            </w:pPr>
            <w:r>
              <w:rPr>
                <w:rFonts w:ascii="Arial" w:cs="Arial" w:eastAsia="Arial" w:hAnsi="Arial"/>
                <w:sz w:val="16"/>
                <w:szCs w:val="16"/>
                <w:b w:val="1"/>
                <w:bCs w:val="1"/>
                <w:color w:val="auto"/>
                <w:w w:val="89"/>
              </w:rPr>
              <w:t>2019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199"/>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136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450</w:t>
            </w:r>
          </w:p>
        </w:tc>
        <w:tc>
          <w:tcPr>
            <w:tcW w:w="28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875</w:t>
            </w:r>
          </w:p>
        </w:tc>
      </w:tr>
      <w:tr>
        <w:trPr>
          <w:trHeight w:val="203"/>
        </w:trPr>
        <w:tc>
          <w:tcPr>
            <w:tcW w:w="9220" w:type="dxa"/>
            <w:vAlign w:val="bottom"/>
            <w:gridSpan w:val="2"/>
          </w:tcPr>
          <w:p>
            <w:pPr>
              <w:spacing w:after="0"/>
              <w:rPr>
                <w:sz w:val="20"/>
                <w:szCs w:val="20"/>
                <w:color w:val="auto"/>
              </w:rPr>
            </w:pPr>
            <w:r>
              <w:rPr>
                <w:rFonts w:ascii="Arial" w:cs="Arial" w:eastAsia="Arial" w:hAnsi="Arial"/>
                <w:sz w:val="16"/>
                <w:szCs w:val="16"/>
                <w:color w:val="auto"/>
              </w:rPr>
              <w:t>Other receivables</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123</w:t>
            </w:r>
          </w:p>
        </w:tc>
        <w:tc>
          <w:tcPr>
            <w:tcW w:w="14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03"/>
        </w:trPr>
        <w:tc>
          <w:tcPr>
            <w:tcW w:w="7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1,121</w:t>
            </w:r>
          </w:p>
        </w:tc>
      </w:tr>
      <w:tr>
        <w:trPr>
          <w:trHeight w:val="413"/>
        </w:trPr>
        <w:tc>
          <w:tcPr>
            <w:tcW w:w="92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92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3"/>
        </w:trPr>
        <w:tc>
          <w:tcPr>
            <w:tcW w:w="7860" w:type="dxa"/>
            <w:vAlign w:val="bottom"/>
          </w:tcPr>
          <w:p>
            <w:pPr>
              <w:spacing w:after="0"/>
              <w:rPr>
                <w:sz w:val="24"/>
                <w:szCs w:val="24"/>
                <w:color w:val="auto"/>
              </w:rPr>
            </w:pP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3"/>
        </w:trPr>
        <w:tc>
          <w:tcPr>
            <w:tcW w:w="9220" w:type="dxa"/>
            <w:vAlign w:val="bottom"/>
            <w:gridSpan w:val="2"/>
          </w:tcPr>
          <w:p>
            <w:pPr>
              <w:jc w:val="center"/>
              <w:ind w:left="8059"/>
              <w:spacing w:after="0"/>
              <w:rPr>
                <w:sz w:val="20"/>
                <w:szCs w:val="20"/>
                <w:color w:val="auto"/>
              </w:rPr>
            </w:pPr>
            <w:r>
              <w:rPr>
                <w:rFonts w:ascii="Arial" w:cs="Arial" w:eastAsia="Arial" w:hAnsi="Arial"/>
                <w:sz w:val="16"/>
                <w:szCs w:val="16"/>
                <w:b w:val="1"/>
                <w:bCs w:val="1"/>
                <w:color w:val="auto"/>
                <w:w w:val="89"/>
              </w:rPr>
              <w:t>2019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199"/>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36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328</w:t>
            </w:r>
          </w:p>
        </w:tc>
        <w:tc>
          <w:tcPr>
            <w:tcW w:w="28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641</w:t>
            </w:r>
          </w:p>
        </w:tc>
      </w:tr>
      <w:tr>
        <w:trPr>
          <w:trHeight w:val="206"/>
        </w:trPr>
        <w:tc>
          <w:tcPr>
            <w:tcW w:w="9220" w:type="dxa"/>
            <w:vAlign w:val="bottom"/>
            <w:gridSpan w:val="2"/>
          </w:tcPr>
          <w:p>
            <w:pPr>
              <w:spacing w:after="0"/>
              <w:rPr>
                <w:sz w:val="20"/>
                <w:szCs w:val="20"/>
                <w:color w:val="auto"/>
              </w:rPr>
            </w:pPr>
            <w:r>
              <w:rPr>
                <w:rFonts w:ascii="Arial" w:cs="Arial" w:eastAsia="Arial" w:hAnsi="Arial"/>
                <w:sz w:val="16"/>
                <w:szCs w:val="16"/>
                <w:color w:val="auto"/>
              </w:rPr>
              <w:t>Amounts due to related parties</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200</w:t>
            </w:r>
          </w:p>
        </w:tc>
        <w:tc>
          <w:tcPr>
            <w:tcW w:w="1440" w:type="dxa"/>
            <w:vAlign w:val="bottom"/>
          </w:tcPr>
          <w:p>
            <w:pPr>
              <w:jc w:val="right"/>
              <w:spacing w:after="0"/>
              <w:rPr>
                <w:sz w:val="20"/>
                <w:szCs w:val="20"/>
                <w:color w:val="auto"/>
              </w:rPr>
            </w:pPr>
            <w:r>
              <w:rPr>
                <w:rFonts w:ascii="Arial" w:cs="Arial" w:eastAsia="Arial" w:hAnsi="Arial"/>
                <w:sz w:val="16"/>
                <w:szCs w:val="16"/>
                <w:color w:val="auto"/>
              </w:rPr>
              <w:t>189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cash collected from Egypt LNG Shipping Ltd. to cover the obligations of its vessel under the Group’s management.</w:t>
      </w:r>
    </w:p>
    <w:p>
      <w:pPr>
        <w:spacing w:after="0" w:line="246"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Amounts due to related parties of $189 as of March 31, 2020 (December 31, 2019: $200) are expenses paid by a related party on behalf of the Group and payables to other related parties for the office lease and other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Revenues from Contracts with Customers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Group has recognized the following amounts relating to revenues: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2019</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8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fixed rate time charters</w:t>
            </w:r>
          </w:p>
        </w:tc>
        <w:tc>
          <w:tcPr>
            <w:tcW w:w="10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134,211</w:t>
            </w:r>
          </w:p>
        </w:tc>
        <w:tc>
          <w:tcPr>
            <w:tcW w:w="1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134,157</w:t>
            </w:r>
          </w:p>
        </w:tc>
      </w:tr>
      <w:tr>
        <w:trPr>
          <w:trHeight w:val="203"/>
        </w:trPr>
        <w:tc>
          <w:tcPr>
            <w:tcW w:w="8300" w:type="dxa"/>
            <w:vAlign w:val="bottom"/>
            <w:gridSpan w:val="2"/>
          </w:tcPr>
          <w:p>
            <w:pPr>
              <w:spacing w:after="0"/>
              <w:rPr>
                <w:sz w:val="20"/>
                <w:szCs w:val="20"/>
                <w:color w:val="auto"/>
              </w:rPr>
            </w:pPr>
            <w:r>
              <w:rPr>
                <w:rFonts w:ascii="Arial" w:cs="Arial" w:eastAsia="Arial" w:hAnsi="Arial"/>
                <w:sz w:val="16"/>
                <w:szCs w:val="16"/>
                <w:color w:val="auto"/>
              </w:rPr>
              <w:t>Revenues from variable rate time charters</w:t>
            </w:r>
          </w:p>
        </w:tc>
        <w:tc>
          <w:tcPr>
            <w:tcW w:w="15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31,548</w:t>
            </w:r>
          </w:p>
        </w:tc>
      </w:tr>
      <w:tr>
        <w:trPr>
          <w:trHeight w:val="203"/>
        </w:trPr>
        <w:tc>
          <w:tcPr>
            <w:tcW w:w="83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 from The Cool Pool Limited (GasLog vessels)</w:t>
            </w:r>
          </w:p>
        </w:tc>
        <w:tc>
          <w:tcPr>
            <w:tcW w:w="14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32,142</w:t>
            </w:r>
          </w:p>
        </w:tc>
        <w:tc>
          <w:tcPr>
            <w:tcW w:w="10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gridSpan w:val="2"/>
          </w:tcPr>
          <w:p>
            <w:pPr>
              <w:spacing w:after="0"/>
              <w:rPr>
                <w:sz w:val="20"/>
                <w:szCs w:val="20"/>
                <w:color w:val="auto"/>
              </w:rPr>
            </w:pPr>
            <w:r>
              <w:rPr>
                <w:rFonts w:ascii="Arial" w:cs="Arial" w:eastAsia="Arial" w:hAnsi="Arial"/>
                <w:sz w:val="16"/>
                <w:szCs w:val="16"/>
                <w:color w:val="auto"/>
              </w:rPr>
              <w:t>Revenues from vessel management services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03"/>
        </w:trPr>
        <w:tc>
          <w:tcPr>
            <w:tcW w:w="83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166,547</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165,897</w:t>
            </w:r>
          </w:p>
        </w:tc>
      </w:tr>
    </w:tbl>
    <w:p>
      <w:pPr>
        <w:spacing w:after="0" w:line="206" w:lineRule="exact"/>
        <w:rPr>
          <w:sz w:val="20"/>
          <w:szCs w:val="20"/>
          <w:color w:val="auto"/>
        </w:rPr>
      </w:pPr>
    </w:p>
    <w:p>
      <w:pPr>
        <w:ind w:right="240" w:firstLine="383"/>
        <w:spacing w:after="0" w:line="328" w:lineRule="auto"/>
        <w:rPr>
          <w:sz w:val="20"/>
          <w:szCs w:val="20"/>
          <w:color w:val="auto"/>
        </w:rPr>
      </w:pPr>
      <w:r>
        <w:rPr>
          <w:rFonts w:ascii="Arial" w:cs="Arial" w:eastAsia="Arial" w:hAnsi="Arial"/>
          <w:sz w:val="15"/>
          <w:szCs w:val="15"/>
          <w:color w:val="auto"/>
        </w:rPr>
        <w:t>Revenues from The Cool Pool Limited relate only to the pool revenues received from GasLog’s vessels operating in the Cool Pool and do not include the Net pool allocation to GasLog of ($6,738) for the three months ended March 31, 2019, which is recorded as a separate line item in the Profit or Loss Statement.</w:t>
      </w:r>
    </w:p>
    <w:p>
      <w:pPr>
        <w:spacing w:after="0" w:line="150" w:lineRule="exact"/>
        <w:rPr>
          <w:sz w:val="20"/>
          <w:szCs w:val="20"/>
          <w:color w:val="auto"/>
        </w:rPr>
      </w:pPr>
    </w:p>
    <w:p>
      <w:pPr>
        <w:jc w:val="both"/>
        <w:ind w:right="80" w:firstLine="383"/>
        <w:spacing w:after="0" w:line="369" w:lineRule="auto"/>
        <w:rPr>
          <w:sz w:val="20"/>
          <w:szCs w:val="20"/>
          <w:color w:val="auto"/>
        </w:rPr>
      </w:pPr>
      <w:r>
        <w:rPr>
          <w:rFonts w:ascii="Arial" w:cs="Arial" w:eastAsia="Arial" w:hAnsi="Arial"/>
          <w:sz w:val="14"/>
          <w:szCs w:val="14"/>
          <w:color w:val="auto"/>
        </w:rPr>
        <w:t>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12. General and Administrative Expenses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18"/>
        </w:trPr>
        <w:tc>
          <w:tcPr>
            <w:tcW w:w="8240" w:type="dxa"/>
            <w:vAlign w:val="bottom"/>
            <w:gridSpan w:val="2"/>
          </w:tcPr>
          <w:p>
            <w:pPr>
              <w:ind w:left="4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8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2019</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8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5,299</w:t>
            </w:r>
          </w:p>
        </w:tc>
        <w:tc>
          <w:tcPr>
            <w:tcW w:w="1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5,434</w:t>
            </w: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Share-based compensation (Note 20)</w:t>
            </w:r>
          </w:p>
        </w:tc>
        <w:tc>
          <w:tcPr>
            <w:tcW w:w="1200" w:type="dxa"/>
            <w:vAlign w:val="bottom"/>
          </w:tcPr>
          <w:p>
            <w:pPr>
              <w:jc w:val="right"/>
              <w:spacing w:after="0"/>
              <w:rPr>
                <w:sz w:val="20"/>
                <w:szCs w:val="20"/>
                <w:color w:val="auto"/>
              </w:rPr>
            </w:pPr>
            <w:r>
              <w:rPr>
                <w:rFonts w:ascii="Arial" w:cs="Arial" w:eastAsia="Arial" w:hAnsi="Arial"/>
                <w:sz w:val="16"/>
                <w:szCs w:val="16"/>
                <w:color w:val="auto"/>
              </w:rPr>
              <w:t>1,201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03"/>
        </w:trPr>
        <w:tc>
          <w:tcPr>
            <w:tcW w:w="8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expenses</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3,877</w:t>
            </w: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2,934</w:t>
            </w: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9,621</w:t>
            </w:r>
          </w:p>
        </w:tc>
      </w:tr>
    </w:tbl>
    <w:p>
      <w:pPr>
        <w:spacing w:after="0" w:line="20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*Employee costs include restructuring costs of $236 pursuant to management’s decision to relocate more of its employees including several members of senior management to the Piraeus, Greece office.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Arial" w:cs="Arial" w:eastAsia="Arial" w:hAnsi="Arial"/>
                <w:sz w:val="16"/>
                <w:szCs w:val="16"/>
                <w:b w:val="1"/>
                <w:bCs w:val="1"/>
                <w:color w:val="auto"/>
              </w:rPr>
              <w:t>13. Vessel Operating and Supervision Costs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8100" w:type="dxa"/>
            <w:vAlign w:val="bottom"/>
          </w:tcPr>
          <w:p>
            <w:pPr>
              <w:ind w:left="440"/>
              <w:spacing w:after="0"/>
              <w:rPr>
                <w:sz w:val="20"/>
                <w:szCs w:val="20"/>
                <w:color w:val="auto"/>
              </w:rPr>
            </w:pPr>
            <w:r>
              <w:rPr>
                <w:rFonts w:ascii="Arial" w:cs="Arial" w:eastAsia="Arial" w:hAnsi="Arial"/>
                <w:sz w:val="16"/>
                <w:szCs w:val="16"/>
                <w:color w:val="auto"/>
              </w:rPr>
              <w:t>An analysis of vessel operating and supervision costs is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8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4"/>
              </w:rPr>
              <w:t>March 31, 2019</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wages and vessel management employee costs</w:t>
            </w:r>
          </w:p>
        </w:tc>
        <w:tc>
          <w:tcPr>
            <w:tcW w:w="6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19,611</w:t>
            </w:r>
          </w:p>
        </w:tc>
        <w:tc>
          <w:tcPr>
            <w:tcW w:w="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20,388</w:t>
            </w:r>
          </w:p>
        </w:tc>
        <w:tc>
          <w:tcPr>
            <w:tcW w:w="100" w:type="dxa"/>
            <w:vAlign w:val="bottom"/>
          </w:tcPr>
          <w:p>
            <w:pPr>
              <w:spacing w:after="0"/>
              <w:rPr>
                <w:sz w:val="17"/>
                <w:szCs w:val="17"/>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8,528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9,721</w:t>
            </w:r>
          </w:p>
        </w:tc>
        <w:tc>
          <w:tcPr>
            <w:tcW w:w="100" w:type="dxa"/>
            <w:vAlign w:val="bottom"/>
          </w:tcPr>
          <w:p>
            <w:pPr>
              <w:spacing w:after="0"/>
              <w:rPr>
                <w:sz w:val="17"/>
                <w:szCs w:val="17"/>
                <w:color w:val="auto"/>
              </w:rPr>
            </w:pPr>
          </w:p>
        </w:tc>
      </w:tr>
      <w:tr>
        <w:trPr>
          <w:trHeight w:val="203"/>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Other vessel operating expenses</w:t>
            </w: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4,831</w:t>
            </w:r>
          </w:p>
        </w:tc>
        <w:tc>
          <w:tcPr>
            <w:tcW w:w="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Pr>
          <w:p>
            <w:pPr>
              <w:spacing w:after="0"/>
              <w:rPr>
                <w:sz w:val="17"/>
                <w:szCs w:val="17"/>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35,052</w:t>
            </w:r>
          </w:p>
        </w:tc>
        <w:tc>
          <w:tcPr>
            <w:tcW w:w="100" w:type="dxa"/>
            <w:vAlign w:val="bottom"/>
          </w:tcPr>
          <w:p>
            <w:pPr>
              <w:spacing w:after="0"/>
              <w:rPr>
                <w:sz w:val="17"/>
                <w:szCs w:val="17"/>
                <w:color w:val="auto"/>
              </w:rPr>
            </w:pPr>
          </w:p>
        </w:tc>
      </w:tr>
      <w:tr>
        <w:trPr>
          <w:trHeight w:val="413"/>
        </w:trPr>
        <w:tc>
          <w:tcPr>
            <w:tcW w:w="8100" w:type="dxa"/>
            <w:vAlign w:val="bottom"/>
          </w:tcPr>
          <w:p>
            <w:pPr>
              <w:spacing w:after="0"/>
              <w:rPr>
                <w:sz w:val="20"/>
                <w:szCs w:val="20"/>
                <w:color w:val="auto"/>
              </w:rPr>
            </w:pPr>
            <w:r>
              <w:rPr>
                <w:rFonts w:ascii="Arial" w:cs="Arial" w:eastAsia="Arial" w:hAnsi="Arial"/>
                <w:sz w:val="16"/>
                <w:szCs w:val="16"/>
                <w:b w:val="1"/>
                <w:bCs w:val="1"/>
                <w:color w:val="auto"/>
              </w:rPr>
              <w:t>14. Other Payables and Accruals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10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24"/>
        </w:trPr>
        <w:tc>
          <w:tcPr>
            <w:tcW w:w="8100" w:type="dxa"/>
            <w:vAlign w:val="bottom"/>
          </w:tcPr>
          <w:p>
            <w:pPr>
              <w:spacing w:after="0"/>
              <w:rPr>
                <w:sz w:val="24"/>
                <w:szCs w:val="2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8"/>
              </w:rPr>
              <w:t>March 31, 2020</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420" w:type="dxa"/>
            <w:vAlign w:val="bottom"/>
            <w:tcBorders>
              <w:top w:val="single" w:sz="8" w:color="auto"/>
            </w:tcBorders>
            <w:gridSpan w:val="4"/>
            <w:shd w:val="clear" w:color="auto" w:fill="E5FFFF"/>
          </w:tcPr>
          <w:p>
            <w:pPr>
              <w:jc w:val="right"/>
              <w:spacing w:after="0"/>
              <w:rPr>
                <w:sz w:val="20"/>
                <w:szCs w:val="20"/>
                <w:color w:val="auto"/>
              </w:rPr>
            </w:pPr>
            <w:r>
              <w:rPr>
                <w:rFonts w:ascii="Arial" w:cs="Arial" w:eastAsia="Arial" w:hAnsi="Arial"/>
                <w:sz w:val="16"/>
                <w:szCs w:val="16"/>
                <w:color w:val="auto"/>
              </w:rPr>
              <w:t>48,183</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6,113</w:t>
            </w: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Accrued off-hire</w:t>
            </w:r>
          </w:p>
        </w:tc>
        <w:tc>
          <w:tcPr>
            <w:tcW w:w="1520" w:type="dxa"/>
            <w:vAlign w:val="bottom"/>
            <w:gridSpan w:val="5"/>
          </w:tcPr>
          <w:p>
            <w:pPr>
              <w:jc w:val="right"/>
              <w:ind w:right="100"/>
              <w:spacing w:after="0"/>
              <w:rPr>
                <w:sz w:val="20"/>
                <w:szCs w:val="20"/>
                <w:color w:val="auto"/>
              </w:rPr>
            </w:pPr>
            <w:r>
              <w:rPr>
                <w:rFonts w:ascii="Arial" w:cs="Arial" w:eastAsia="Arial" w:hAnsi="Arial"/>
                <w:sz w:val="16"/>
                <w:szCs w:val="16"/>
                <w:color w:val="auto"/>
              </w:rPr>
              <w:t>6,968</w:t>
            </w:r>
          </w:p>
        </w:tc>
        <w:tc>
          <w:tcPr>
            <w:tcW w:w="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10,815</w:t>
            </w:r>
          </w:p>
        </w:tc>
      </w:tr>
      <w:tr>
        <w:trPr>
          <w:trHeight w:val="203"/>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520" w:type="dxa"/>
            <w:vAlign w:val="bottom"/>
            <w:gridSpan w:val="5"/>
            <w:shd w:val="clear" w:color="auto" w:fill="E5FFFF"/>
          </w:tcPr>
          <w:p>
            <w:pPr>
              <w:jc w:val="right"/>
              <w:ind w:right="100"/>
              <w:spacing w:after="0"/>
              <w:rPr>
                <w:sz w:val="20"/>
                <w:szCs w:val="20"/>
                <w:color w:val="auto"/>
              </w:rPr>
            </w:pPr>
            <w:r>
              <w:rPr>
                <w:rFonts w:ascii="Arial" w:cs="Arial" w:eastAsia="Arial" w:hAnsi="Arial"/>
                <w:sz w:val="16"/>
                <w:szCs w:val="16"/>
                <w:color w:val="auto"/>
              </w:rPr>
              <w:t>9,759</w:t>
            </w:r>
          </w:p>
        </w:tc>
        <w:tc>
          <w:tcPr>
            <w:tcW w:w="80" w:type="dxa"/>
            <w:vAlign w:val="bottom"/>
            <w:shd w:val="clear" w:color="auto" w:fill="E5FFFF"/>
          </w:tcPr>
          <w:p>
            <w:pPr>
              <w:spacing w:after="0"/>
              <w:rPr>
                <w:sz w:val="17"/>
                <w:szCs w:val="17"/>
                <w:color w:val="auto"/>
              </w:rPr>
            </w:pPr>
          </w:p>
        </w:tc>
        <w:tc>
          <w:tcPr>
            <w:tcW w:w="13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16,687</w:t>
            </w: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Accrued interest</w:t>
            </w:r>
          </w:p>
        </w:tc>
        <w:tc>
          <w:tcPr>
            <w:tcW w:w="1520" w:type="dxa"/>
            <w:vAlign w:val="bottom"/>
            <w:gridSpan w:val="5"/>
          </w:tcPr>
          <w:p>
            <w:pPr>
              <w:jc w:val="right"/>
              <w:ind w:right="100"/>
              <w:spacing w:after="0"/>
              <w:rPr>
                <w:sz w:val="20"/>
                <w:szCs w:val="20"/>
                <w:color w:val="auto"/>
              </w:rPr>
            </w:pPr>
            <w:r>
              <w:rPr>
                <w:rFonts w:ascii="Arial" w:cs="Arial" w:eastAsia="Arial" w:hAnsi="Arial"/>
                <w:sz w:val="16"/>
                <w:szCs w:val="16"/>
                <w:color w:val="auto"/>
              </w:rPr>
              <w:t>36,746</w:t>
            </w:r>
          </w:p>
        </w:tc>
        <w:tc>
          <w:tcPr>
            <w:tcW w:w="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19,984</w:t>
            </w:r>
          </w:p>
        </w:tc>
      </w:tr>
      <w:tr>
        <w:trPr>
          <w:trHeight w:val="203"/>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520" w:type="dxa"/>
            <w:vAlign w:val="bottom"/>
            <w:gridSpan w:val="5"/>
            <w:shd w:val="clear" w:color="auto" w:fill="E5FFFF"/>
          </w:tcPr>
          <w:p>
            <w:pPr>
              <w:jc w:val="right"/>
              <w:ind w:right="100"/>
              <w:spacing w:after="0"/>
              <w:rPr>
                <w:sz w:val="20"/>
                <w:szCs w:val="20"/>
                <w:color w:val="auto"/>
              </w:rPr>
            </w:pPr>
            <w:r>
              <w:rPr>
                <w:rFonts w:ascii="Arial" w:cs="Arial" w:eastAsia="Arial" w:hAnsi="Arial"/>
                <w:sz w:val="16"/>
                <w:szCs w:val="16"/>
                <w:color w:val="auto"/>
              </w:rPr>
              <w:t>34,586</w:t>
            </w:r>
          </w:p>
        </w:tc>
        <w:tc>
          <w:tcPr>
            <w:tcW w:w="80" w:type="dxa"/>
            <w:vAlign w:val="bottom"/>
            <w:shd w:val="clear" w:color="auto" w:fill="E5FFFF"/>
          </w:tcPr>
          <w:p>
            <w:pPr>
              <w:spacing w:after="0"/>
              <w:rPr>
                <w:sz w:val="17"/>
                <w:szCs w:val="17"/>
                <w:color w:val="auto"/>
              </w:rPr>
            </w:pPr>
          </w:p>
        </w:tc>
        <w:tc>
          <w:tcPr>
            <w:tcW w:w="13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34,981</w:t>
            </w:r>
          </w:p>
        </w:tc>
      </w:tr>
      <w:tr>
        <w:trPr>
          <w:trHeight w:val="203"/>
        </w:trPr>
        <w:tc>
          <w:tcPr>
            <w:tcW w:w="81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136,242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88,580</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Share Capital and Preference Shares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35" w:lineRule="exact"/>
        <w:rPr>
          <w:sz w:val="20"/>
          <w:szCs w:val="20"/>
          <w:color w:val="auto"/>
        </w:rPr>
      </w:pPr>
    </w:p>
    <w:p>
      <w:pPr>
        <w:ind w:firstLine="396"/>
        <w:spacing w:after="0" w:line="278" w:lineRule="auto"/>
        <w:rPr>
          <w:sz w:val="20"/>
          <w:szCs w:val="20"/>
          <w:color w:val="auto"/>
        </w:rPr>
      </w:pPr>
      <w:r>
        <w:rPr>
          <w:rFonts w:ascii="Arial" w:cs="Arial" w:eastAsia="Arial" w:hAnsi="Arial"/>
          <w:sz w:val="16"/>
          <w:szCs w:val="16"/>
          <w:color w:val="auto"/>
        </w:rPr>
        <w:t>As of March 31, 2020, the share capital consisted of 80,547,751 issued and outstanding common shares, par value $0.01 per share, 445,375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20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98"/>
              </w:rPr>
              <w:t>Number of Shares</w:t>
            </w: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Number of</w:t>
            </w:r>
          </w:p>
        </w:tc>
        <w:tc>
          <w:tcPr>
            <w:tcW w:w="15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16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1"/>
              </w:rPr>
              <w:t>treasury</w:t>
            </w:r>
          </w:p>
        </w:tc>
        <w:tc>
          <w:tcPr>
            <w:tcW w:w="16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7"/>
              </w:rPr>
              <w:t>preference</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left="59"/>
              <w:spacing w:after="0"/>
              <w:rPr>
                <w:sz w:val="20"/>
                <w:szCs w:val="20"/>
                <w:color w:val="auto"/>
              </w:rPr>
            </w:pPr>
            <w:r>
              <w:rPr>
                <w:rFonts w:ascii="Arial" w:cs="Arial" w:eastAsia="Arial" w:hAnsi="Arial"/>
                <w:sz w:val="16"/>
                <w:szCs w:val="16"/>
                <w:b w:val="1"/>
                <w:bCs w:val="1"/>
                <w:color w:val="auto"/>
                <w:w w:val="89"/>
              </w:rPr>
              <w:t>Preference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Contributed</w:t>
            </w:r>
          </w:p>
        </w:tc>
        <w:tc>
          <w:tcPr>
            <w:tcW w:w="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Treasury</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5"/>
              </w:rPr>
              <w:t>shares</w:t>
            </w:r>
          </w:p>
        </w:tc>
        <w:tc>
          <w:tcPr>
            <w:tcW w:w="16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5"/>
              </w:rPr>
              <w:t>shares</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 capital</w:t>
            </w:r>
          </w:p>
        </w:tc>
        <w:tc>
          <w:tcPr>
            <w:tcW w:w="920" w:type="dxa"/>
            <w:vAlign w:val="bottom"/>
          </w:tcPr>
          <w:p>
            <w:pPr>
              <w:jc w:val="center"/>
              <w:ind w:left="79"/>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surplus</w:t>
            </w:r>
          </w:p>
        </w:tc>
        <w:tc>
          <w:tcPr>
            <w:tcW w:w="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5"/>
              </w:rPr>
              <w:t>shares</w:t>
            </w:r>
          </w:p>
        </w:tc>
        <w:tc>
          <w:tcPr>
            <w:tcW w:w="0" w:type="dxa"/>
            <w:vAlign w:val="bottom"/>
          </w:tcPr>
          <w:p>
            <w:pPr>
              <w:spacing w:after="0"/>
              <w:rPr>
                <w:sz w:val="1"/>
                <w:szCs w:val="1"/>
                <w:color w:val="auto"/>
              </w:rPr>
            </w:pPr>
          </w:p>
        </w:tc>
      </w:tr>
      <w:tr>
        <w:trPr>
          <w:trHeight w:val="172"/>
        </w:trPr>
        <w:tc>
          <w:tcPr>
            <w:tcW w:w="2000" w:type="dxa"/>
            <w:vAlign w:val="bottom"/>
            <w:tcBorders>
              <w:top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Outstanding as of</w:t>
            </w:r>
          </w:p>
        </w:tc>
        <w:tc>
          <w:tcPr>
            <w:tcW w:w="122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12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320" w:type="dxa"/>
            <w:vAlign w:val="bottom"/>
            <w:tcBorders>
              <w:top w:val="single" w:sz="8" w:color="auto"/>
            </w:tcBorders>
            <w:shd w:val="clear" w:color="auto" w:fill="E5FFFF"/>
          </w:tcPr>
          <w:p>
            <w:pPr>
              <w:spacing w:after="0"/>
              <w:rPr>
                <w:sz w:val="14"/>
                <w:szCs w:val="14"/>
                <w:color w:val="auto"/>
              </w:rPr>
            </w:pPr>
          </w:p>
        </w:tc>
        <w:tc>
          <w:tcPr>
            <w:tcW w:w="1260" w:type="dxa"/>
            <w:vAlign w:val="bottom"/>
            <w:tcBorders>
              <w:top w:val="single" w:sz="8" w:color="auto"/>
            </w:tcBorders>
            <w:shd w:val="clear" w:color="auto" w:fill="E5FFFF"/>
          </w:tcPr>
          <w:p>
            <w:pPr>
              <w:spacing w:after="0"/>
              <w:rPr>
                <w:sz w:val="14"/>
                <w:szCs w:val="14"/>
                <w:color w:val="auto"/>
              </w:rPr>
            </w:pPr>
          </w:p>
        </w:tc>
        <w:tc>
          <w:tcPr>
            <w:tcW w:w="260" w:type="dxa"/>
            <w:vAlign w:val="bottom"/>
            <w:tcBorders>
              <w:top w:val="single" w:sz="8" w:color="E5FFFF"/>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10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auto"/>
            </w:tcBorders>
            <w:shd w:val="clear" w:color="auto" w:fill="E5FFFF"/>
          </w:tcPr>
          <w:p>
            <w:pPr>
              <w:spacing w:after="0"/>
              <w:rPr>
                <w:sz w:val="14"/>
                <w:szCs w:val="14"/>
                <w:color w:val="auto"/>
              </w:rPr>
            </w:pPr>
          </w:p>
        </w:tc>
        <w:tc>
          <w:tcPr>
            <w:tcW w:w="60" w:type="dxa"/>
            <w:vAlign w:val="bottom"/>
            <w:tcBorders>
              <w:top w:val="single" w:sz="8" w:color="E5FFFF"/>
            </w:tcBorders>
            <w:shd w:val="clear" w:color="auto" w:fill="E5FFFF"/>
          </w:tcPr>
          <w:p>
            <w:pPr>
              <w:spacing w:after="0"/>
              <w:rPr>
                <w:sz w:val="14"/>
                <w:szCs w:val="14"/>
                <w:color w:val="auto"/>
              </w:rPr>
            </w:pPr>
          </w:p>
        </w:tc>
        <w:tc>
          <w:tcPr>
            <w:tcW w:w="106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January 1, 2020</w:t>
            </w: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80,871,670</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121,456</w:t>
            </w: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810</w:t>
            </w:r>
          </w:p>
        </w:tc>
        <w:tc>
          <w:tcPr>
            <w:tcW w:w="920" w:type="dxa"/>
            <w:vAlign w:val="bottom"/>
            <w:shd w:val="clear" w:color="auto" w:fill="E5FFFF"/>
          </w:tcPr>
          <w:p>
            <w:pPr>
              <w:spacing w:after="0"/>
              <w:rPr>
                <w:sz w:val="18"/>
                <w:szCs w:val="18"/>
                <w:color w:val="auto"/>
              </w:rPr>
            </w:pPr>
          </w:p>
        </w:tc>
        <w:tc>
          <w:tcPr>
            <w:tcW w:w="16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46</w:t>
            </w:r>
          </w:p>
        </w:tc>
        <w:tc>
          <w:tcPr>
            <w:tcW w:w="6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760,671</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20"/>
                <w:szCs w:val="20"/>
                <w:color w:val="auto"/>
              </w:rPr>
            </w:pPr>
            <w:r>
              <w:rPr>
                <w:rFonts w:ascii="Arial" w:cs="Arial" w:eastAsia="Arial" w:hAnsi="Arial"/>
                <w:sz w:val="16"/>
                <w:szCs w:val="16"/>
                <w:color w:val="auto"/>
                <w:w w:val="98"/>
              </w:rPr>
              <w:t>Purchase of treasury shares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(323,919)</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323,919</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E5FFFF"/>
          </w:tcPr>
          <w:p>
            <w:pPr>
              <w:spacing w:after="0"/>
              <w:rPr>
                <w:sz w:val="20"/>
                <w:szCs w:val="20"/>
                <w:color w:val="auto"/>
              </w:rPr>
            </w:pPr>
            <w:r>
              <w:rPr>
                <w:rFonts w:ascii="Arial" w:cs="Arial" w:eastAsia="Arial" w:hAnsi="Arial"/>
                <w:sz w:val="16"/>
                <w:szCs w:val="16"/>
                <w:color w:val="auto"/>
                <w:w w:val="95"/>
              </w:rPr>
              <w:t>Dividends declared deducted</w:t>
            </w:r>
          </w:p>
        </w:tc>
        <w:tc>
          <w:tcPr>
            <w:tcW w:w="12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0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FFFF"/>
          </w:tcPr>
          <w:p>
            <w:pPr>
              <w:ind w:left="160"/>
              <w:spacing w:after="0"/>
              <w:rPr>
                <w:sz w:val="20"/>
                <w:szCs w:val="20"/>
                <w:color w:val="auto"/>
              </w:rPr>
            </w:pPr>
            <w:r>
              <w:rPr>
                <w:rFonts w:ascii="Arial" w:cs="Arial" w:eastAsia="Arial" w:hAnsi="Arial"/>
                <w:sz w:val="16"/>
                <w:szCs w:val="16"/>
                <w:color w:val="auto"/>
              </w:rPr>
              <w:t>from Contributed surplus</w:t>
            </w:r>
          </w:p>
        </w:tc>
        <w:tc>
          <w:tcPr>
            <w:tcW w:w="1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7"/>
              </w:rPr>
              <w:t>due to accumulated deficit</w:t>
            </w: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E5FFFF"/>
          </w:tcPr>
          <w:p>
            <w:pPr>
              <w:jc w:val="right"/>
              <w:ind w:right="44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E5FF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FFF"/>
          </w:tcPr>
          <w:p>
            <w:pPr>
              <w:spacing w:after="0"/>
              <w:rPr>
                <w:sz w:val="18"/>
                <w:szCs w:val="18"/>
                <w:color w:val="auto"/>
              </w:rPr>
            </w:pPr>
          </w:p>
        </w:tc>
        <w:tc>
          <w:tcPr>
            <w:tcW w:w="22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99"/>
              </w:rPr>
              <w:t>—</w:t>
            </w: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(14,598)</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w:t>
            </w: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vMerge w:val="continue"/>
          </w:tcPr>
          <w:p>
            <w:pPr>
              <w:spacing w:after="0"/>
              <w:rPr>
                <w:sz w:val="14"/>
                <w:szCs w:val="14"/>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80,547,751</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445,375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4,600,000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810</w:t>
            </w:r>
          </w:p>
        </w:tc>
        <w:tc>
          <w:tcPr>
            <w:tcW w:w="920" w:type="dxa"/>
            <w:vAlign w:val="bottom"/>
          </w:tcPr>
          <w:p>
            <w:pPr>
              <w:spacing w:after="0"/>
              <w:rPr>
                <w:sz w:val="14"/>
                <w:szCs w:val="14"/>
                <w:color w:val="auto"/>
              </w:rPr>
            </w:pPr>
          </w:p>
        </w:tc>
        <w:tc>
          <w:tcPr>
            <w:tcW w:w="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46</w:t>
            </w:r>
          </w:p>
        </w:tc>
        <w:tc>
          <w:tcPr>
            <w:tcW w:w="60" w:type="dxa"/>
            <w:vAlign w:val="bottom"/>
          </w:tcPr>
          <w:p>
            <w:pPr>
              <w:spacing w:after="0"/>
              <w:rPr>
                <w:sz w:val="14"/>
                <w:szCs w:val="14"/>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746,073</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March 31, 2020</w:t>
            </w:r>
          </w:p>
        </w:tc>
        <w:tc>
          <w:tcPr>
            <w:tcW w:w="136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2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(4,159</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relation to the share-based compensation (Note 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35"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On February 5, 2020, the board of directors declared a quarterly cash dividend of $0.15 per common share, which was paid on March 12, 2020 to shareholders of record as of March 2, 2020 for a total amount of $12,082.</w:t>
      </w:r>
    </w:p>
    <w:p>
      <w:pPr>
        <w:spacing w:after="0" w:line="172" w:lineRule="exact"/>
        <w:rPr>
          <w:sz w:val="20"/>
          <w:szCs w:val="20"/>
          <w:color w:val="auto"/>
        </w:rPr>
      </w:pPr>
    </w:p>
    <w:p>
      <w:pPr>
        <w:ind w:right="480" w:firstLine="383"/>
        <w:spacing w:after="0" w:line="293" w:lineRule="auto"/>
        <w:rPr>
          <w:sz w:val="20"/>
          <w:szCs w:val="20"/>
          <w:color w:val="auto"/>
        </w:rPr>
      </w:pPr>
      <w:r>
        <w:rPr>
          <w:rFonts w:ascii="Arial" w:cs="Arial" w:eastAsia="Arial" w:hAnsi="Arial"/>
          <w:sz w:val="16"/>
          <w:szCs w:val="16"/>
          <w:color w:val="auto"/>
        </w:rPr>
        <w:t>On March 12, 2020, the board of directors declared a dividend on the Series A Preference Shares of $0.546875 per share, or $2,516 in the aggregate, payable on April 1, 2020 to holders of record as of March 31, 2020. GasLog paid the declared dividend to the transfer agent on April 1,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60" w:type="dxa"/>
            <w:vAlign w:val="bottom"/>
          </w:tcPr>
          <w:p>
            <w:pPr>
              <w:spacing w:after="0"/>
              <w:rPr>
                <w:sz w:val="20"/>
                <w:szCs w:val="20"/>
                <w:color w:val="auto"/>
              </w:rPr>
            </w:pPr>
            <w:r>
              <w:rPr>
                <w:rFonts w:ascii="Arial" w:cs="Arial" w:eastAsia="Arial" w:hAnsi="Arial"/>
                <w:sz w:val="16"/>
                <w:szCs w:val="16"/>
                <w:color w:val="auto"/>
              </w:rPr>
              <w:t>(a) Commitments relating to the vessels under construction (Note 5) as of March 31, 2020 payable to Samsung were as follows:</w:t>
            </w:r>
          </w:p>
        </w:tc>
        <w:tc>
          <w:tcPr>
            <w:tcW w:w="1820" w:type="dxa"/>
            <w:vAlign w:val="bottom"/>
          </w:tcPr>
          <w:p>
            <w:pPr>
              <w:spacing w:after="0"/>
              <w:rPr>
                <w:sz w:val="17"/>
                <w:szCs w:val="17"/>
                <w:color w:val="auto"/>
              </w:rPr>
            </w:pPr>
          </w:p>
        </w:tc>
      </w:tr>
      <w:tr>
        <w:trPr>
          <w:trHeight w:val="422"/>
        </w:trPr>
        <w:tc>
          <w:tcPr>
            <w:tcW w:w="9060" w:type="dxa"/>
            <w:vAlign w:val="bottom"/>
            <w:tcBorders>
              <w:bottom w:val="single" w:sz="8" w:color="E5FFFF"/>
            </w:tcBorders>
          </w:tcPr>
          <w:p>
            <w:pPr>
              <w:spacing w:after="0"/>
              <w:rPr>
                <w:sz w:val="24"/>
                <w:szCs w:val="24"/>
                <w:color w:val="auto"/>
              </w:rPr>
            </w:pPr>
          </w:p>
        </w:tc>
        <w:tc>
          <w:tcPr>
            <w:tcW w:w="1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2020</w:t>
            </w:r>
          </w:p>
        </w:tc>
      </w:tr>
      <w:tr>
        <w:trPr>
          <w:trHeight w:val="185"/>
        </w:trPr>
        <w:tc>
          <w:tcPr>
            <w:tcW w:w="906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820" w:type="dxa"/>
            <w:vAlign w:val="bottom"/>
            <w:shd w:val="clear" w:color="auto" w:fill="E5FFFF"/>
          </w:tcPr>
          <w:p>
            <w:pPr>
              <w:spacing w:after="0"/>
              <w:rPr>
                <w:sz w:val="16"/>
                <w:szCs w:val="16"/>
                <w:color w:val="auto"/>
              </w:rPr>
            </w:pPr>
          </w:p>
        </w:tc>
      </w:tr>
      <w:tr>
        <w:trPr>
          <w:trHeight w:val="203"/>
        </w:trPr>
        <w:tc>
          <w:tcPr>
            <w:tcW w:w="906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820" w:type="dxa"/>
            <w:vAlign w:val="bottom"/>
          </w:tcPr>
          <w:p>
            <w:pPr>
              <w:jc w:val="right"/>
              <w:spacing w:after="0"/>
              <w:rPr>
                <w:sz w:val="20"/>
                <w:szCs w:val="20"/>
                <w:color w:val="auto"/>
              </w:rPr>
            </w:pPr>
            <w:r>
              <w:rPr>
                <w:rFonts w:ascii="Arial" w:cs="Arial" w:eastAsia="Arial" w:hAnsi="Arial"/>
                <w:sz w:val="16"/>
                <w:szCs w:val="16"/>
                <w:color w:val="auto"/>
              </w:rPr>
              <w:t>783,615</w:t>
            </w:r>
          </w:p>
        </w:tc>
      </w:tr>
      <w:tr>
        <w:trPr>
          <w:trHeight w:val="203"/>
        </w:trPr>
        <w:tc>
          <w:tcPr>
            <w:tcW w:w="906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301,760</w:t>
            </w:r>
          </w:p>
        </w:tc>
      </w:tr>
      <w:tr>
        <w:trPr>
          <w:trHeight w:val="203"/>
        </w:trPr>
        <w:tc>
          <w:tcPr>
            <w:tcW w:w="90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1,085,375</w:t>
            </w:r>
          </w:p>
        </w:tc>
      </w:tr>
    </w:tbl>
    <w:p>
      <w:pPr>
        <w:spacing w:after="0" w:line="206" w:lineRule="exact"/>
        <w:rPr>
          <w:sz w:val="20"/>
          <w:szCs w:val="20"/>
          <w:color w:val="auto"/>
        </w:rPr>
      </w:pPr>
    </w:p>
    <w:p>
      <w:pPr>
        <w:ind w:right="20" w:firstLine="8"/>
        <w:spacing w:after="0" w:line="278"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Future gross minimum revenues receivable in relation to non-cancellable time charter agreements for vessels in operation, including a vessel under a lease (Note 6), as of March 31, 2020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938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379,048</w:t>
            </w:r>
          </w:p>
        </w:tc>
      </w:tr>
      <w:tr>
        <w:trPr>
          <w:trHeight w:val="203"/>
        </w:trPr>
        <w:tc>
          <w:tcPr>
            <w:tcW w:w="938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1860" w:type="dxa"/>
            <w:vAlign w:val="bottom"/>
          </w:tcPr>
          <w:p>
            <w:pPr>
              <w:jc w:val="right"/>
              <w:spacing w:after="0"/>
              <w:rPr>
                <w:sz w:val="20"/>
                <w:szCs w:val="20"/>
                <w:color w:val="auto"/>
              </w:rPr>
            </w:pPr>
            <w:r>
              <w:rPr>
                <w:rFonts w:ascii="Arial" w:cs="Arial" w:eastAsia="Arial" w:hAnsi="Arial"/>
                <w:sz w:val="16"/>
                <w:szCs w:val="16"/>
                <w:color w:val="auto"/>
              </w:rPr>
              <w:t>300,538</w:t>
            </w:r>
          </w:p>
        </w:tc>
      </w:tr>
      <w:tr>
        <w:trPr>
          <w:trHeight w:val="203"/>
        </w:trPr>
        <w:tc>
          <w:tcPr>
            <w:tcW w:w="938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277,014</w:t>
            </w:r>
          </w:p>
        </w:tc>
      </w:tr>
      <w:tr>
        <w:trPr>
          <w:trHeight w:val="203"/>
        </w:trPr>
        <w:tc>
          <w:tcPr>
            <w:tcW w:w="938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860" w:type="dxa"/>
            <w:vAlign w:val="bottom"/>
          </w:tcPr>
          <w:p>
            <w:pPr>
              <w:jc w:val="right"/>
              <w:spacing w:after="0"/>
              <w:rPr>
                <w:sz w:val="20"/>
                <w:szCs w:val="20"/>
                <w:color w:val="auto"/>
              </w:rPr>
            </w:pPr>
            <w:r>
              <w:rPr>
                <w:rFonts w:ascii="Arial" w:cs="Arial" w:eastAsia="Arial" w:hAnsi="Arial"/>
                <w:sz w:val="16"/>
                <w:szCs w:val="16"/>
                <w:color w:val="auto"/>
              </w:rPr>
              <w:t>256,722</w:t>
            </w:r>
          </w:p>
        </w:tc>
      </w:tr>
      <w:tr>
        <w:trPr>
          <w:trHeight w:val="203"/>
        </w:trPr>
        <w:tc>
          <w:tcPr>
            <w:tcW w:w="938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207,641</w:t>
            </w:r>
          </w:p>
        </w:tc>
      </w:tr>
      <w:tr>
        <w:trPr>
          <w:trHeight w:val="203"/>
        </w:trPr>
        <w:tc>
          <w:tcPr>
            <w:tcW w:w="93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Later than five years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502,886</w:t>
            </w:r>
          </w:p>
        </w:tc>
      </w:tr>
      <w:tr>
        <w:trPr>
          <w:trHeight w:val="203"/>
        </w:trPr>
        <w:tc>
          <w:tcPr>
            <w:tcW w:w="9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1,923,849</w:t>
            </w:r>
          </w:p>
        </w:tc>
      </w:tr>
    </w:tbl>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48" w:lineRule="exact"/>
        <w:rPr>
          <w:sz w:val="20"/>
          <w:szCs w:val="20"/>
          <w:color w:val="auto"/>
        </w:rPr>
      </w:pPr>
    </w:p>
    <w:p>
      <w:pPr>
        <w:ind w:left="260" w:right="60" w:hanging="252"/>
        <w:spacing w:after="0" w:line="262"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6"/>
          <w:szCs w:val="16"/>
          <w:color w:val="auto"/>
        </w:rPr>
        <w:t>Related to the acquisition of six vessels from a subsidiary of MSL in 2014 and another two vessels in 2015, the Group is committed to purchase depot spares from MSL with an aggregate initial value of $8,000 of which depot spares with value of $660 have been purchased and paid as of March 31, 2020 and are included in Tangible fixed assets (Note 5) with the remaining spares expected to be acquired and paid in second quarter of 2020.</w:t>
      </w:r>
    </w:p>
    <w:p>
      <w:pPr>
        <w:spacing w:after="0" w:line="209" w:lineRule="exact"/>
        <w:rPr>
          <w:rFonts w:ascii="Arial" w:cs="Arial" w:eastAsia="Arial" w:hAnsi="Arial"/>
          <w:sz w:val="18"/>
          <w:szCs w:val="18"/>
          <w:color w:val="auto"/>
        </w:rPr>
      </w:pPr>
    </w:p>
    <w:p>
      <w:pPr>
        <w:ind w:left="260" w:right="20" w:hanging="252"/>
        <w:spacing w:after="0" w:line="262" w:lineRule="auto"/>
        <w:tabs>
          <w:tab w:leader="none" w:pos="268" w:val="left"/>
        </w:tabs>
        <w:numPr>
          <w:ilvl w:val="0"/>
          <w:numId w:val="24"/>
        </w:numPr>
        <w:rPr>
          <w:rFonts w:ascii="Arial" w:cs="Arial" w:eastAsia="Arial" w:hAnsi="Arial"/>
          <w:sz w:val="18"/>
          <w:szCs w:val="18"/>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210" w:lineRule="exact"/>
        <w:rPr>
          <w:rFonts w:ascii="Arial" w:cs="Arial" w:eastAsia="Arial" w:hAnsi="Arial"/>
          <w:sz w:val="18"/>
          <w:szCs w:val="18"/>
          <w:color w:val="auto"/>
        </w:rPr>
      </w:pPr>
    </w:p>
    <w:p>
      <w:pPr>
        <w:ind w:left="260" w:right="140" w:hanging="252"/>
        <w:spacing w:after="0" w:line="262"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March 31, 2020, ballast water management systems had been installed on six out of the nineteen vessels.</w:t>
      </w:r>
    </w:p>
    <w:p>
      <w:pPr>
        <w:spacing w:after="0" w:line="196" w:lineRule="exact"/>
        <w:rPr>
          <w:sz w:val="20"/>
          <w:szCs w:val="20"/>
          <w:color w:val="auto"/>
        </w:rPr>
      </w:pPr>
    </w:p>
    <w:p>
      <w:pPr>
        <w:ind w:right="100" w:firstLine="43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17. Derivative Financial Instruments</w:t>
            </w: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18"/>
        </w:trPr>
        <w:tc>
          <w:tcPr>
            <w:tcW w:w="7860" w:type="dxa"/>
            <w:vAlign w:val="bottom"/>
          </w:tcPr>
          <w:p>
            <w:pPr>
              <w:ind w:left="360"/>
              <w:spacing w:after="0"/>
              <w:rPr>
                <w:sz w:val="20"/>
                <w:szCs w:val="20"/>
                <w:color w:val="auto"/>
              </w:rPr>
            </w:pPr>
            <w:r>
              <w:rPr>
                <w:rFonts w:ascii="Arial" w:cs="Arial" w:eastAsia="Arial" w:hAnsi="Arial"/>
                <w:sz w:val="16"/>
                <w:szCs w:val="16"/>
                <w:color w:val="auto"/>
              </w:rPr>
              <w:t>The fair value of the derivative assets is as follows:</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1"/>
        </w:trPr>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86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1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2020</w:t>
            </w:r>
          </w:p>
        </w:tc>
      </w:tr>
      <w:tr>
        <w:trPr>
          <w:trHeight w:val="185"/>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4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Interest rate swaps</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389</w:t>
            </w: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168</w:t>
            </w:r>
          </w:p>
        </w:tc>
      </w:tr>
      <w:tr>
        <w:trPr>
          <w:trHeight w:val="203"/>
        </w:trPr>
        <w:tc>
          <w:tcPr>
            <w:tcW w:w="7860" w:type="dxa"/>
            <w:vAlign w:val="bottom"/>
          </w:tcPr>
          <w:p>
            <w:pPr>
              <w:spacing w:after="0"/>
              <w:rPr>
                <w:sz w:val="20"/>
                <w:szCs w:val="20"/>
                <w:color w:val="auto"/>
              </w:rPr>
            </w:pPr>
            <w:r>
              <w:rPr>
                <w:rFonts w:ascii="Arial" w:cs="Arial" w:eastAsia="Arial" w:hAnsi="Arial"/>
                <w:sz w:val="16"/>
                <w:szCs w:val="16"/>
                <w:b w:val="1"/>
                <w:bCs w:val="1"/>
                <w:color w:val="auto"/>
              </w:rPr>
              <w:t>Derivative assets designated and effective as hedging instruments carried at fair value</w:t>
            </w: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Cross-currency swaps</w:t>
            </w:r>
          </w:p>
        </w:tc>
        <w:tc>
          <w:tcPr>
            <w:tcW w:w="1540" w:type="dxa"/>
            <w:vAlign w:val="bottom"/>
            <w:tcBorders>
              <w:bottom w:val="single" w:sz="8" w:color="auto"/>
            </w:tcBorders>
            <w:gridSpan w:val="2"/>
            <w:shd w:val="clear" w:color="auto" w:fill="E5FFFF"/>
          </w:tcPr>
          <w:p>
            <w:pPr>
              <w:jc w:val="center"/>
              <w:ind w:left="1079"/>
              <w:spacing w:after="0"/>
              <w:rPr>
                <w:sz w:val="20"/>
                <w:szCs w:val="20"/>
                <w:color w:val="auto"/>
              </w:rPr>
            </w:pPr>
            <w:r>
              <w:rPr>
                <w:rFonts w:ascii="Arial" w:cs="Arial" w:eastAsia="Arial" w:hAnsi="Arial"/>
                <w:sz w:val="16"/>
                <w:szCs w:val="16"/>
                <w:color w:val="auto"/>
                <w:w w:val="94"/>
              </w:rPr>
              <w:t>3,594</w:t>
            </w: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 w:type="dxa"/>
            <w:vAlign w:val="bottom"/>
            <w:tcBorders>
              <w:bottom w:val="single" w:sz="8" w:color="auto"/>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gridSpan w:val="2"/>
          </w:tcPr>
          <w:p>
            <w:pPr>
              <w:jc w:val="center"/>
              <w:ind w:left="1079"/>
              <w:spacing w:after="0"/>
              <w:rPr>
                <w:sz w:val="20"/>
                <w:szCs w:val="20"/>
                <w:color w:val="auto"/>
              </w:rPr>
            </w:pPr>
            <w:r>
              <w:rPr>
                <w:rFonts w:ascii="Arial" w:cs="Arial" w:eastAsia="Arial" w:hAnsi="Arial"/>
                <w:sz w:val="16"/>
                <w:szCs w:val="16"/>
                <w:b w:val="1"/>
                <w:bCs w:val="1"/>
                <w:color w:val="auto"/>
                <w:w w:val="94"/>
              </w:rPr>
              <w:t>4,001</w:t>
            </w:r>
          </w:p>
        </w:tc>
        <w:tc>
          <w:tcPr>
            <w:tcW w:w="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168</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assets</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429</w:t>
            </w: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168</w:t>
            </w:r>
          </w:p>
        </w:tc>
      </w:tr>
      <w:tr>
        <w:trPr>
          <w:trHeight w:val="203"/>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assets</w:t>
            </w:r>
          </w:p>
        </w:tc>
        <w:tc>
          <w:tcPr>
            <w:tcW w:w="1540" w:type="dxa"/>
            <w:vAlign w:val="bottom"/>
            <w:tcBorders>
              <w:bottom w:val="single" w:sz="8" w:color="auto"/>
            </w:tcBorders>
            <w:gridSpan w:val="2"/>
          </w:tcPr>
          <w:p>
            <w:pPr>
              <w:jc w:val="center"/>
              <w:ind w:left="1079"/>
              <w:spacing w:after="0"/>
              <w:rPr>
                <w:sz w:val="20"/>
                <w:szCs w:val="20"/>
                <w:color w:val="auto"/>
              </w:rPr>
            </w:pPr>
            <w:r>
              <w:rPr>
                <w:rFonts w:ascii="Arial" w:cs="Arial" w:eastAsia="Arial" w:hAnsi="Arial"/>
                <w:sz w:val="16"/>
                <w:szCs w:val="16"/>
                <w:color w:val="auto"/>
                <w:w w:val="94"/>
              </w:rPr>
              <w:t>3,572</w:t>
            </w:r>
          </w:p>
        </w:tc>
        <w:tc>
          <w:tcPr>
            <w:tcW w:w="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gridSpan w:val="2"/>
            <w:shd w:val="clear" w:color="auto" w:fill="E5FFFF"/>
          </w:tcPr>
          <w:p>
            <w:pPr>
              <w:jc w:val="center"/>
              <w:ind w:left="1079"/>
              <w:spacing w:after="0"/>
              <w:rPr>
                <w:sz w:val="20"/>
                <w:szCs w:val="20"/>
                <w:color w:val="auto"/>
              </w:rPr>
            </w:pPr>
            <w:r>
              <w:rPr>
                <w:rFonts w:ascii="Arial" w:cs="Arial" w:eastAsia="Arial" w:hAnsi="Arial"/>
                <w:sz w:val="16"/>
                <w:szCs w:val="16"/>
                <w:b w:val="1"/>
                <w:bCs w:val="1"/>
                <w:color w:val="auto"/>
                <w:w w:val="94"/>
              </w:rPr>
              <w:t>4,001</w:t>
            </w:r>
          </w:p>
        </w:tc>
        <w:tc>
          <w:tcPr>
            <w:tcW w:w="40" w:type="dxa"/>
            <w:vAlign w:val="bottom"/>
            <w:tcBorders>
              <w:bottom w:val="single" w:sz="8" w:color="E5FFFF"/>
            </w:tcBorders>
            <w:shd w:val="clear" w:color="auto" w:fill="E5FFFF"/>
          </w:tcPr>
          <w:p>
            <w:pPr>
              <w:spacing w:after="0"/>
              <w:rPr>
                <w:sz w:val="18"/>
                <w:szCs w:val="18"/>
                <w:color w:val="auto"/>
              </w:rPr>
            </w:pPr>
          </w:p>
        </w:tc>
        <w:tc>
          <w:tcPr>
            <w:tcW w:w="40" w:type="dxa"/>
            <w:vAlign w:val="bottom"/>
            <w:tcBorders>
              <w:bottom w:val="single" w:sz="8" w:color="E5FFFF"/>
            </w:tcBorders>
            <w:shd w:val="clear" w:color="auto" w:fill="E5FFFF"/>
          </w:tcPr>
          <w:p>
            <w:pPr>
              <w:spacing w:after="0"/>
              <w:rPr>
                <w:sz w:val="18"/>
                <w:szCs w:val="18"/>
                <w:color w:val="auto"/>
              </w:rPr>
            </w:pPr>
          </w:p>
        </w:tc>
        <w:tc>
          <w:tcPr>
            <w:tcW w:w="14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168</w:t>
            </w:r>
          </w:p>
        </w:tc>
      </w:tr>
      <w:tr>
        <w:trPr>
          <w:trHeight w:val="400"/>
        </w:trPr>
        <w:tc>
          <w:tcPr>
            <w:tcW w:w="7860" w:type="dxa"/>
            <w:vAlign w:val="bottom"/>
          </w:tcPr>
          <w:p>
            <w:pPr>
              <w:ind w:left="400"/>
              <w:spacing w:after="0"/>
              <w:rPr>
                <w:sz w:val="20"/>
                <w:szCs w:val="20"/>
                <w:color w:val="auto"/>
              </w:rPr>
            </w:pPr>
            <w:r>
              <w:rPr>
                <w:rFonts w:ascii="Arial" w:cs="Arial" w:eastAsia="Arial" w:hAnsi="Arial"/>
                <w:sz w:val="16"/>
                <w:szCs w:val="16"/>
                <w:color w:val="auto"/>
              </w:rPr>
              <w:t>The fair value of the derivative liabilities is as follows:</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1"/>
        </w:trPr>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860" w:type="dxa"/>
            <w:vAlign w:val="bottom"/>
          </w:tcPr>
          <w:p>
            <w:pPr>
              <w:spacing w:after="0"/>
              <w:rPr>
                <w:sz w:val="18"/>
                <w:szCs w:val="18"/>
                <w:color w:val="auto"/>
              </w:rPr>
            </w:pPr>
          </w:p>
        </w:tc>
        <w:tc>
          <w:tcPr>
            <w:tcW w:w="15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2020</w:t>
            </w:r>
          </w:p>
        </w:tc>
      </w:tr>
      <w:tr>
        <w:trPr>
          <w:trHeight w:val="186"/>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40" w:type="dxa"/>
            <w:vAlign w:val="bottom"/>
            <w:tcBorders>
              <w:top w:val="single" w:sz="8" w:color="E5FFFF"/>
            </w:tcBorders>
            <w:shd w:val="clear" w:color="auto" w:fill="E5FFFF"/>
          </w:tcPr>
          <w:p>
            <w:pPr>
              <w:spacing w:after="0"/>
              <w:rPr>
                <w:sz w:val="16"/>
                <w:szCs w:val="16"/>
                <w:color w:val="auto"/>
              </w:rPr>
            </w:pPr>
          </w:p>
        </w:tc>
        <w:tc>
          <w:tcPr>
            <w:tcW w:w="1500" w:type="dxa"/>
            <w:vAlign w:val="bottom"/>
            <w:tcBorders>
              <w:top w:val="single" w:sz="8" w:color="auto"/>
            </w:tcBorders>
            <w:shd w:val="clear" w:color="auto" w:fill="E5FFFF"/>
          </w:tcPr>
          <w:p>
            <w:pPr>
              <w:spacing w:after="0"/>
              <w:rPr>
                <w:sz w:val="16"/>
                <w:szCs w:val="16"/>
                <w:color w:val="auto"/>
              </w:rPr>
            </w:pPr>
          </w:p>
        </w:tc>
        <w:tc>
          <w:tcPr>
            <w:tcW w:w="40" w:type="dxa"/>
            <w:vAlign w:val="bottom"/>
            <w:tcBorders>
              <w:top w:val="single" w:sz="8" w:color="auto"/>
            </w:tcBorders>
            <w:shd w:val="clear" w:color="auto" w:fill="E5FFFF"/>
          </w:tcPr>
          <w:p>
            <w:pPr>
              <w:spacing w:after="0"/>
              <w:rPr>
                <w:sz w:val="16"/>
                <w:szCs w:val="16"/>
                <w:color w:val="auto"/>
              </w:rPr>
            </w:pPr>
          </w:p>
        </w:tc>
        <w:tc>
          <w:tcPr>
            <w:tcW w:w="4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400" w:type="dxa"/>
            <w:vAlign w:val="bottom"/>
            <w:tcBorders>
              <w:top w:val="single" w:sz="8" w:color="auto"/>
            </w:tcBorders>
            <w:shd w:val="clear" w:color="auto" w:fill="E5FFFF"/>
          </w:tcPr>
          <w:p>
            <w:pPr>
              <w:spacing w:after="0"/>
              <w:rPr>
                <w:sz w:val="16"/>
                <w:szCs w:val="16"/>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Interest rate swaps</w:t>
            </w:r>
          </w:p>
        </w:tc>
        <w:tc>
          <w:tcPr>
            <w:tcW w:w="1620" w:type="dxa"/>
            <w:vAlign w:val="bottom"/>
            <w:gridSpan w:val="4"/>
          </w:tcPr>
          <w:p>
            <w:pPr>
              <w:jc w:val="center"/>
              <w:ind w:left="999"/>
              <w:spacing w:after="0"/>
              <w:rPr>
                <w:sz w:val="20"/>
                <w:szCs w:val="20"/>
                <w:color w:val="auto"/>
              </w:rPr>
            </w:pPr>
            <w:r>
              <w:rPr>
                <w:rFonts w:ascii="Arial" w:cs="Arial" w:eastAsia="Arial" w:hAnsi="Arial"/>
                <w:sz w:val="16"/>
                <w:szCs w:val="16"/>
                <w:color w:val="auto"/>
                <w:w w:val="93"/>
              </w:rPr>
              <w:t>49,891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119,854</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620" w:type="dxa"/>
            <w:vAlign w:val="bottom"/>
            <w:gridSpan w:val="4"/>
            <w:shd w:val="clear" w:color="auto" w:fill="E5FFFF"/>
          </w:tcPr>
          <w:p>
            <w:pPr>
              <w:jc w:val="right"/>
              <w:ind w:right="40"/>
              <w:spacing w:after="0"/>
              <w:rPr>
                <w:sz w:val="20"/>
                <w:szCs w:val="20"/>
                <w:color w:val="auto"/>
              </w:rPr>
            </w:pPr>
            <w:r>
              <w:rPr>
                <w:rFonts w:ascii="Arial" w:cs="Arial" w:eastAsia="Arial" w:hAnsi="Arial"/>
                <w:sz w:val="16"/>
                <w:szCs w:val="16"/>
                <w:color w:val="auto"/>
              </w:rPr>
              <w:t>41</w:t>
            </w: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1,171</w:t>
            </w:r>
          </w:p>
        </w:tc>
      </w:tr>
      <w:tr>
        <w:trPr>
          <w:trHeight w:val="203"/>
        </w:trPr>
        <w:tc>
          <w:tcPr>
            <w:tcW w:w="7860" w:type="dxa"/>
            <w:vAlign w:val="bottom"/>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Cross currency swaps</w:t>
            </w:r>
          </w:p>
        </w:tc>
        <w:tc>
          <w:tcPr>
            <w:tcW w:w="40" w:type="dxa"/>
            <w:vAlign w:val="bottom"/>
            <w:shd w:val="clear" w:color="auto" w:fill="E5FFFF"/>
          </w:tcPr>
          <w:p>
            <w:pPr>
              <w:spacing w:after="0"/>
              <w:rPr>
                <w:sz w:val="17"/>
                <w:szCs w:val="17"/>
                <w:color w:val="auto"/>
              </w:rPr>
            </w:pPr>
          </w:p>
        </w:tc>
        <w:tc>
          <w:tcPr>
            <w:tcW w:w="158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15,673</w:t>
            </w:r>
          </w:p>
        </w:tc>
      </w:tr>
      <w:tr>
        <w:trPr>
          <w:trHeight w:val="203"/>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E5FF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center"/>
              <w:ind w:left="999"/>
              <w:spacing w:after="0"/>
              <w:rPr>
                <w:sz w:val="20"/>
                <w:szCs w:val="20"/>
                <w:color w:val="auto"/>
              </w:rPr>
            </w:pPr>
            <w:r>
              <w:rPr>
                <w:rFonts w:ascii="Arial" w:cs="Arial" w:eastAsia="Arial" w:hAnsi="Arial"/>
                <w:sz w:val="16"/>
                <w:szCs w:val="16"/>
                <w:b w:val="1"/>
                <w:bCs w:val="1"/>
                <w:color w:val="auto"/>
                <w:w w:val="93"/>
              </w:rPr>
              <w:t>49,932</w:t>
            </w:r>
          </w:p>
        </w:tc>
        <w:tc>
          <w:tcPr>
            <w:tcW w:w="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136,698</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liability</w:t>
            </w:r>
          </w:p>
        </w:tc>
        <w:tc>
          <w:tcPr>
            <w:tcW w:w="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8,095</w:t>
            </w: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28,364</w:t>
            </w: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620" w:type="dxa"/>
            <w:vAlign w:val="bottom"/>
            <w:gridSpan w:val="4"/>
          </w:tcPr>
          <w:p>
            <w:pPr>
              <w:jc w:val="center"/>
              <w:ind w:left="999"/>
              <w:spacing w:after="0"/>
              <w:rPr>
                <w:sz w:val="20"/>
                <w:szCs w:val="20"/>
                <w:color w:val="auto"/>
              </w:rPr>
            </w:pPr>
            <w:r>
              <w:rPr>
                <w:rFonts w:ascii="Arial" w:cs="Arial" w:eastAsia="Arial" w:hAnsi="Arial"/>
                <w:sz w:val="16"/>
                <w:szCs w:val="16"/>
                <w:color w:val="auto"/>
                <w:w w:val="93"/>
              </w:rPr>
              <w:t>41,837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108,334</w:t>
            </w:r>
          </w:p>
        </w:tc>
      </w:tr>
      <w:tr>
        <w:trPr>
          <w:trHeight w:val="203"/>
        </w:trPr>
        <w:tc>
          <w:tcPr>
            <w:tcW w:w="7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540" w:type="dxa"/>
            <w:vAlign w:val="bottom"/>
            <w:tcBorders>
              <w:top w:val="single" w:sz="8" w:color="auto"/>
              <w:bottom w:val="single" w:sz="8" w:color="auto"/>
            </w:tcBorders>
            <w:gridSpan w:val="2"/>
            <w:shd w:val="clear" w:color="auto" w:fill="E5FFFF"/>
          </w:tcPr>
          <w:p>
            <w:pPr>
              <w:jc w:val="center"/>
              <w:ind w:left="999"/>
              <w:spacing w:after="0"/>
              <w:rPr>
                <w:sz w:val="20"/>
                <w:szCs w:val="20"/>
                <w:color w:val="auto"/>
              </w:rPr>
            </w:pPr>
            <w:r>
              <w:rPr>
                <w:rFonts w:ascii="Arial" w:cs="Arial" w:eastAsia="Arial" w:hAnsi="Arial"/>
                <w:sz w:val="16"/>
                <w:szCs w:val="16"/>
                <w:b w:val="1"/>
                <w:bCs w:val="1"/>
                <w:color w:val="auto"/>
                <w:w w:val="93"/>
              </w:rPr>
              <w:t>49,932</w:t>
            </w: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136,698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jc w:val="both"/>
        <w:ind w:right="40" w:firstLine="356"/>
        <w:spacing w:after="0" w:line="335" w:lineRule="auto"/>
        <w:rPr>
          <w:sz w:val="20"/>
          <w:szCs w:val="20"/>
          <w:color w:val="auto"/>
        </w:rPr>
      </w:pPr>
      <w:r>
        <w:rPr>
          <w:rFonts w:ascii="Arial" w:cs="Arial" w:eastAsia="Arial" w:hAnsi="Arial"/>
          <w:sz w:val="14"/>
          <w:szCs w:val="14"/>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Effective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Termination</w:t>
            </w: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Fixed Interest</w:t>
            </w: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6"/>
                <w:szCs w:val="16"/>
                <w:color w:val="auto"/>
              </w:rPr>
            </w:pPr>
          </w:p>
        </w:tc>
      </w:tr>
      <w:tr>
        <w:trPr>
          <w:trHeight w:val="213"/>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960" w:type="dxa"/>
            <w:vAlign w:val="bottom"/>
            <w:gridSpan w:val="2"/>
          </w:tcPr>
          <w:p>
            <w:pPr>
              <w:ind w:left="380"/>
              <w:spacing w:after="0"/>
              <w:rPr>
                <w:sz w:val="20"/>
                <w:szCs w:val="20"/>
                <w:color w:val="auto"/>
              </w:rPr>
            </w:pPr>
            <w:r>
              <w:rPr>
                <w:rFonts w:ascii="Arial" w:cs="Arial" w:eastAsia="Arial" w:hAnsi="Arial"/>
                <w:sz w:val="16"/>
                <w:szCs w:val="16"/>
                <w:b w:val="1"/>
                <w:bCs w:val="1"/>
                <w:color w:val="auto"/>
              </w:rPr>
              <w:t>Counterparty</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Trade Date</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Rate</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199"/>
        </w:trPr>
        <w:tc>
          <w:tcPr>
            <w:tcW w:w="11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8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24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20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18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20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r>
      <w:tr>
        <w:trPr>
          <w:trHeight w:val="202"/>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Deutsche Bank AG</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66,667</w:t>
            </w:r>
          </w:p>
        </w:tc>
        <w:tc>
          <w:tcPr>
            <w:tcW w:w="148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r>
      <w:tr>
        <w:trPr>
          <w:trHeight w:val="203"/>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2022</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66,667</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DNB</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1.719%</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73,333</w:t>
            </w:r>
          </w:p>
        </w:tc>
        <w:tc>
          <w:tcPr>
            <w:tcW w:w="148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r>
      <w:tr>
        <w:trPr>
          <w:trHeight w:val="193"/>
        </w:trPr>
        <w:tc>
          <w:tcPr>
            <w:tcW w:w="118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 Bank plc</w:t>
            </w:r>
          </w:p>
        </w:tc>
        <w:tc>
          <w:tcPr>
            <w:tcW w:w="80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9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2022</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1.79%</w:t>
            </w: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33,333</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8"/>
                <w:szCs w:val="18"/>
                <w:color w:val="auto"/>
              </w:rPr>
            </w:pPr>
          </w:p>
        </w:tc>
      </w:tr>
      <w:tr>
        <w:trPr>
          <w:trHeight w:val="193"/>
        </w:trPr>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(“Nordea”)</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1.815%</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66,667</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66,667</w:t>
            </w:r>
          </w:p>
        </w:tc>
      </w:tr>
      <w:tr>
        <w:trPr>
          <w:trHeight w:val="196"/>
        </w:trPr>
        <w:tc>
          <w:tcPr>
            <w:tcW w:w="11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Skandinavinska Enskilda</w:t>
            </w:r>
          </w:p>
        </w:tc>
        <w:tc>
          <w:tcPr>
            <w:tcW w:w="8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Banken AB (“SEB”)</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2021</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1.8405%</w:t>
            </w: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50,000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8"/>
                <w:szCs w:val="18"/>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HSBC</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Feb 2017</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Feb 2017</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Feb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2.005%</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7"/>
                <w:szCs w:val="17"/>
                <w:color w:val="auto"/>
              </w:rPr>
            </w:pPr>
          </w:p>
        </w:tc>
      </w:tr>
      <w:tr>
        <w:trPr>
          <w:trHeight w:val="203"/>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88"/>
              </w:rPr>
              <w:t>Feb 2017</w:t>
            </w:r>
          </w:p>
        </w:tc>
        <w:tc>
          <w:tcPr>
            <w:tcW w:w="11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Feb 2017</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Mar 2022</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2.0145%</w:t>
            </w: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100,000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7"/>
                <w:szCs w:val="17"/>
                <w:color w:val="auto"/>
              </w:rPr>
            </w:pPr>
          </w:p>
        </w:tc>
      </w:tr>
      <w:tr>
        <w:trPr>
          <w:trHeight w:val="193"/>
        </w:trPr>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Arial" w:cs="Arial" w:eastAsia="Arial" w:hAnsi="Arial"/>
                <w:sz w:val="16"/>
                <w:szCs w:val="16"/>
                <w:color w:val="auto"/>
              </w:rPr>
              <w:t>ABN Amro Bank NV</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(“ABN”)</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Feb 2017</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Feb 2017</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Mar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2.003%</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100,000</w:t>
            </w:r>
          </w:p>
        </w:tc>
      </w:tr>
      <w:tr>
        <w:trPr>
          <w:trHeight w:val="209"/>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2020</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2026</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3.070%</w:t>
            </w: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8"/>
                <w:szCs w:val="18"/>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Nordea</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2026</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2.562%</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66,667</w:t>
            </w:r>
          </w:p>
        </w:tc>
        <w:tc>
          <w:tcPr>
            <w:tcW w:w="148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r>
      <w:tr>
        <w:trPr>
          <w:trHeight w:val="203"/>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2020</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2024</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3.025%</w:t>
            </w: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SEB</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Apr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2025</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2.300%</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48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r>
      <w:tr>
        <w:trPr>
          <w:trHeight w:val="203"/>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DNB</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July 2020</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2024</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3.056%</w:t>
            </w: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DNB</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2025</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2.472%</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73,333</w:t>
            </w:r>
          </w:p>
        </w:tc>
        <w:tc>
          <w:tcPr>
            <w:tcW w:w="148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r>
      <w:tr>
        <w:trPr>
          <w:trHeight w:val="203"/>
        </w:trPr>
        <w:tc>
          <w:tcPr>
            <w:tcW w:w="1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Apr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2024</w:t>
            </w:r>
          </w:p>
        </w:tc>
        <w:tc>
          <w:tcPr>
            <w:tcW w:w="10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2.475%</w:t>
            </w: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33,333</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r>
      <w:tr>
        <w:trPr>
          <w:trHeight w:val="206"/>
        </w:trPr>
        <w:tc>
          <w:tcPr>
            <w:tcW w:w="13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60" w:type="dxa"/>
            <w:vAlign w:val="bottom"/>
            <w:gridSpan w:val="2"/>
          </w:tcPr>
          <w:p>
            <w:pPr>
              <w:spacing w:after="0"/>
              <w:rPr>
                <w:sz w:val="20"/>
                <w:szCs w:val="20"/>
                <w:color w:val="auto"/>
              </w:rPr>
            </w:pPr>
            <w:r>
              <w:rPr>
                <w:rFonts w:ascii="Arial" w:cs="Arial" w:eastAsia="Arial" w:hAnsi="Arial"/>
                <w:sz w:val="16"/>
                <w:szCs w:val="16"/>
                <w:color w:val="auto"/>
              </w:rPr>
              <w:t>HSBC</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May 2018</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Apr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2025</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2.550%</w:t>
            </w:r>
          </w:p>
        </w:tc>
        <w:tc>
          <w:tcPr>
            <w:tcW w:w="2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33,333</w:t>
            </w:r>
          </w:p>
        </w:tc>
        <w:tc>
          <w:tcPr>
            <w:tcW w:w="1480" w:type="dxa"/>
            <w:vAlign w:val="bottom"/>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r>
      <w:tr>
        <w:trPr>
          <w:trHeight w:val="428"/>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F-15</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900" w:type="dxa"/>
            <w:vAlign w:val="bottom"/>
            <w:shd w:val="clear" w:color="auto" w:fill="E5FFFF"/>
          </w:tcPr>
          <w:p>
            <w:pPr>
              <w:spacing w:after="0"/>
              <w:rPr>
                <w:sz w:val="16"/>
                <w:szCs w:val="16"/>
                <w:color w:val="auto"/>
              </w:rPr>
            </w:pPr>
          </w:p>
        </w:tc>
        <w:tc>
          <w:tcPr>
            <w:tcW w:w="2000" w:type="dxa"/>
            <w:vAlign w:val="bottom"/>
            <w:shd w:val="clear" w:color="auto" w:fill="E5FFFF"/>
          </w:tcPr>
          <w:p>
            <w:pPr>
              <w:ind w:left="400"/>
              <w:spacing w:after="0"/>
              <w:rPr>
                <w:sz w:val="20"/>
                <w:szCs w:val="20"/>
                <w:color w:val="auto"/>
              </w:rPr>
            </w:pPr>
            <w:r>
              <w:rPr>
                <w:rFonts w:ascii="Arial" w:cs="Arial" w:eastAsia="Arial" w:hAnsi="Arial"/>
                <w:sz w:val="16"/>
                <w:szCs w:val="16"/>
                <w:color w:val="auto"/>
              </w:rPr>
              <w:t>Citibank Europe Plc.</w:t>
            </w:r>
          </w:p>
        </w:tc>
        <w:tc>
          <w:tcPr>
            <w:tcW w:w="14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4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r>
      <w:tr>
        <w:trPr>
          <w:trHeight w:val="212"/>
        </w:trPr>
        <w:tc>
          <w:tcPr>
            <w:tcW w:w="90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000" w:type="dxa"/>
            <w:vAlign w:val="bottom"/>
            <w:shd w:val="clear" w:color="auto" w:fill="E5FFFF"/>
          </w:tcPr>
          <w:p>
            <w:pPr>
              <w:ind w:left="400"/>
              <w:spacing w:after="0"/>
              <w:rPr>
                <w:sz w:val="20"/>
                <w:szCs w:val="20"/>
                <w:color w:val="auto"/>
              </w:rPr>
            </w:pPr>
            <w:r>
              <w:rPr>
                <w:rFonts w:ascii="Arial" w:cs="Arial" w:eastAsia="Arial" w:hAnsi="Arial"/>
                <w:sz w:val="16"/>
                <w:szCs w:val="16"/>
                <w:color w:val="auto"/>
              </w:rPr>
              <w:t>(“CITI”)</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93"/>
              </w:rPr>
              <w:t>May 2018</w:t>
            </w:r>
          </w:p>
        </w:tc>
        <w:tc>
          <w:tcPr>
            <w:tcW w:w="1240" w:type="dxa"/>
            <w:vAlign w:val="bottom"/>
            <w:shd w:val="clear" w:color="auto" w:fill="E5FFFF"/>
          </w:tcPr>
          <w:p>
            <w:pPr>
              <w:jc w:val="center"/>
              <w:ind w:right="39"/>
              <w:spacing w:after="0"/>
              <w:rPr>
                <w:sz w:val="20"/>
                <w:szCs w:val="20"/>
                <w:color w:val="auto"/>
              </w:rPr>
            </w:pPr>
            <w:r>
              <w:rPr>
                <w:rFonts w:ascii="Arial" w:cs="Arial" w:eastAsia="Arial" w:hAnsi="Arial"/>
                <w:sz w:val="16"/>
                <w:szCs w:val="16"/>
                <w:color w:val="auto"/>
                <w:w w:val="93"/>
              </w:rPr>
              <w:t>July 2020</w:t>
            </w:r>
          </w:p>
        </w:tc>
        <w:tc>
          <w:tcPr>
            <w:tcW w:w="1380" w:type="dxa"/>
            <w:vAlign w:val="bottom"/>
            <w:shd w:val="clear" w:color="auto" w:fill="E5FFFF"/>
          </w:tcPr>
          <w:p>
            <w:pPr>
              <w:jc w:val="center"/>
              <w:ind w:right="159"/>
              <w:spacing w:after="0"/>
              <w:rPr>
                <w:sz w:val="20"/>
                <w:szCs w:val="20"/>
                <w:color w:val="auto"/>
              </w:rPr>
            </w:pPr>
            <w:r>
              <w:rPr>
                <w:rFonts w:ascii="Arial" w:cs="Arial" w:eastAsia="Arial" w:hAnsi="Arial"/>
                <w:sz w:val="16"/>
                <w:szCs w:val="16"/>
                <w:color w:val="auto"/>
                <w:w w:val="90"/>
              </w:rPr>
              <w:t>July 2024</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3.082%</w:t>
            </w:r>
          </w:p>
        </w:tc>
        <w:tc>
          <w:tcPr>
            <w:tcW w:w="2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ind w:left="1180"/>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r>
      <w:tr>
        <w:trPr>
          <w:trHeight w:val="202"/>
        </w:trPr>
        <w:tc>
          <w:tcPr>
            <w:tcW w:w="900" w:type="dxa"/>
            <w:vAlign w:val="bottom"/>
          </w:tcPr>
          <w:p>
            <w:pPr>
              <w:spacing w:after="0"/>
              <w:rPr>
                <w:sz w:val="20"/>
                <w:szCs w:val="20"/>
                <w:color w:val="auto"/>
              </w:rPr>
            </w:pPr>
            <w:r>
              <w:rPr>
                <w:rFonts w:ascii="Arial" w:cs="Arial" w:eastAsia="Arial" w:hAnsi="Arial"/>
                <w:sz w:val="16"/>
                <w:szCs w:val="16"/>
                <w:color w:val="auto"/>
              </w:rPr>
              <w:t>GasLog</w:t>
            </w:r>
          </w:p>
        </w:tc>
        <w:tc>
          <w:tcPr>
            <w:tcW w:w="2000" w:type="dxa"/>
            <w:vAlign w:val="bottom"/>
          </w:tcPr>
          <w:p>
            <w:pPr>
              <w:ind w:left="400"/>
              <w:spacing w:after="0"/>
              <w:rPr>
                <w:sz w:val="20"/>
                <w:szCs w:val="20"/>
                <w:color w:val="auto"/>
              </w:rPr>
            </w:pPr>
            <w:r>
              <w:rPr>
                <w:rFonts w:ascii="Arial" w:cs="Arial" w:eastAsia="Arial" w:hAnsi="Arial"/>
                <w:sz w:val="16"/>
                <w:szCs w:val="16"/>
                <w:color w:val="auto"/>
              </w:rPr>
              <w:t>CITI</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3"/>
              </w:rPr>
              <w:t>May 2018</w:t>
            </w:r>
          </w:p>
        </w:tc>
        <w:tc>
          <w:tcPr>
            <w:tcW w:w="1240" w:type="dxa"/>
            <w:vAlign w:val="bottom"/>
          </w:tcPr>
          <w:p>
            <w:pPr>
              <w:jc w:val="center"/>
              <w:ind w:right="39"/>
              <w:spacing w:after="0"/>
              <w:rPr>
                <w:sz w:val="20"/>
                <w:szCs w:val="20"/>
                <w:color w:val="auto"/>
              </w:rPr>
            </w:pPr>
            <w:r>
              <w:rPr>
                <w:rFonts w:ascii="Arial" w:cs="Arial" w:eastAsia="Arial" w:hAnsi="Arial"/>
                <w:sz w:val="16"/>
                <w:szCs w:val="16"/>
                <w:color w:val="auto"/>
                <w:w w:val="93"/>
              </w:rPr>
              <w:t>July 2021</w:t>
            </w:r>
          </w:p>
        </w:tc>
        <w:tc>
          <w:tcPr>
            <w:tcW w:w="1380" w:type="dxa"/>
            <w:vAlign w:val="bottom"/>
          </w:tcPr>
          <w:p>
            <w:pPr>
              <w:jc w:val="center"/>
              <w:ind w:right="159"/>
              <w:spacing w:after="0"/>
              <w:rPr>
                <w:sz w:val="20"/>
                <w:szCs w:val="20"/>
                <w:color w:val="auto"/>
              </w:rPr>
            </w:pPr>
            <w:r>
              <w:rPr>
                <w:rFonts w:ascii="Arial" w:cs="Arial" w:eastAsia="Arial" w:hAnsi="Arial"/>
                <w:sz w:val="16"/>
                <w:szCs w:val="16"/>
                <w:color w:val="auto"/>
                <w:w w:val="90"/>
              </w:rPr>
              <w:t>July 2025</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3.095%</w:t>
            </w:r>
          </w:p>
        </w:tc>
        <w:tc>
          <w:tcPr>
            <w:tcW w:w="240" w:type="dxa"/>
            <w:vAlign w:val="bottom"/>
          </w:tcPr>
          <w:p>
            <w:pPr>
              <w:spacing w:after="0"/>
              <w:rPr>
                <w:sz w:val="17"/>
                <w:szCs w:val="17"/>
                <w:color w:val="auto"/>
              </w:rPr>
            </w:pPr>
          </w:p>
        </w:tc>
        <w:tc>
          <w:tcPr>
            <w:tcW w:w="15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90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000" w:type="dxa"/>
            <w:vAlign w:val="bottom"/>
            <w:shd w:val="clear" w:color="auto" w:fill="E5FFFF"/>
          </w:tcPr>
          <w:p>
            <w:pPr>
              <w:ind w:left="400"/>
              <w:spacing w:after="0"/>
              <w:rPr>
                <w:sz w:val="20"/>
                <w:szCs w:val="20"/>
                <w:color w:val="auto"/>
              </w:rPr>
            </w:pPr>
            <w:r>
              <w:rPr>
                <w:rFonts w:ascii="Arial" w:cs="Arial" w:eastAsia="Arial" w:hAnsi="Arial"/>
                <w:sz w:val="16"/>
                <w:szCs w:val="16"/>
                <w:color w:val="auto"/>
              </w:rPr>
              <w:t>SEB</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shd w:val="clear" w:color="auto" w:fill="E5FFFF"/>
          </w:tcPr>
          <w:p>
            <w:pPr>
              <w:jc w:val="center"/>
              <w:ind w:right="39"/>
              <w:spacing w:after="0"/>
              <w:rPr>
                <w:sz w:val="20"/>
                <w:szCs w:val="20"/>
                <w:color w:val="auto"/>
              </w:rPr>
            </w:pPr>
            <w:r>
              <w:rPr>
                <w:rFonts w:ascii="Arial" w:cs="Arial" w:eastAsia="Arial" w:hAnsi="Arial"/>
                <w:sz w:val="16"/>
                <w:szCs w:val="16"/>
                <w:color w:val="auto"/>
                <w:w w:val="90"/>
              </w:rPr>
              <w:t>October 2018</w:t>
            </w:r>
          </w:p>
        </w:tc>
        <w:tc>
          <w:tcPr>
            <w:tcW w:w="1380" w:type="dxa"/>
            <w:vAlign w:val="bottom"/>
            <w:shd w:val="clear" w:color="auto" w:fill="E5FFFF"/>
          </w:tcPr>
          <w:p>
            <w:pPr>
              <w:jc w:val="center"/>
              <w:ind w:right="159"/>
              <w:spacing w:after="0"/>
              <w:rPr>
                <w:sz w:val="20"/>
                <w:szCs w:val="20"/>
                <w:color w:val="auto"/>
              </w:rPr>
            </w:pPr>
            <w:r>
              <w:rPr>
                <w:rFonts w:ascii="Arial" w:cs="Arial" w:eastAsia="Arial" w:hAnsi="Arial"/>
                <w:sz w:val="16"/>
                <w:szCs w:val="16"/>
                <w:color w:val="auto"/>
                <w:w w:val="90"/>
              </w:rPr>
              <w:t>July 2026</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2.745%</w:t>
            </w:r>
          </w:p>
        </w:tc>
        <w:tc>
          <w:tcPr>
            <w:tcW w:w="2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50,000</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r>
      <w:tr>
        <w:trPr>
          <w:trHeight w:val="203"/>
        </w:trPr>
        <w:tc>
          <w:tcPr>
            <w:tcW w:w="900" w:type="dxa"/>
            <w:vAlign w:val="bottom"/>
          </w:tcPr>
          <w:p>
            <w:pPr>
              <w:spacing w:after="0"/>
              <w:rPr>
                <w:sz w:val="20"/>
                <w:szCs w:val="20"/>
                <w:color w:val="auto"/>
              </w:rPr>
            </w:pPr>
            <w:r>
              <w:rPr>
                <w:rFonts w:ascii="Arial" w:cs="Arial" w:eastAsia="Arial" w:hAnsi="Arial"/>
                <w:sz w:val="16"/>
                <w:szCs w:val="16"/>
                <w:color w:val="auto"/>
              </w:rPr>
              <w:t>GasLog</w:t>
            </w:r>
          </w:p>
        </w:tc>
        <w:tc>
          <w:tcPr>
            <w:tcW w:w="2000" w:type="dxa"/>
            <w:vAlign w:val="bottom"/>
          </w:tcPr>
          <w:p>
            <w:pPr>
              <w:ind w:left="400"/>
              <w:spacing w:after="0"/>
              <w:rPr>
                <w:sz w:val="20"/>
                <w:szCs w:val="20"/>
                <w:color w:val="auto"/>
              </w:rPr>
            </w:pPr>
            <w:r>
              <w:rPr>
                <w:rFonts w:ascii="Arial" w:cs="Arial" w:eastAsia="Arial" w:hAnsi="Arial"/>
                <w:sz w:val="16"/>
                <w:szCs w:val="16"/>
                <w:color w:val="auto"/>
              </w:rPr>
              <w:t>Nordea</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tcPr>
          <w:p>
            <w:pPr>
              <w:jc w:val="center"/>
              <w:ind w:right="39"/>
              <w:spacing w:after="0"/>
              <w:rPr>
                <w:sz w:val="20"/>
                <w:szCs w:val="20"/>
                <w:color w:val="auto"/>
              </w:rPr>
            </w:pPr>
            <w:r>
              <w:rPr>
                <w:rFonts w:ascii="Arial" w:cs="Arial" w:eastAsia="Arial" w:hAnsi="Arial"/>
                <w:sz w:val="16"/>
                <w:szCs w:val="16"/>
                <w:color w:val="auto"/>
                <w:w w:val="90"/>
              </w:rPr>
              <w:t>October 2018</w:t>
            </w:r>
          </w:p>
        </w:tc>
        <w:tc>
          <w:tcPr>
            <w:tcW w:w="1380" w:type="dxa"/>
            <w:vAlign w:val="bottom"/>
          </w:tcPr>
          <w:p>
            <w:pPr>
              <w:jc w:val="center"/>
              <w:ind w:right="159"/>
              <w:spacing w:after="0"/>
              <w:rPr>
                <w:sz w:val="20"/>
                <w:szCs w:val="20"/>
                <w:color w:val="auto"/>
              </w:rPr>
            </w:pPr>
            <w:r>
              <w:rPr>
                <w:rFonts w:ascii="Arial" w:cs="Arial" w:eastAsia="Arial" w:hAnsi="Arial"/>
                <w:sz w:val="16"/>
                <w:szCs w:val="16"/>
                <w:color w:val="auto"/>
                <w:w w:val="90"/>
              </w:rPr>
              <w:t>July 2028</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2.793%</w:t>
            </w:r>
          </w:p>
        </w:tc>
        <w:tc>
          <w:tcPr>
            <w:tcW w:w="24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66,667</w:t>
            </w:r>
          </w:p>
        </w:tc>
        <w:tc>
          <w:tcPr>
            <w:tcW w:w="1440" w:type="dxa"/>
            <w:vAlign w:val="bottom"/>
          </w:tcPr>
          <w:p>
            <w:pPr>
              <w:jc w:val="right"/>
              <w:spacing w:after="0"/>
              <w:rPr>
                <w:sz w:val="20"/>
                <w:szCs w:val="20"/>
                <w:color w:val="auto"/>
              </w:rPr>
            </w:pPr>
            <w:r>
              <w:rPr>
                <w:rFonts w:ascii="Arial" w:cs="Arial" w:eastAsia="Arial" w:hAnsi="Arial"/>
                <w:sz w:val="16"/>
                <w:szCs w:val="16"/>
                <w:color w:val="auto"/>
              </w:rPr>
              <w:t>66,667</w:t>
            </w:r>
          </w:p>
        </w:tc>
      </w:tr>
      <w:tr>
        <w:trPr>
          <w:trHeight w:val="203"/>
        </w:trPr>
        <w:tc>
          <w:tcPr>
            <w:tcW w:w="90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000" w:type="dxa"/>
            <w:vAlign w:val="bottom"/>
            <w:shd w:val="clear" w:color="auto" w:fill="E5FFFF"/>
          </w:tcPr>
          <w:p>
            <w:pPr>
              <w:ind w:left="400"/>
              <w:spacing w:after="0"/>
              <w:rPr>
                <w:sz w:val="20"/>
                <w:szCs w:val="20"/>
                <w:color w:val="auto"/>
              </w:rPr>
            </w:pPr>
            <w:r>
              <w:rPr>
                <w:rFonts w:ascii="Arial" w:cs="Arial" w:eastAsia="Arial" w:hAnsi="Arial"/>
                <w:sz w:val="16"/>
                <w:szCs w:val="16"/>
                <w:color w:val="auto"/>
              </w:rPr>
              <w:t>DNB</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shd w:val="clear" w:color="auto" w:fill="E5FFFF"/>
          </w:tcPr>
          <w:p>
            <w:pPr>
              <w:jc w:val="center"/>
              <w:ind w:right="39"/>
              <w:spacing w:after="0"/>
              <w:rPr>
                <w:sz w:val="20"/>
                <w:szCs w:val="20"/>
                <w:color w:val="auto"/>
              </w:rPr>
            </w:pPr>
            <w:r>
              <w:rPr>
                <w:rFonts w:ascii="Arial" w:cs="Arial" w:eastAsia="Arial" w:hAnsi="Arial"/>
                <w:sz w:val="16"/>
                <w:szCs w:val="16"/>
                <w:color w:val="auto"/>
                <w:w w:val="90"/>
              </w:rPr>
              <w:t>January 2019</w:t>
            </w:r>
          </w:p>
        </w:tc>
        <w:tc>
          <w:tcPr>
            <w:tcW w:w="1380" w:type="dxa"/>
            <w:vAlign w:val="bottom"/>
            <w:shd w:val="clear" w:color="auto" w:fill="E5FFFF"/>
          </w:tcPr>
          <w:p>
            <w:pPr>
              <w:jc w:val="center"/>
              <w:ind w:right="159"/>
              <w:spacing w:after="0"/>
              <w:rPr>
                <w:sz w:val="20"/>
                <w:szCs w:val="20"/>
                <w:color w:val="auto"/>
              </w:rPr>
            </w:pPr>
            <w:r>
              <w:rPr>
                <w:rFonts w:ascii="Arial" w:cs="Arial" w:eastAsia="Arial" w:hAnsi="Arial"/>
                <w:sz w:val="16"/>
                <w:szCs w:val="16"/>
                <w:color w:val="auto"/>
                <w:w w:val="90"/>
              </w:rPr>
              <w:t>July 2025</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2.685%</w:t>
            </w:r>
          </w:p>
        </w:tc>
        <w:tc>
          <w:tcPr>
            <w:tcW w:w="2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73,333</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r>
      <w:tr>
        <w:trPr>
          <w:trHeight w:val="203"/>
        </w:trPr>
        <w:tc>
          <w:tcPr>
            <w:tcW w:w="900" w:type="dxa"/>
            <w:vAlign w:val="bottom"/>
          </w:tcPr>
          <w:p>
            <w:pPr>
              <w:spacing w:after="0"/>
              <w:rPr>
                <w:sz w:val="20"/>
                <w:szCs w:val="20"/>
                <w:color w:val="auto"/>
              </w:rPr>
            </w:pPr>
            <w:r>
              <w:rPr>
                <w:rFonts w:ascii="Arial" w:cs="Arial" w:eastAsia="Arial" w:hAnsi="Arial"/>
                <w:sz w:val="16"/>
                <w:szCs w:val="16"/>
                <w:color w:val="auto"/>
              </w:rPr>
              <w:t>GasLog</w:t>
            </w:r>
          </w:p>
        </w:tc>
        <w:tc>
          <w:tcPr>
            <w:tcW w:w="2000" w:type="dxa"/>
            <w:vAlign w:val="bottom"/>
          </w:tcPr>
          <w:p>
            <w:pPr>
              <w:ind w:left="400"/>
              <w:spacing w:after="0"/>
              <w:rPr>
                <w:sz w:val="20"/>
                <w:szCs w:val="20"/>
                <w:color w:val="auto"/>
              </w:rPr>
            </w:pPr>
            <w:r>
              <w:rPr>
                <w:rFonts w:ascii="Arial" w:cs="Arial" w:eastAsia="Arial" w:hAnsi="Arial"/>
                <w:sz w:val="16"/>
                <w:szCs w:val="16"/>
                <w:color w:val="auto"/>
              </w:rPr>
              <w:t>SEB</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tcPr>
          <w:p>
            <w:pPr>
              <w:jc w:val="center"/>
              <w:ind w:right="39"/>
              <w:spacing w:after="0"/>
              <w:rPr>
                <w:sz w:val="20"/>
                <w:szCs w:val="20"/>
                <w:color w:val="auto"/>
              </w:rPr>
            </w:pPr>
            <w:r>
              <w:rPr>
                <w:rFonts w:ascii="Arial" w:cs="Arial" w:eastAsia="Arial" w:hAnsi="Arial"/>
                <w:sz w:val="16"/>
                <w:szCs w:val="16"/>
                <w:color w:val="auto"/>
                <w:w w:val="93"/>
              </w:rPr>
              <w:t>July 2020</w:t>
            </w:r>
          </w:p>
        </w:tc>
        <w:tc>
          <w:tcPr>
            <w:tcW w:w="1380" w:type="dxa"/>
            <w:vAlign w:val="bottom"/>
          </w:tcPr>
          <w:p>
            <w:pPr>
              <w:jc w:val="center"/>
              <w:ind w:right="159"/>
              <w:spacing w:after="0"/>
              <w:rPr>
                <w:sz w:val="20"/>
                <w:szCs w:val="20"/>
                <w:color w:val="auto"/>
              </w:rPr>
            </w:pPr>
            <w:r>
              <w:rPr>
                <w:rFonts w:ascii="Arial" w:cs="Arial" w:eastAsia="Arial" w:hAnsi="Arial"/>
                <w:sz w:val="16"/>
                <w:szCs w:val="16"/>
                <w:color w:val="auto"/>
                <w:w w:val="90"/>
              </w:rPr>
              <w:t>July 2024</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2.958%</w:t>
            </w:r>
          </w:p>
        </w:tc>
        <w:tc>
          <w:tcPr>
            <w:tcW w:w="240" w:type="dxa"/>
            <w:vAlign w:val="bottom"/>
          </w:tcPr>
          <w:p>
            <w:pPr>
              <w:spacing w:after="0"/>
              <w:rPr>
                <w:sz w:val="17"/>
                <w:szCs w:val="17"/>
                <w:color w:val="auto"/>
              </w:rPr>
            </w:pPr>
          </w:p>
        </w:tc>
        <w:tc>
          <w:tcPr>
            <w:tcW w:w="15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90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000" w:type="dxa"/>
            <w:vAlign w:val="bottom"/>
            <w:shd w:val="clear" w:color="auto" w:fill="E5FFFF"/>
          </w:tcPr>
          <w:p>
            <w:pPr>
              <w:ind w:left="400"/>
              <w:spacing w:after="0"/>
              <w:rPr>
                <w:sz w:val="20"/>
                <w:szCs w:val="20"/>
                <w:color w:val="auto"/>
              </w:rPr>
            </w:pPr>
            <w:r>
              <w:rPr>
                <w:rFonts w:ascii="Arial" w:cs="Arial" w:eastAsia="Arial" w:hAnsi="Arial"/>
                <w:sz w:val="16"/>
                <w:szCs w:val="16"/>
                <w:color w:val="auto"/>
              </w:rPr>
              <w:t>Nordea</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shd w:val="clear" w:color="auto" w:fill="E5FFFF"/>
          </w:tcPr>
          <w:p>
            <w:pPr>
              <w:jc w:val="center"/>
              <w:ind w:right="39"/>
              <w:spacing w:after="0"/>
              <w:rPr>
                <w:sz w:val="20"/>
                <w:szCs w:val="20"/>
                <w:color w:val="auto"/>
              </w:rPr>
            </w:pPr>
            <w:r>
              <w:rPr>
                <w:rFonts w:ascii="Arial" w:cs="Arial" w:eastAsia="Arial" w:hAnsi="Arial"/>
                <w:sz w:val="16"/>
                <w:szCs w:val="16"/>
                <w:color w:val="auto"/>
                <w:w w:val="93"/>
              </w:rPr>
              <w:t>July 2020</w:t>
            </w:r>
          </w:p>
        </w:tc>
        <w:tc>
          <w:tcPr>
            <w:tcW w:w="1380" w:type="dxa"/>
            <w:vAlign w:val="bottom"/>
            <w:shd w:val="clear" w:color="auto" w:fill="E5FFFF"/>
          </w:tcPr>
          <w:p>
            <w:pPr>
              <w:jc w:val="center"/>
              <w:ind w:right="159"/>
              <w:spacing w:after="0"/>
              <w:rPr>
                <w:sz w:val="20"/>
                <w:szCs w:val="20"/>
                <w:color w:val="auto"/>
              </w:rPr>
            </w:pPr>
            <w:r>
              <w:rPr>
                <w:rFonts w:ascii="Arial" w:cs="Arial" w:eastAsia="Arial" w:hAnsi="Arial"/>
                <w:sz w:val="16"/>
                <w:szCs w:val="16"/>
                <w:color w:val="auto"/>
                <w:w w:val="90"/>
              </w:rPr>
              <w:t>July 2024</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2.937%</w:t>
            </w:r>
          </w:p>
        </w:tc>
        <w:tc>
          <w:tcPr>
            <w:tcW w:w="2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ind w:left="1180"/>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900" w:type="dxa"/>
            <w:vAlign w:val="bottom"/>
          </w:tcPr>
          <w:p>
            <w:pPr>
              <w:spacing w:after="0"/>
              <w:rPr>
                <w:sz w:val="20"/>
                <w:szCs w:val="20"/>
                <w:color w:val="auto"/>
              </w:rPr>
            </w:pPr>
            <w:r>
              <w:rPr>
                <w:rFonts w:ascii="Arial" w:cs="Arial" w:eastAsia="Arial" w:hAnsi="Arial"/>
                <w:sz w:val="16"/>
                <w:szCs w:val="16"/>
                <w:color w:val="auto"/>
              </w:rPr>
              <w:t>GasLog</w:t>
            </w:r>
          </w:p>
        </w:tc>
        <w:tc>
          <w:tcPr>
            <w:tcW w:w="2000" w:type="dxa"/>
            <w:vAlign w:val="bottom"/>
          </w:tcPr>
          <w:p>
            <w:pPr>
              <w:ind w:left="400"/>
              <w:spacing w:after="0"/>
              <w:rPr>
                <w:sz w:val="20"/>
                <w:szCs w:val="20"/>
                <w:color w:val="auto"/>
              </w:rPr>
            </w:pPr>
            <w:r>
              <w:rPr>
                <w:rFonts w:ascii="Arial" w:cs="Arial" w:eastAsia="Arial" w:hAnsi="Arial"/>
                <w:sz w:val="16"/>
                <w:szCs w:val="16"/>
                <w:color w:val="auto"/>
              </w:rPr>
              <w:t>DNB</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89"/>
              </w:rPr>
              <w:t>December 2018</w:t>
            </w:r>
          </w:p>
        </w:tc>
        <w:tc>
          <w:tcPr>
            <w:tcW w:w="1240" w:type="dxa"/>
            <w:vAlign w:val="bottom"/>
          </w:tcPr>
          <w:p>
            <w:pPr>
              <w:jc w:val="center"/>
              <w:ind w:right="39"/>
              <w:spacing w:after="0"/>
              <w:rPr>
                <w:sz w:val="20"/>
                <w:szCs w:val="20"/>
                <w:color w:val="auto"/>
              </w:rPr>
            </w:pPr>
            <w:r>
              <w:rPr>
                <w:rFonts w:ascii="Arial" w:cs="Arial" w:eastAsia="Arial" w:hAnsi="Arial"/>
                <w:sz w:val="16"/>
                <w:szCs w:val="16"/>
                <w:color w:val="auto"/>
                <w:w w:val="99"/>
              </w:rPr>
              <w:t>April 2020</w:t>
            </w:r>
          </w:p>
        </w:tc>
        <w:tc>
          <w:tcPr>
            <w:tcW w:w="1380" w:type="dxa"/>
            <w:vAlign w:val="bottom"/>
          </w:tcPr>
          <w:p>
            <w:pPr>
              <w:jc w:val="center"/>
              <w:ind w:right="159"/>
              <w:spacing w:after="0"/>
              <w:rPr>
                <w:sz w:val="20"/>
                <w:szCs w:val="20"/>
                <w:color w:val="auto"/>
              </w:rPr>
            </w:pPr>
            <w:r>
              <w:rPr>
                <w:rFonts w:ascii="Arial" w:cs="Arial" w:eastAsia="Arial" w:hAnsi="Arial"/>
                <w:sz w:val="16"/>
                <w:szCs w:val="16"/>
                <w:color w:val="auto"/>
                <w:w w:val="97"/>
              </w:rPr>
              <w:t>April 2025</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2.979%</w:t>
            </w:r>
          </w:p>
        </w:tc>
        <w:tc>
          <w:tcPr>
            <w:tcW w:w="240" w:type="dxa"/>
            <w:vAlign w:val="bottom"/>
          </w:tcPr>
          <w:p>
            <w:pPr>
              <w:spacing w:after="0"/>
              <w:rPr>
                <w:sz w:val="17"/>
                <w:szCs w:val="17"/>
                <w:color w:val="auto"/>
              </w:rPr>
            </w:pPr>
          </w:p>
        </w:tc>
        <w:tc>
          <w:tcPr>
            <w:tcW w:w="15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900" w:type="dxa"/>
            <w:vAlign w:val="bottom"/>
            <w:tcBorders>
              <w:top w:val="single" w:sz="8" w:color="E5FFFF"/>
              <w:bottom w:val="single" w:sz="8" w:color="E5FFFF"/>
            </w:tcBorders>
            <w:shd w:val="clear" w:color="auto" w:fill="E5FFFF"/>
          </w:tcPr>
          <w:p>
            <w:pPr>
              <w:spacing w:after="0"/>
              <w:rPr>
                <w:sz w:val="17"/>
                <w:szCs w:val="17"/>
                <w:color w:val="auto"/>
              </w:rPr>
            </w:pPr>
          </w:p>
        </w:tc>
        <w:tc>
          <w:tcPr>
            <w:tcW w:w="200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r>
    </w:tbl>
    <w:p>
      <w:pPr>
        <w:spacing w:after="0" w:line="206" w:lineRule="exact"/>
        <w:rPr>
          <w:sz w:val="20"/>
          <w:szCs w:val="20"/>
          <w:color w:val="auto"/>
        </w:rPr>
      </w:pPr>
    </w:p>
    <w:p>
      <w:pPr>
        <w:ind w:right="20" w:firstLine="383"/>
        <w:spacing w:after="0" w:line="297" w:lineRule="auto"/>
        <w:rPr>
          <w:sz w:val="20"/>
          <w:szCs w:val="20"/>
          <w:color w:val="auto"/>
        </w:rPr>
      </w:pPr>
      <w:r>
        <w:rPr>
          <w:rFonts w:ascii="Arial" w:cs="Arial" w:eastAsia="Arial" w:hAnsi="Arial"/>
          <w:sz w:val="15"/>
          <w:szCs w:val="15"/>
          <w:color w:val="auto"/>
        </w:rPr>
        <w:t>The derivative instruments listed above were not designated as cash flow hedging instruments. The change in the fair value of these contracts for the three months ended March 31, 2020 amounted to a net loss of $69,980 (for the three months ended March 31, 2019: a net loss of $20,754), which was recognized against profit or loss in the period incurred and is included in Gain/(loss) on derivatives. During the three months ended March 31, 2020, the net loss of $69,980 derived from changes in the LIBOR curve as well as modifications of the Group’s interest swap portfolio that includes interest rate swap agreements with maturities out to 2028.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6"/>
          <w:szCs w:val="16"/>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Norwegian Krone (“NOK”).</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CCSs qualified as cash flow hedging instruments for accounting purposes.</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CCSs designated as cash flow hedging instruments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ind w:left="96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Effective</w:t>
            </w: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Termination</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Fixed Interest</w:t>
            </w:r>
          </w:p>
        </w:tc>
        <w:tc>
          <w:tcPr>
            <w:tcW w:w="18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6"/>
                <w:szCs w:val="16"/>
                <w:color w:val="auto"/>
              </w:rPr>
            </w:pPr>
          </w:p>
        </w:tc>
      </w:tr>
      <w:tr>
        <w:trPr>
          <w:trHeight w:val="213"/>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880" w:type="dxa"/>
            <w:vAlign w:val="bottom"/>
            <w:gridSpan w:val="2"/>
          </w:tcPr>
          <w:p>
            <w:pPr>
              <w:ind w:left="380"/>
              <w:spacing w:after="0"/>
              <w:rPr>
                <w:sz w:val="20"/>
                <w:szCs w:val="20"/>
                <w:color w:val="auto"/>
              </w:rPr>
            </w:pPr>
            <w:r>
              <w:rPr>
                <w:rFonts w:ascii="Arial" w:cs="Arial" w:eastAsia="Arial" w:hAnsi="Arial"/>
                <w:sz w:val="16"/>
                <w:szCs w:val="16"/>
                <w:b w:val="1"/>
                <w:bCs w:val="1"/>
                <w:color w:val="auto"/>
              </w:rPr>
              <w:t>Counterparty</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Trade Date</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Date</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199"/>
        </w:trPr>
        <w:tc>
          <w:tcPr>
            <w:tcW w:w="1040" w:type="dxa"/>
            <w:vAlign w:val="bottom"/>
            <w:tcBorders>
              <w:top w:val="single" w:sz="8" w:color="auto"/>
            </w:tcBorders>
          </w:tcPr>
          <w:p>
            <w:pPr>
              <w:spacing w:after="0" w:line="199"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340" w:type="dxa"/>
            <w:vAlign w:val="bottom"/>
          </w:tcPr>
          <w:p>
            <w:pPr>
              <w:spacing w:after="0"/>
              <w:rPr>
                <w:sz w:val="17"/>
                <w:szCs w:val="17"/>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DNB</w:t>
            </w:r>
          </w:p>
        </w:tc>
        <w:tc>
          <w:tcPr>
            <w:tcW w:w="18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Nov 2019</w:t>
            </w:r>
          </w:p>
        </w:tc>
        <w:tc>
          <w:tcPr>
            <w:tcW w:w="16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Nov 2019</w:t>
            </w:r>
          </w:p>
        </w:tc>
        <w:tc>
          <w:tcPr>
            <w:tcW w:w="24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Nov 2024</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floating</w:t>
            </w:r>
          </w:p>
        </w:tc>
        <w:tc>
          <w:tcPr>
            <w:tcW w:w="18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32,850</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32,850</w:t>
            </w:r>
          </w:p>
        </w:tc>
        <w:tc>
          <w:tcPr>
            <w:tcW w:w="20" w:type="dxa"/>
            <w:vAlign w:val="bottom"/>
          </w:tcPr>
          <w:p>
            <w:pPr>
              <w:spacing w:after="0"/>
              <w:rPr>
                <w:sz w:val="17"/>
                <w:szCs w:val="17"/>
                <w:color w:val="auto"/>
              </w:rPr>
            </w:pPr>
          </w:p>
        </w:tc>
      </w:tr>
      <w:tr>
        <w:trPr>
          <w:trHeight w:val="203"/>
        </w:trPr>
        <w:tc>
          <w:tcPr>
            <w:tcW w:w="138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26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Nov 2019</w:t>
            </w:r>
          </w:p>
        </w:tc>
        <w:tc>
          <w:tcPr>
            <w:tcW w:w="10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Nov 2019</w:t>
            </w:r>
          </w:p>
        </w:tc>
        <w:tc>
          <w:tcPr>
            <w:tcW w:w="126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Nov 2024</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6"/>
              </w:rPr>
              <w:t>floating</w:t>
            </w: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32,850</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32,850</w:t>
            </w:r>
          </w:p>
        </w:tc>
        <w:tc>
          <w:tcPr>
            <w:tcW w:w="20" w:type="dxa"/>
            <w:vAlign w:val="bottom"/>
          </w:tcPr>
          <w:p>
            <w:pPr>
              <w:spacing w:after="0"/>
              <w:rPr>
                <w:sz w:val="17"/>
                <w:szCs w:val="17"/>
                <w:color w:val="auto"/>
              </w:rPr>
            </w:pPr>
          </w:p>
        </w:tc>
      </w:tr>
      <w:tr>
        <w:trPr>
          <w:trHeight w:val="203"/>
        </w:trPr>
        <w:tc>
          <w:tcPr>
            <w:tcW w:w="1380" w:type="dxa"/>
            <w:vAlign w:val="bottom"/>
            <w:gridSpan w:val="2"/>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88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Nov 2019</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Nov 2019</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Nov 2024</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floating</w:t>
            </w: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32,850</w:t>
            </w:r>
          </w:p>
        </w:tc>
        <w:tc>
          <w:tcPr>
            <w:tcW w:w="1280" w:type="dxa"/>
            <w:vAlign w:val="bottom"/>
          </w:tcPr>
          <w:p>
            <w:pPr>
              <w:jc w:val="right"/>
              <w:spacing w:after="0"/>
              <w:rPr>
                <w:sz w:val="20"/>
                <w:szCs w:val="20"/>
                <w:color w:val="auto"/>
              </w:rPr>
            </w:pPr>
            <w:r>
              <w:rPr>
                <w:rFonts w:ascii="Arial" w:cs="Arial" w:eastAsia="Arial" w:hAnsi="Arial"/>
                <w:sz w:val="16"/>
                <w:szCs w:val="16"/>
                <w:color w:val="auto"/>
              </w:rPr>
              <w:t>32,850</w:t>
            </w:r>
          </w:p>
        </w:tc>
        <w:tc>
          <w:tcPr>
            <w:tcW w:w="20" w:type="dxa"/>
            <w:vAlign w:val="bottom"/>
          </w:tcPr>
          <w:p>
            <w:pPr>
              <w:spacing w:after="0"/>
              <w:rPr>
                <w:sz w:val="17"/>
                <w:szCs w:val="17"/>
                <w:color w:val="auto"/>
              </w:rPr>
            </w:pPr>
          </w:p>
        </w:tc>
      </w:tr>
      <w:tr>
        <w:trPr>
          <w:trHeight w:val="203"/>
        </w:trPr>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10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80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06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98,550</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98,550</w:t>
            </w:r>
          </w:p>
        </w:tc>
        <w:tc>
          <w:tcPr>
            <w:tcW w:w="20" w:type="dxa"/>
            <w:vAlign w:val="bottom"/>
          </w:tcPr>
          <w:p>
            <w:pPr>
              <w:spacing w:after="0"/>
              <w:rPr>
                <w:sz w:val="17"/>
                <w:szCs w:val="17"/>
                <w:color w:val="auto"/>
              </w:rPr>
            </w:pPr>
          </w:p>
        </w:tc>
      </w:tr>
    </w:tbl>
    <w:p>
      <w:pPr>
        <w:ind w:left="260" w:right="200" w:hanging="124"/>
        <w:spacing w:after="0" w:line="266" w:lineRule="auto"/>
        <w:tabs>
          <w:tab w:leader="none" w:pos="26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On November 27, 2019, in conjunction with the issuance of the NOK 2024 Bonds, the Group entered into these CCSs to exchange interest payments and principal on maturity on the same terms as the NOK 2024 Bonds.</w:t>
      </w:r>
    </w:p>
    <w:p>
      <w:pPr>
        <w:spacing w:after="0" w:line="173" w:lineRule="exact"/>
        <w:rPr>
          <w:sz w:val="20"/>
          <w:szCs w:val="20"/>
          <w:color w:val="auto"/>
        </w:rPr>
      </w:pPr>
    </w:p>
    <w:p>
      <w:pPr>
        <w:jc w:val="both"/>
        <w:ind w:right="260" w:firstLine="356"/>
        <w:spacing w:after="0" w:line="303" w:lineRule="auto"/>
        <w:rPr>
          <w:sz w:val="20"/>
          <w:szCs w:val="20"/>
          <w:color w:val="auto"/>
        </w:rPr>
      </w:pPr>
      <w:r>
        <w:rPr>
          <w:rFonts w:ascii="Arial" w:cs="Arial" w:eastAsia="Arial" w:hAnsi="Arial"/>
          <w:sz w:val="14"/>
          <w:szCs w:val="14"/>
          <w:color w:val="auto"/>
        </w:rPr>
        <w:t>For the three months ended March 31, 2020, the effective portion of changes in the fair value of CCSs amounting to a loss of $20,767 has been recognized in Other comprehensive income (for the three months ended March 31, 2019: a loss of $697). For the three months ended March 31, 2020, a loss of $217 was recycled to profit or loss representing the realized loss on CCSs in relation to the interest expenses component of the hedge (for the three months ended March 31, 2019: a loss of $162).</w:t>
      </w:r>
    </w:p>
    <w:p>
      <w:pPr>
        <w:spacing w:after="0" w:line="2"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Additionally, for the three months ended March 31, 2020, a gain of $16,440 was recognized in Other comprehensive income in relation to the retranslation of the NOK Bonds in U.S. dollars as of March 31, 2020 (for the three months ended March 31, 2019: a loss of $704).</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24"/>
        <w:spacing w:after="0" w:line="297" w:lineRule="auto"/>
        <w:rPr>
          <w:sz w:val="20"/>
          <w:szCs w:val="20"/>
          <w:color w:val="auto"/>
        </w:rPr>
      </w:pPr>
      <w:r>
        <w:rPr>
          <w:rFonts w:ascii="Arial" w:cs="Arial" w:eastAsia="Arial" w:hAnsi="Arial"/>
          <w:sz w:val="15"/>
          <w:szCs w:val="15"/>
          <w:color w:val="auto"/>
        </w:rPr>
        <w:t>The Group uses forward foreign exchange contracts to mitigate foreign exchange transaction exposures in British Pounds Sterling (“GBP”), Euros (“EUR”), Singapore dollars (“SGD”) and Japanese Yen (“JPY”). Under these forward foreign exchange contracts, the bank counterparty will effect fixed payments in GBP or EUR or SGD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0"/>
              </w:rPr>
              <w:t>Fixed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Total Exchange</w:t>
            </w:r>
          </w:p>
        </w:tc>
        <w:tc>
          <w:tcPr>
            <w:tcW w:w="2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Exchange Rate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280" w:type="dxa"/>
            <w:vAlign w:val="bottom"/>
          </w:tcPr>
          <w:p>
            <w:pPr>
              <w:spacing w:after="0"/>
              <w:rPr>
                <w:sz w:val="17"/>
                <w:szCs w:val="17"/>
                <w:color w:val="auto"/>
              </w:rPr>
            </w:pPr>
          </w:p>
        </w:tc>
      </w:tr>
      <w:tr>
        <w:trPr>
          <w:trHeight w:val="213"/>
        </w:trPr>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Company</w:t>
            </w: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Counterparty</w:t>
            </w:r>
          </w:p>
        </w:tc>
        <w:tc>
          <w:tcPr>
            <w:tcW w:w="16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Trade Date</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contracts</w:t>
            </w:r>
          </w:p>
        </w:tc>
        <w:tc>
          <w:tcPr>
            <w:tcW w:w="1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Settlement Dates</w:t>
            </w:r>
          </w:p>
        </w:tc>
        <w:tc>
          <w:tcPr>
            <w:tcW w:w="1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8"/>
              </w:rPr>
              <w:t>(USD/GBP)</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r>
      <w:tr>
        <w:trPr>
          <w:trHeight w:val="189"/>
        </w:trPr>
        <w:tc>
          <w:tcPr>
            <w:tcW w:w="128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158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42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06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15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220" w:type="dxa"/>
            <w:vAlign w:val="bottom"/>
            <w:tcBorders>
              <w:top w:val="single" w:sz="8" w:color="auto"/>
            </w:tcBorders>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1.2246-</w:t>
            </w:r>
          </w:p>
        </w:tc>
        <w:tc>
          <w:tcPr>
            <w:tcW w:w="12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spacing w:after="0"/>
              <w:rPr>
                <w:sz w:val="16"/>
                <w:szCs w:val="16"/>
                <w:color w:val="auto"/>
              </w:rPr>
            </w:pPr>
          </w:p>
        </w:tc>
        <w:tc>
          <w:tcPr>
            <w:tcW w:w="11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r>
      <w:tr>
        <w:trPr>
          <w:trHeight w:val="212"/>
        </w:trPr>
        <w:tc>
          <w:tcPr>
            <w:tcW w:w="14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rPr>
              <w:t>ABN</w:t>
            </w:r>
          </w:p>
        </w:tc>
        <w:tc>
          <w:tcPr>
            <w:tcW w:w="16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August 2019</w:t>
            </w: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6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94"/>
              </w:rPr>
              <w:t>April-June 2020</w:t>
            </w:r>
          </w:p>
        </w:tc>
        <w:tc>
          <w:tcPr>
            <w:tcW w:w="12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1.2272</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8"/>
                <w:szCs w:val="18"/>
                <w:color w:val="auto"/>
              </w:rPr>
            </w:pPr>
          </w:p>
        </w:tc>
      </w:tr>
      <w:tr>
        <w:trPr>
          <w:trHeight w:val="203"/>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£1,500</w:t>
            </w:r>
          </w:p>
        </w:tc>
        <w:tc>
          <w:tcPr>
            <w:tcW w:w="28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Total Exchange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Company</w:t>
            </w:r>
          </w:p>
        </w:tc>
        <w:tc>
          <w:tcPr>
            <w:tcW w:w="18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7"/>
              </w:rPr>
              <w:t>Counterparty</w:t>
            </w:r>
          </w:p>
        </w:tc>
        <w:tc>
          <w:tcPr>
            <w:tcW w:w="16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3"/>
              </w:rPr>
              <w:t>Trade Date</w:t>
            </w:r>
          </w:p>
        </w:tc>
        <w:tc>
          <w:tcPr>
            <w:tcW w:w="1220" w:type="dxa"/>
            <w:vAlign w:val="bottom"/>
            <w:gridSpan w:val="3"/>
            <w:vMerge w:val="continue"/>
          </w:tcPr>
          <w:p>
            <w:pPr>
              <w:spacing w:after="0"/>
              <w:rPr>
                <w:sz w:val="12"/>
                <w:szCs w:val="12"/>
                <w:color w:val="auto"/>
              </w:rPr>
            </w:pPr>
          </w:p>
        </w:tc>
        <w:tc>
          <w:tcPr>
            <w:tcW w:w="18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Settlement Dates</w:t>
            </w:r>
          </w:p>
        </w:tc>
        <w:tc>
          <w:tcPr>
            <w:tcW w:w="1740" w:type="dxa"/>
            <w:vAlign w:val="bottom"/>
            <w:gridSpan w:val="11"/>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3"/>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contracts</w:t>
            </w:r>
          </w:p>
        </w:tc>
        <w:tc>
          <w:tcPr>
            <w:tcW w:w="18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10"/>
          </w:tcPr>
          <w:p>
            <w:pPr>
              <w:jc w:val="center"/>
              <w:ind w:right="700"/>
              <w:spacing w:after="0"/>
              <w:rPr>
                <w:sz w:val="20"/>
                <w:szCs w:val="20"/>
                <w:color w:val="auto"/>
              </w:rPr>
            </w:pPr>
            <w:r>
              <w:rPr>
                <w:rFonts w:ascii="Arial" w:cs="Arial" w:eastAsia="Arial" w:hAnsi="Arial"/>
                <w:sz w:val="14"/>
                <w:szCs w:val="14"/>
                <w:b w:val="1"/>
                <w:bCs w:val="1"/>
                <w:color w:val="auto"/>
              </w:rPr>
              <w:t>(USD/EUR)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4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0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15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200" w:type="dxa"/>
            <w:vAlign w:val="bottom"/>
            <w:tcBorders>
              <w:top w:val="single" w:sz="8" w:color="auto"/>
            </w:tcBorders>
            <w:gridSpan w:val="3"/>
            <w:shd w:val="clear" w:color="auto" w:fill="E5FFFF"/>
          </w:tcPr>
          <w:p>
            <w:pPr>
              <w:jc w:val="center"/>
              <w:ind w:left="241"/>
              <w:spacing w:after="0"/>
              <w:rPr>
                <w:sz w:val="20"/>
                <w:szCs w:val="20"/>
                <w:color w:val="auto"/>
              </w:rPr>
            </w:pPr>
            <w:r>
              <w:rPr>
                <w:rFonts w:ascii="Arial" w:cs="Arial" w:eastAsia="Arial" w:hAnsi="Arial"/>
                <w:sz w:val="16"/>
                <w:szCs w:val="16"/>
                <w:color w:val="auto"/>
                <w:w w:val="88"/>
              </w:rPr>
              <w:t>1.1311-</w:t>
            </w:r>
          </w:p>
        </w:tc>
        <w:tc>
          <w:tcPr>
            <w:tcW w:w="2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1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shd w:val="clear" w:color="auto" w:fill="E5FFFF"/>
          </w:tcPr>
          <w:p>
            <w:pPr>
              <w:jc w:val="center"/>
              <w:ind w:right="140"/>
              <w:spacing w:after="0"/>
              <w:rPr>
                <w:sz w:val="20"/>
                <w:szCs w:val="20"/>
                <w:color w:val="auto"/>
              </w:rPr>
            </w:pPr>
            <w:r>
              <w:rPr>
                <w:rFonts w:ascii="Arial" w:cs="Arial" w:eastAsia="Arial" w:hAnsi="Arial"/>
                <w:sz w:val="16"/>
                <w:szCs w:val="16"/>
                <w:color w:val="auto"/>
                <w:w w:val="93"/>
              </w:rPr>
              <w:t>Citibank</w:t>
            </w:r>
          </w:p>
        </w:tc>
        <w:tc>
          <w:tcPr>
            <w:tcW w:w="1620" w:type="dxa"/>
            <w:vAlign w:val="bottom"/>
            <w:gridSpan w:val="4"/>
            <w:shd w:val="clear" w:color="auto" w:fill="E5FFFF"/>
          </w:tcPr>
          <w:p>
            <w:pPr>
              <w:jc w:val="center"/>
              <w:ind w:right="180"/>
              <w:spacing w:after="0"/>
              <w:rPr>
                <w:sz w:val="20"/>
                <w:szCs w:val="20"/>
                <w:color w:val="auto"/>
              </w:rPr>
            </w:pPr>
            <w:r>
              <w:rPr>
                <w:rFonts w:ascii="Arial" w:cs="Arial" w:eastAsia="Arial" w:hAnsi="Arial"/>
                <w:sz w:val="16"/>
                <w:szCs w:val="16"/>
                <w:color w:val="auto"/>
                <w:w w:val="93"/>
              </w:rPr>
              <w:t>August 2019</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80" w:type="dxa"/>
            <w:vAlign w:val="bottom"/>
            <w:gridSpan w:val="4"/>
            <w:shd w:val="clear" w:color="auto" w:fill="E5FFFF"/>
          </w:tcPr>
          <w:p>
            <w:pPr>
              <w:jc w:val="center"/>
              <w:ind w:right="320"/>
              <w:spacing w:after="0"/>
              <w:rPr>
                <w:sz w:val="20"/>
                <w:szCs w:val="20"/>
                <w:color w:val="auto"/>
              </w:rPr>
            </w:pPr>
            <w:r>
              <w:rPr>
                <w:rFonts w:ascii="Arial" w:cs="Arial" w:eastAsia="Arial" w:hAnsi="Arial"/>
                <w:sz w:val="16"/>
                <w:szCs w:val="16"/>
                <w:color w:val="auto"/>
                <w:w w:val="92"/>
              </w:rPr>
              <w:t>April-June 2020</w:t>
            </w:r>
          </w:p>
        </w:tc>
        <w:tc>
          <w:tcPr>
            <w:tcW w:w="1200" w:type="dxa"/>
            <w:vAlign w:val="bottom"/>
            <w:gridSpan w:val="3"/>
            <w:shd w:val="clear" w:color="auto" w:fill="E5FFFF"/>
          </w:tcPr>
          <w:p>
            <w:pPr>
              <w:jc w:val="center"/>
              <w:ind w:left="241"/>
              <w:spacing w:after="0"/>
              <w:rPr>
                <w:sz w:val="20"/>
                <w:szCs w:val="20"/>
                <w:color w:val="auto"/>
              </w:rPr>
            </w:pPr>
            <w:r>
              <w:rPr>
                <w:rFonts w:ascii="Arial" w:cs="Arial" w:eastAsia="Arial" w:hAnsi="Arial"/>
                <w:sz w:val="16"/>
                <w:szCs w:val="16"/>
                <w:color w:val="auto"/>
                <w:w w:val="89"/>
              </w:rPr>
              <w:t>1.1358</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left="261"/>
              <w:spacing w:after="0"/>
              <w:rPr>
                <w:sz w:val="20"/>
                <w:szCs w:val="20"/>
                <w:color w:val="auto"/>
              </w:rPr>
            </w:pPr>
            <w:r>
              <w:rPr>
                <w:rFonts w:ascii="Arial" w:cs="Arial" w:eastAsia="Arial" w:hAnsi="Arial"/>
                <w:sz w:val="16"/>
                <w:szCs w:val="16"/>
                <w:color w:val="auto"/>
                <w:w w:val="92"/>
              </w:rPr>
              <w:t>1.1283-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tcPr>
          <w:p>
            <w:pPr>
              <w:jc w:val="center"/>
              <w:ind w:right="140"/>
              <w:spacing w:after="0"/>
              <w:rPr>
                <w:sz w:val="20"/>
                <w:szCs w:val="20"/>
                <w:color w:val="auto"/>
              </w:rPr>
            </w:pPr>
            <w:r>
              <w:rPr>
                <w:rFonts w:ascii="Arial" w:cs="Arial" w:eastAsia="Arial" w:hAnsi="Arial"/>
                <w:sz w:val="16"/>
                <w:szCs w:val="16"/>
                <w:color w:val="auto"/>
              </w:rPr>
              <w:t>ABN</w:t>
            </w:r>
          </w:p>
        </w:tc>
        <w:tc>
          <w:tcPr>
            <w:tcW w:w="1620" w:type="dxa"/>
            <w:vAlign w:val="bottom"/>
            <w:gridSpan w:val="4"/>
          </w:tcPr>
          <w:p>
            <w:pPr>
              <w:jc w:val="center"/>
              <w:ind w:right="180"/>
              <w:spacing w:after="0"/>
              <w:rPr>
                <w:sz w:val="20"/>
                <w:szCs w:val="20"/>
                <w:color w:val="auto"/>
              </w:rPr>
            </w:pPr>
            <w:r>
              <w:rPr>
                <w:rFonts w:ascii="Arial" w:cs="Arial" w:eastAsia="Arial" w:hAnsi="Arial"/>
                <w:sz w:val="16"/>
                <w:szCs w:val="16"/>
                <w:color w:val="auto"/>
                <w:w w:val="91"/>
              </w:rPr>
              <w:t>November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6"/>
                <w:szCs w:val="16"/>
                <w:color w:val="auto"/>
                <w:w w:val="95"/>
              </w:rPr>
              <w:t>April-December 2020</w:t>
            </w:r>
          </w:p>
        </w:tc>
        <w:tc>
          <w:tcPr>
            <w:tcW w:w="1200" w:type="dxa"/>
            <w:vAlign w:val="bottom"/>
            <w:gridSpan w:val="3"/>
          </w:tcPr>
          <w:p>
            <w:pPr>
              <w:jc w:val="center"/>
              <w:ind w:left="241"/>
              <w:spacing w:after="0"/>
              <w:rPr>
                <w:sz w:val="20"/>
                <w:szCs w:val="20"/>
                <w:color w:val="auto"/>
              </w:rPr>
            </w:pPr>
            <w:r>
              <w:rPr>
                <w:rFonts w:ascii="Arial" w:cs="Arial" w:eastAsia="Arial" w:hAnsi="Arial"/>
                <w:sz w:val="16"/>
                <w:szCs w:val="16"/>
                <w:color w:val="auto"/>
                <w:w w:val="89"/>
              </w:rPr>
              <w:t>1.1452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0" w:type="dxa"/>
            <w:vAlign w:val="bottom"/>
            <w:gridSpan w:val="3"/>
            <w:shd w:val="clear" w:color="auto" w:fill="E5FFFF"/>
          </w:tcPr>
          <w:p>
            <w:pPr>
              <w:jc w:val="center"/>
              <w:ind w:left="261"/>
              <w:spacing w:after="0"/>
              <w:rPr>
                <w:sz w:val="20"/>
                <w:szCs w:val="20"/>
                <w:color w:val="auto"/>
              </w:rPr>
            </w:pPr>
            <w:r>
              <w:rPr>
                <w:rFonts w:ascii="Arial" w:cs="Arial" w:eastAsia="Arial" w:hAnsi="Arial"/>
                <w:sz w:val="16"/>
                <w:szCs w:val="16"/>
                <w:color w:val="auto"/>
                <w:w w:val="92"/>
              </w:rPr>
              <w:t>1.1279-</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shd w:val="clear" w:color="auto" w:fill="E5FFFF"/>
          </w:tcPr>
          <w:p>
            <w:pPr>
              <w:jc w:val="center"/>
              <w:ind w:right="140"/>
              <w:spacing w:after="0"/>
              <w:rPr>
                <w:sz w:val="20"/>
                <w:szCs w:val="20"/>
                <w:color w:val="auto"/>
              </w:rPr>
            </w:pPr>
            <w:r>
              <w:rPr>
                <w:rFonts w:ascii="Arial" w:cs="Arial" w:eastAsia="Arial" w:hAnsi="Arial"/>
                <w:sz w:val="16"/>
                <w:szCs w:val="16"/>
                <w:color w:val="auto"/>
                <w:w w:val="93"/>
              </w:rPr>
              <w:t>Citibank</w:t>
            </w:r>
          </w:p>
        </w:tc>
        <w:tc>
          <w:tcPr>
            <w:tcW w:w="1620" w:type="dxa"/>
            <w:vAlign w:val="bottom"/>
            <w:gridSpan w:val="4"/>
            <w:shd w:val="clear" w:color="auto" w:fill="E5FFFF"/>
          </w:tcPr>
          <w:p>
            <w:pPr>
              <w:jc w:val="center"/>
              <w:ind w:right="180"/>
              <w:spacing w:after="0"/>
              <w:rPr>
                <w:sz w:val="20"/>
                <w:szCs w:val="20"/>
                <w:color w:val="auto"/>
              </w:rPr>
            </w:pPr>
            <w:r>
              <w:rPr>
                <w:rFonts w:ascii="Arial" w:cs="Arial" w:eastAsia="Arial" w:hAnsi="Arial"/>
                <w:sz w:val="16"/>
                <w:szCs w:val="16"/>
                <w:color w:val="auto"/>
                <w:w w:val="91"/>
              </w:rPr>
              <w:t>November 2019</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80" w:type="dxa"/>
            <w:vAlign w:val="bottom"/>
            <w:gridSpan w:val="4"/>
            <w:shd w:val="clear" w:color="auto" w:fill="E5FFFF"/>
          </w:tcPr>
          <w:p>
            <w:pPr>
              <w:jc w:val="center"/>
              <w:ind w:right="320"/>
              <w:spacing w:after="0"/>
              <w:rPr>
                <w:sz w:val="20"/>
                <w:szCs w:val="20"/>
                <w:color w:val="auto"/>
              </w:rPr>
            </w:pPr>
            <w:r>
              <w:rPr>
                <w:rFonts w:ascii="Arial" w:cs="Arial" w:eastAsia="Arial" w:hAnsi="Arial"/>
                <w:sz w:val="16"/>
                <w:szCs w:val="16"/>
                <w:color w:val="auto"/>
                <w:w w:val="95"/>
              </w:rPr>
              <w:t>April-December 2020</w:t>
            </w:r>
          </w:p>
        </w:tc>
        <w:tc>
          <w:tcPr>
            <w:tcW w:w="1200" w:type="dxa"/>
            <w:vAlign w:val="bottom"/>
            <w:gridSpan w:val="3"/>
            <w:shd w:val="clear" w:color="auto" w:fill="E5FFFF"/>
          </w:tcPr>
          <w:p>
            <w:pPr>
              <w:jc w:val="center"/>
              <w:ind w:left="241"/>
              <w:spacing w:after="0"/>
              <w:rPr>
                <w:sz w:val="20"/>
                <w:szCs w:val="20"/>
                <w:color w:val="auto"/>
              </w:rPr>
            </w:pPr>
            <w:r>
              <w:rPr>
                <w:rFonts w:ascii="Arial" w:cs="Arial" w:eastAsia="Arial" w:hAnsi="Arial"/>
                <w:sz w:val="16"/>
                <w:szCs w:val="16"/>
                <w:color w:val="auto"/>
                <w:w w:val="89"/>
              </w:rPr>
              <w:t>1.1444</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left="261"/>
              <w:spacing w:after="0"/>
              <w:rPr>
                <w:sz w:val="20"/>
                <w:szCs w:val="20"/>
                <w:color w:val="auto"/>
              </w:rPr>
            </w:pPr>
            <w:r>
              <w:rPr>
                <w:rFonts w:ascii="Arial" w:cs="Arial" w:eastAsia="Arial" w:hAnsi="Arial"/>
                <w:sz w:val="16"/>
                <w:szCs w:val="16"/>
                <w:color w:val="auto"/>
                <w:w w:val="92"/>
              </w:rPr>
              <w:t>1.1348-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tcPr>
          <w:p>
            <w:pPr>
              <w:jc w:val="center"/>
              <w:ind w:right="140"/>
              <w:spacing w:after="0"/>
              <w:rPr>
                <w:sz w:val="20"/>
                <w:szCs w:val="20"/>
                <w:color w:val="auto"/>
              </w:rPr>
            </w:pPr>
            <w:r>
              <w:rPr>
                <w:rFonts w:ascii="Arial" w:cs="Arial" w:eastAsia="Arial" w:hAnsi="Arial"/>
                <w:sz w:val="16"/>
                <w:szCs w:val="16"/>
                <w:color w:val="auto"/>
                <w:w w:val="94"/>
              </w:rPr>
              <w:t>HSBC</w:t>
            </w:r>
          </w:p>
        </w:tc>
        <w:tc>
          <w:tcPr>
            <w:tcW w:w="1620" w:type="dxa"/>
            <w:vAlign w:val="bottom"/>
            <w:gridSpan w:val="4"/>
          </w:tcPr>
          <w:p>
            <w:pPr>
              <w:jc w:val="center"/>
              <w:ind w:right="180"/>
              <w:spacing w:after="0"/>
              <w:rPr>
                <w:sz w:val="20"/>
                <w:szCs w:val="20"/>
                <w:color w:val="auto"/>
              </w:rPr>
            </w:pPr>
            <w:r>
              <w:rPr>
                <w:rFonts w:ascii="Arial" w:cs="Arial" w:eastAsia="Arial" w:hAnsi="Arial"/>
                <w:sz w:val="16"/>
                <w:szCs w:val="16"/>
                <w:color w:val="auto"/>
                <w:w w:val="91"/>
              </w:rPr>
              <w:t>November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6"/>
                <w:szCs w:val="16"/>
                <w:color w:val="auto"/>
                <w:w w:val="89"/>
              </w:rPr>
              <w:t>Sept-December 2020</w:t>
            </w:r>
          </w:p>
        </w:tc>
        <w:tc>
          <w:tcPr>
            <w:tcW w:w="1200" w:type="dxa"/>
            <w:vAlign w:val="bottom"/>
            <w:gridSpan w:val="3"/>
          </w:tcPr>
          <w:p>
            <w:pPr>
              <w:jc w:val="center"/>
              <w:ind w:left="241"/>
              <w:spacing w:after="0"/>
              <w:rPr>
                <w:sz w:val="20"/>
                <w:szCs w:val="20"/>
                <w:color w:val="auto"/>
              </w:rPr>
            </w:pPr>
            <w:r>
              <w:rPr>
                <w:rFonts w:ascii="Arial" w:cs="Arial" w:eastAsia="Arial" w:hAnsi="Arial"/>
                <w:sz w:val="16"/>
                <w:szCs w:val="16"/>
                <w:color w:val="auto"/>
                <w:w w:val="89"/>
              </w:rPr>
              <w:t>1.1410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0" w:type="dxa"/>
            <w:vAlign w:val="bottom"/>
            <w:gridSpan w:val="3"/>
            <w:shd w:val="clear" w:color="auto" w:fill="E5FFFF"/>
          </w:tcPr>
          <w:p>
            <w:pPr>
              <w:jc w:val="center"/>
              <w:ind w:left="261"/>
              <w:spacing w:after="0"/>
              <w:rPr>
                <w:sz w:val="20"/>
                <w:szCs w:val="20"/>
                <w:color w:val="auto"/>
              </w:rPr>
            </w:pPr>
            <w:r>
              <w:rPr>
                <w:rFonts w:ascii="Arial" w:cs="Arial" w:eastAsia="Arial" w:hAnsi="Arial"/>
                <w:sz w:val="16"/>
                <w:szCs w:val="16"/>
                <w:color w:val="auto"/>
                <w:w w:val="92"/>
              </w:rPr>
              <w:t>1.1357-</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shd w:val="clear" w:color="auto" w:fill="E5FFFF"/>
          </w:tcPr>
          <w:p>
            <w:pPr>
              <w:jc w:val="center"/>
              <w:ind w:right="140"/>
              <w:spacing w:after="0"/>
              <w:rPr>
                <w:sz w:val="20"/>
                <w:szCs w:val="20"/>
                <w:color w:val="auto"/>
              </w:rPr>
            </w:pPr>
            <w:r>
              <w:rPr>
                <w:rFonts w:ascii="Arial" w:cs="Arial" w:eastAsia="Arial" w:hAnsi="Arial"/>
                <w:sz w:val="16"/>
                <w:szCs w:val="16"/>
                <w:color w:val="auto"/>
                <w:w w:val="93"/>
              </w:rPr>
              <w:t>SEB</w:t>
            </w:r>
          </w:p>
        </w:tc>
        <w:tc>
          <w:tcPr>
            <w:tcW w:w="1620" w:type="dxa"/>
            <w:vAlign w:val="bottom"/>
            <w:gridSpan w:val="4"/>
            <w:shd w:val="clear" w:color="auto" w:fill="E5FFFF"/>
          </w:tcPr>
          <w:p>
            <w:pPr>
              <w:jc w:val="center"/>
              <w:ind w:right="180"/>
              <w:spacing w:after="0"/>
              <w:rPr>
                <w:sz w:val="20"/>
                <w:szCs w:val="20"/>
                <w:color w:val="auto"/>
              </w:rPr>
            </w:pPr>
            <w:r>
              <w:rPr>
                <w:rFonts w:ascii="Arial" w:cs="Arial" w:eastAsia="Arial" w:hAnsi="Arial"/>
                <w:sz w:val="16"/>
                <w:szCs w:val="16"/>
                <w:color w:val="auto"/>
                <w:w w:val="91"/>
              </w:rPr>
              <w:t>November 2019</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80" w:type="dxa"/>
            <w:vAlign w:val="bottom"/>
            <w:gridSpan w:val="4"/>
            <w:shd w:val="clear" w:color="auto" w:fill="E5FFFF"/>
          </w:tcPr>
          <w:p>
            <w:pPr>
              <w:jc w:val="center"/>
              <w:ind w:right="320"/>
              <w:spacing w:after="0"/>
              <w:rPr>
                <w:sz w:val="20"/>
                <w:szCs w:val="20"/>
                <w:color w:val="auto"/>
              </w:rPr>
            </w:pPr>
            <w:r>
              <w:rPr>
                <w:rFonts w:ascii="Arial" w:cs="Arial" w:eastAsia="Arial" w:hAnsi="Arial"/>
                <w:sz w:val="16"/>
                <w:szCs w:val="16"/>
                <w:color w:val="auto"/>
                <w:w w:val="89"/>
              </w:rPr>
              <w:t>Sept-December 2020</w:t>
            </w:r>
          </w:p>
        </w:tc>
        <w:tc>
          <w:tcPr>
            <w:tcW w:w="1200" w:type="dxa"/>
            <w:vAlign w:val="bottom"/>
            <w:gridSpan w:val="3"/>
            <w:shd w:val="clear" w:color="auto" w:fill="E5FFFF"/>
          </w:tcPr>
          <w:p>
            <w:pPr>
              <w:jc w:val="center"/>
              <w:ind w:left="241"/>
              <w:spacing w:after="0"/>
              <w:rPr>
                <w:sz w:val="20"/>
                <w:szCs w:val="20"/>
                <w:color w:val="auto"/>
              </w:rPr>
            </w:pPr>
            <w:r>
              <w:rPr>
                <w:rFonts w:ascii="Arial" w:cs="Arial" w:eastAsia="Arial" w:hAnsi="Arial"/>
                <w:sz w:val="16"/>
                <w:szCs w:val="16"/>
                <w:color w:val="auto"/>
                <w:w w:val="89"/>
              </w:rPr>
              <w:t>1.1419</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tcPr>
          <w:p>
            <w:pPr>
              <w:jc w:val="center"/>
              <w:ind w:right="160"/>
              <w:spacing w:after="0"/>
              <w:rPr>
                <w:sz w:val="20"/>
                <w:szCs w:val="20"/>
                <w:color w:val="auto"/>
              </w:rPr>
            </w:pPr>
            <w:r>
              <w:rPr>
                <w:rFonts w:ascii="Arial" w:cs="Arial" w:eastAsia="Arial" w:hAnsi="Arial"/>
                <w:sz w:val="16"/>
                <w:szCs w:val="16"/>
                <w:color w:val="auto"/>
                <w:w w:val="95"/>
              </w:rPr>
              <w:t>OCBC</w:t>
            </w:r>
          </w:p>
        </w:tc>
        <w:tc>
          <w:tcPr>
            <w:tcW w:w="1620" w:type="dxa"/>
            <w:vAlign w:val="bottom"/>
            <w:gridSpan w:val="4"/>
          </w:tcPr>
          <w:p>
            <w:pPr>
              <w:jc w:val="center"/>
              <w:ind w:right="180"/>
              <w:spacing w:after="0"/>
              <w:rPr>
                <w:sz w:val="20"/>
                <w:szCs w:val="20"/>
                <w:color w:val="auto"/>
              </w:rPr>
            </w:pPr>
            <w:r>
              <w:rPr>
                <w:rFonts w:ascii="Arial" w:cs="Arial" w:eastAsia="Arial" w:hAnsi="Arial"/>
                <w:sz w:val="16"/>
                <w:szCs w:val="16"/>
                <w:color w:val="auto"/>
                <w:w w:val="91"/>
              </w:rPr>
              <w:t>November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6"/>
                <w:szCs w:val="16"/>
                <w:color w:val="auto"/>
                <w:w w:val="97"/>
              </w:rPr>
              <w:t>April-August 2020</w:t>
            </w:r>
          </w:p>
        </w:tc>
        <w:tc>
          <w:tcPr>
            <w:tcW w:w="1200" w:type="dxa"/>
            <w:vAlign w:val="bottom"/>
            <w:gridSpan w:val="3"/>
          </w:tcPr>
          <w:p>
            <w:pPr>
              <w:jc w:val="center"/>
              <w:ind w:left="241"/>
              <w:spacing w:after="0"/>
              <w:rPr>
                <w:sz w:val="20"/>
                <w:szCs w:val="20"/>
                <w:color w:val="auto"/>
              </w:rPr>
            </w:pPr>
            <w:r>
              <w:rPr>
                <w:rFonts w:ascii="Arial" w:cs="Arial" w:eastAsia="Arial" w:hAnsi="Arial"/>
                <w:sz w:val="16"/>
                <w:szCs w:val="16"/>
                <w:color w:val="auto"/>
                <w:w w:val="89"/>
              </w:rPr>
              <w:t>1.1305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54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E5FFFF"/>
          </w:tcPr>
          <w:p>
            <w:pPr>
              <w:ind w:left="3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Total Exchange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Company</w:t>
            </w:r>
          </w:p>
        </w:tc>
        <w:tc>
          <w:tcPr>
            <w:tcW w:w="18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Counterparty</w:t>
            </w:r>
          </w:p>
        </w:tc>
        <w:tc>
          <w:tcPr>
            <w:tcW w:w="16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6"/>
              </w:rPr>
              <w:t>Trade Date</w:t>
            </w:r>
          </w:p>
        </w:tc>
        <w:tc>
          <w:tcPr>
            <w:tcW w:w="1220" w:type="dxa"/>
            <w:vAlign w:val="bottom"/>
            <w:gridSpan w:val="3"/>
            <w:vMerge w:val="continue"/>
          </w:tcPr>
          <w:p>
            <w:pPr>
              <w:spacing w:after="0"/>
              <w:rPr>
                <w:sz w:val="12"/>
                <w:szCs w:val="12"/>
                <w:color w:val="auto"/>
              </w:rPr>
            </w:pPr>
          </w:p>
        </w:tc>
        <w:tc>
          <w:tcPr>
            <w:tcW w:w="18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Settlement Dates</w:t>
            </w:r>
          </w:p>
        </w:tc>
        <w:tc>
          <w:tcPr>
            <w:tcW w:w="1740" w:type="dxa"/>
            <w:vAlign w:val="bottom"/>
            <w:gridSpan w:val="11"/>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3"/>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contracts</w:t>
            </w:r>
          </w:p>
        </w:tc>
        <w:tc>
          <w:tcPr>
            <w:tcW w:w="1880" w:type="dxa"/>
            <w:vAlign w:val="bottom"/>
            <w:gridSpan w:val="4"/>
            <w:vMerge w:val="continue"/>
          </w:tcPr>
          <w:p>
            <w:pPr>
              <w:spacing w:after="0"/>
              <w:rPr>
                <w:sz w:val="14"/>
                <w:szCs w:val="14"/>
                <w:color w:val="auto"/>
              </w:rPr>
            </w:pPr>
          </w:p>
        </w:tc>
        <w:tc>
          <w:tcPr>
            <w:tcW w:w="1740" w:type="dxa"/>
            <w:vAlign w:val="bottom"/>
            <w:gridSpan w:val="11"/>
          </w:tcPr>
          <w:p>
            <w:pPr>
              <w:jc w:val="center"/>
              <w:ind w:right="420"/>
              <w:spacing w:after="0"/>
              <w:rPr>
                <w:sz w:val="20"/>
                <w:szCs w:val="20"/>
                <w:color w:val="auto"/>
              </w:rPr>
            </w:pPr>
            <w:r>
              <w:rPr>
                <w:rFonts w:ascii="Arial" w:cs="Arial" w:eastAsia="Arial" w:hAnsi="Arial"/>
                <w:sz w:val="14"/>
                <w:szCs w:val="14"/>
                <w:b w:val="1"/>
                <w:bCs w:val="1"/>
                <w:color w:val="auto"/>
                <w:w w:val="98"/>
              </w:rPr>
              <w:t>(USD/SGD)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40" w:type="dxa"/>
            <w:vAlign w:val="bottom"/>
            <w:tcBorders>
              <w:top w:val="single" w:sz="8" w:color="E5FFFF"/>
            </w:tcBorders>
            <w:gridSpan w:val="2"/>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OCBC</w:t>
            </w:r>
          </w:p>
        </w:tc>
        <w:tc>
          <w:tcPr>
            <w:tcW w:w="22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November 2019</w:t>
            </w:r>
          </w:p>
        </w:tc>
        <w:tc>
          <w:tcPr>
            <w:tcW w:w="16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April-September 2020</w:t>
            </w:r>
          </w:p>
        </w:tc>
        <w:tc>
          <w:tcPr>
            <w:tcW w:w="32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gridSpan w:val="3"/>
            <w:shd w:val="clear" w:color="auto" w:fill="E5FFFF"/>
          </w:tcPr>
          <w:p>
            <w:pPr>
              <w:jc w:val="center"/>
              <w:ind w:left="221"/>
              <w:spacing w:after="0"/>
              <w:rPr>
                <w:sz w:val="20"/>
                <w:szCs w:val="20"/>
                <w:color w:val="auto"/>
              </w:rPr>
            </w:pPr>
            <w:r>
              <w:rPr>
                <w:rFonts w:ascii="Arial" w:cs="Arial" w:eastAsia="Arial" w:hAnsi="Arial"/>
                <w:sz w:val="16"/>
                <w:szCs w:val="16"/>
                <w:color w:val="auto"/>
                <w:w w:val="93"/>
              </w:rPr>
              <w:t>1.3524</w:t>
            </w:r>
          </w:p>
        </w:tc>
        <w:tc>
          <w:tcPr>
            <w:tcW w:w="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S$3,000</w:t>
            </w: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left="221"/>
              <w:spacing w:after="0"/>
              <w:rPr>
                <w:sz w:val="20"/>
                <w:szCs w:val="20"/>
                <w:color w:val="auto"/>
              </w:rPr>
            </w:pPr>
            <w:r>
              <w:rPr>
                <w:rFonts w:ascii="Arial" w:cs="Arial" w:eastAsia="Arial" w:hAnsi="Arial"/>
                <w:sz w:val="16"/>
                <w:szCs w:val="16"/>
                <w:color w:val="auto"/>
                <w:w w:val="92"/>
              </w:rPr>
              <w:t>1.3861-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4"/>
          </w:tcPr>
          <w:p>
            <w:pPr>
              <w:jc w:val="center"/>
              <w:ind w:right="240"/>
              <w:spacing w:after="0"/>
              <w:rPr>
                <w:sz w:val="20"/>
                <w:szCs w:val="20"/>
                <w:color w:val="auto"/>
              </w:rPr>
            </w:pPr>
            <w:r>
              <w:rPr>
                <w:rFonts w:ascii="Arial" w:cs="Arial" w:eastAsia="Arial" w:hAnsi="Arial"/>
                <w:sz w:val="16"/>
                <w:szCs w:val="16"/>
                <w:color w:val="auto"/>
                <w:w w:val="96"/>
              </w:rPr>
              <w:t>Citibank</w:t>
            </w:r>
          </w:p>
        </w:tc>
        <w:tc>
          <w:tcPr>
            <w:tcW w:w="1620" w:type="dxa"/>
            <w:vAlign w:val="bottom"/>
            <w:gridSpan w:val="4"/>
          </w:tcPr>
          <w:p>
            <w:pPr>
              <w:jc w:val="center"/>
              <w:ind w:right="200"/>
              <w:spacing w:after="0"/>
              <w:rPr>
                <w:sz w:val="20"/>
                <w:szCs w:val="20"/>
                <w:color w:val="auto"/>
              </w:rPr>
            </w:pPr>
            <w:r>
              <w:rPr>
                <w:rFonts w:ascii="Arial" w:cs="Arial" w:eastAsia="Arial" w:hAnsi="Arial"/>
                <w:sz w:val="16"/>
                <w:szCs w:val="16"/>
                <w:color w:val="auto"/>
                <w:w w:val="90"/>
              </w:rPr>
              <w:t>February 2020</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6"/>
                <w:szCs w:val="16"/>
                <w:color w:val="auto"/>
                <w:w w:val="93"/>
              </w:rPr>
              <w:t>April-September 2020</w:t>
            </w:r>
          </w:p>
        </w:tc>
        <w:tc>
          <w:tcPr>
            <w:tcW w:w="1200" w:type="dxa"/>
            <w:vAlign w:val="bottom"/>
            <w:gridSpan w:val="3"/>
          </w:tcPr>
          <w:p>
            <w:pPr>
              <w:jc w:val="center"/>
              <w:ind w:left="221"/>
              <w:spacing w:after="0"/>
              <w:rPr>
                <w:sz w:val="20"/>
                <w:szCs w:val="20"/>
                <w:color w:val="auto"/>
              </w:rPr>
            </w:pPr>
            <w:r>
              <w:rPr>
                <w:rFonts w:ascii="Arial" w:cs="Arial" w:eastAsia="Arial" w:hAnsi="Arial"/>
                <w:sz w:val="16"/>
                <w:szCs w:val="16"/>
                <w:color w:val="auto"/>
                <w:w w:val="93"/>
              </w:rPr>
              <w:t>1.3875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S$6,000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56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04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154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ind w:left="30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E5FFFF"/>
              <w:bottom w:val="single" w:sz="8" w:color="E5FFFF"/>
            </w:tcBorders>
            <w:gridSpan w:val="2"/>
            <w:shd w:val="clear" w:color="auto" w:fill="E5FFFF"/>
          </w:tcPr>
          <w:p>
            <w:pPr>
              <w:spacing w:after="0"/>
              <w:rPr>
                <w:sz w:val="18"/>
                <w:szCs w:val="18"/>
                <w:color w:val="auto"/>
              </w:rPr>
            </w:pPr>
          </w:p>
        </w:tc>
        <w:tc>
          <w:tcPr>
            <w:tcW w:w="180" w:type="dxa"/>
            <w:vAlign w:val="bottom"/>
            <w:tcBorders>
              <w:top w:val="single" w:sz="8" w:color="E5FFFF"/>
              <w:bottom w:val="single" w:sz="8" w:color="E5FFFF"/>
            </w:tcBorders>
            <w:gridSpan w:val="2"/>
            <w:shd w:val="clear" w:color="auto" w:fill="E5FFFF"/>
          </w:tcPr>
          <w:p>
            <w:pPr>
              <w:spacing w:after="0"/>
              <w:rPr>
                <w:sz w:val="18"/>
                <w:szCs w:val="18"/>
                <w:color w:val="auto"/>
              </w:rPr>
            </w:pPr>
          </w:p>
        </w:tc>
        <w:tc>
          <w:tcPr>
            <w:tcW w:w="100" w:type="dxa"/>
            <w:vAlign w:val="bottom"/>
            <w:tcBorders>
              <w:top w:val="single" w:sz="8" w:color="E5FFFF"/>
              <w:bottom w:val="single" w:sz="8" w:color="E5FFFF"/>
            </w:tcBorders>
            <w:gridSpan w:val="2"/>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S$9,000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Total Exchange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Company</w:t>
            </w:r>
          </w:p>
        </w:tc>
        <w:tc>
          <w:tcPr>
            <w:tcW w:w="18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Counterparty</w:t>
            </w:r>
          </w:p>
        </w:tc>
        <w:tc>
          <w:tcPr>
            <w:tcW w:w="16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6"/>
              </w:rPr>
              <w:t>Trade Date</w:t>
            </w:r>
          </w:p>
        </w:tc>
        <w:tc>
          <w:tcPr>
            <w:tcW w:w="1220" w:type="dxa"/>
            <w:vAlign w:val="bottom"/>
            <w:gridSpan w:val="3"/>
            <w:vMerge w:val="continue"/>
          </w:tcPr>
          <w:p>
            <w:pPr>
              <w:spacing w:after="0"/>
              <w:rPr>
                <w:sz w:val="12"/>
                <w:szCs w:val="12"/>
                <w:color w:val="auto"/>
              </w:rPr>
            </w:pPr>
          </w:p>
        </w:tc>
        <w:tc>
          <w:tcPr>
            <w:tcW w:w="18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Settlement Dates</w:t>
            </w:r>
          </w:p>
        </w:tc>
        <w:tc>
          <w:tcPr>
            <w:tcW w:w="1740" w:type="dxa"/>
            <w:vAlign w:val="bottom"/>
            <w:gridSpan w:val="11"/>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3"/>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contracts</w:t>
            </w:r>
          </w:p>
        </w:tc>
        <w:tc>
          <w:tcPr>
            <w:tcW w:w="18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10"/>
          </w:tcPr>
          <w:p>
            <w:pPr>
              <w:jc w:val="center"/>
              <w:ind w:right="720"/>
              <w:spacing w:after="0"/>
              <w:rPr>
                <w:sz w:val="20"/>
                <w:szCs w:val="20"/>
                <w:color w:val="auto"/>
              </w:rPr>
            </w:pPr>
            <w:r>
              <w:rPr>
                <w:rFonts w:ascii="Arial" w:cs="Arial" w:eastAsia="Arial" w:hAnsi="Arial"/>
                <w:sz w:val="14"/>
                <w:szCs w:val="14"/>
                <w:b w:val="1"/>
                <w:bCs w:val="1"/>
                <w:color w:val="auto"/>
                <w:w w:val="98"/>
              </w:rPr>
              <w:t>(USD/JPY)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40" w:type="dxa"/>
            <w:vAlign w:val="bottom"/>
            <w:tcBorders>
              <w:top w:val="single" w:sz="8" w:color="E5FFFF"/>
            </w:tcBorders>
            <w:gridSpan w:val="2"/>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6"/>
              </w:rPr>
              <w:t>Citibank</w:t>
            </w:r>
          </w:p>
        </w:tc>
        <w:tc>
          <w:tcPr>
            <w:tcW w:w="22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December 2019</w:t>
            </w:r>
          </w:p>
        </w:tc>
        <w:tc>
          <w:tcPr>
            <w:tcW w:w="16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November 2020</w:t>
            </w:r>
          </w:p>
        </w:tc>
        <w:tc>
          <w:tcPr>
            <w:tcW w:w="32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gridSpan w:val="3"/>
            <w:shd w:val="clear" w:color="auto" w:fill="E5FFFF"/>
          </w:tcPr>
          <w:p>
            <w:pPr>
              <w:jc w:val="center"/>
              <w:ind w:left="221"/>
              <w:spacing w:after="0"/>
              <w:rPr>
                <w:sz w:val="20"/>
                <w:szCs w:val="20"/>
                <w:color w:val="auto"/>
              </w:rPr>
            </w:pPr>
            <w:r>
              <w:rPr>
                <w:rFonts w:ascii="Arial" w:cs="Arial" w:eastAsia="Arial" w:hAnsi="Arial"/>
                <w:sz w:val="16"/>
                <w:szCs w:val="16"/>
                <w:color w:val="auto"/>
                <w:w w:val="92"/>
              </w:rPr>
              <w:t>107.3409</w:t>
            </w:r>
          </w:p>
        </w:tc>
        <w:tc>
          <w:tcPr>
            <w:tcW w:w="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JP¥ 29,397</w:t>
            </w: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w:t>
            </w:r>
          </w:p>
        </w:tc>
        <w:tc>
          <w:tcPr>
            <w:tcW w:w="400" w:type="dxa"/>
            <w:vAlign w:val="bottom"/>
            <w:gridSpan w:val="6"/>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JP¥ 29,397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2020. The change in the fair value of these contracts for the three months ended March 31, 2020 amounted to a net loss of $1,352 (for the three months ended March 31, 2019: net loss of $397), which was recognized against profit or loss in the period incurred and is included in Loss on derivatives.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gridSpan w:val="3"/>
          </w:tcPr>
          <w:p>
            <w:pPr>
              <w:spacing w:after="0"/>
              <w:rPr>
                <w:sz w:val="20"/>
                <w:szCs w:val="20"/>
                <w:color w:val="auto"/>
              </w:rPr>
            </w:pPr>
            <w:r>
              <w:rPr>
                <w:rFonts w:ascii="Arial" w:cs="Arial" w:eastAsia="Arial" w:hAnsi="Arial"/>
                <w:sz w:val="16"/>
                <w:szCs w:val="16"/>
                <w:b w:val="1"/>
                <w:bCs w:val="1"/>
                <w:color w:val="auto"/>
              </w:rPr>
              <w:t>18. Financial Costs and Loss on Derivatives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7880" w:type="dxa"/>
            <w:vAlign w:val="bottom"/>
            <w:gridSpan w:val="3"/>
          </w:tcPr>
          <w:p>
            <w:pPr>
              <w:ind w:left="420"/>
              <w:spacing w:after="0"/>
              <w:rPr>
                <w:sz w:val="20"/>
                <w:szCs w:val="20"/>
                <w:color w:val="auto"/>
              </w:rPr>
            </w:pPr>
            <w:r>
              <w:rPr>
                <w:rFonts w:ascii="Arial" w:cs="Arial" w:eastAsia="Arial" w:hAnsi="Arial"/>
                <w:sz w:val="16"/>
                <w:szCs w:val="16"/>
                <w:color w:val="auto"/>
              </w:rPr>
              <w:t>An analysis of financial costs and loss on derivatives is as follows: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ind w:left="34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5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March 31, 2019</w:t>
            </w: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580" w:type="dxa"/>
            <w:vAlign w:val="bottom"/>
          </w:tcPr>
          <w:p>
            <w:pPr>
              <w:spacing w:after="0"/>
              <w:rPr>
                <w:sz w:val="17"/>
                <w:szCs w:val="17"/>
                <w:color w:val="auto"/>
              </w:rPr>
            </w:pPr>
          </w:p>
        </w:tc>
        <w:tc>
          <w:tcPr>
            <w:tcW w:w="71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2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16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3,817</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Interest expense on loans</w:t>
            </w:r>
          </w:p>
        </w:tc>
        <w:tc>
          <w:tcPr>
            <w:tcW w:w="1220" w:type="dxa"/>
            <w:vAlign w:val="bottom"/>
          </w:tcPr>
          <w:p>
            <w:pPr>
              <w:jc w:val="right"/>
              <w:spacing w:after="0"/>
              <w:rPr>
                <w:sz w:val="20"/>
                <w:szCs w:val="20"/>
                <w:color w:val="auto"/>
              </w:rPr>
            </w:pPr>
            <w:r>
              <w:rPr>
                <w:rFonts w:ascii="Arial" w:cs="Arial" w:eastAsia="Arial" w:hAnsi="Arial"/>
                <w:sz w:val="16"/>
                <w:szCs w:val="16"/>
                <w:color w:val="auto"/>
              </w:rPr>
              <w:t>30,591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26,826</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CCS</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7,483</w:t>
            </w: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9,484</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Lease charge</w:t>
            </w:r>
          </w:p>
        </w:tc>
        <w:tc>
          <w:tcPr>
            <w:tcW w:w="1220" w:type="dxa"/>
            <w:vAlign w:val="bottom"/>
          </w:tcPr>
          <w:p>
            <w:pPr>
              <w:jc w:val="right"/>
              <w:spacing w:after="0"/>
              <w:rPr>
                <w:sz w:val="20"/>
                <w:szCs w:val="20"/>
                <w:color w:val="auto"/>
              </w:rPr>
            </w:pPr>
            <w:r>
              <w:rPr>
                <w:rFonts w:ascii="Arial" w:cs="Arial" w:eastAsia="Arial" w:hAnsi="Arial"/>
                <w:sz w:val="16"/>
                <w:szCs w:val="16"/>
                <w:color w:val="auto"/>
              </w:rPr>
              <w:t>2,629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2,549</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 arising on bond repurchase</w:t>
            </w:r>
          </w:p>
        </w:tc>
        <w:tc>
          <w:tcPr>
            <w:tcW w:w="14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1,937</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Other financial costs, net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6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financial costs</w:t>
            </w: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45,507</w:t>
            </w:r>
          </w:p>
        </w:tc>
        <w:tc>
          <w:tcPr>
            <w:tcW w:w="16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41,441</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 (Note 17)</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21,150</w:t>
            </w: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71,332</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Realized (gain)/loss on interest rate swaps held for trading</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(1,735)</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869</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876</w:t>
            </w: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Ineffective portion of cash flow hedges</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(1,283)</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loss on derivatives</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20,244</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71,124</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Cash Flow Reconciliations</w:t>
      </w:r>
    </w:p>
    <w:p>
      <w:pPr>
        <w:spacing w:after="0" w:line="239" w:lineRule="exact"/>
        <w:rPr>
          <w:sz w:val="20"/>
          <w:szCs w:val="20"/>
          <w:color w:val="auto"/>
        </w:rPr>
      </w:pPr>
    </w:p>
    <w:p>
      <w:pPr>
        <w:ind w:right="300" w:firstLine="383"/>
        <w:spacing w:after="0" w:line="293" w:lineRule="auto"/>
        <w:rPr>
          <w:sz w:val="20"/>
          <w:szCs w:val="20"/>
          <w:color w:val="auto"/>
        </w:rPr>
      </w:pPr>
      <w:r>
        <w:rPr>
          <w:rFonts w:ascii="Arial" w:cs="Arial" w:eastAsia="Arial" w:hAnsi="Arial"/>
          <w:sz w:val="16"/>
          <w:szCs w:val="16"/>
          <w:color w:val="auto"/>
        </w:rPr>
        <w:t>The reconciliation of the Group’s non-cash investing and financing activities for the periods ended March 31, 2019 and March 31, 2020 are presented in the tables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2" w:name="page43"/>
    <w:bookmarkEnd w:id="42"/>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Deferred</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86"/>
              </w:rPr>
              <w:t>comprehensive</w:t>
            </w:r>
          </w:p>
        </w:tc>
        <w:tc>
          <w:tcPr>
            <w:tcW w:w="20" w:type="dxa"/>
            <w:vAlign w:val="bottom"/>
          </w:tcPr>
          <w:p>
            <w:pPr>
              <w:spacing w:after="0"/>
              <w:rPr>
                <w:sz w:val="17"/>
                <w:szCs w:val="17"/>
                <w:color w:val="auto"/>
              </w:rPr>
            </w:pPr>
          </w:p>
        </w:tc>
        <w:tc>
          <w:tcPr>
            <w:tcW w:w="1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7"/>
              </w:rPr>
              <w:t>Non-cash</w:t>
            </w:r>
          </w:p>
        </w:tc>
        <w:tc>
          <w:tcPr>
            <w:tcW w:w="20" w:type="dxa"/>
            <w:vAlign w:val="bottom"/>
          </w:tcPr>
          <w:p>
            <w:pPr>
              <w:spacing w:after="0"/>
              <w:rPr>
                <w:sz w:val="17"/>
                <w:szCs w:val="17"/>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financing costs,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Cash flows</w:t>
            </w:r>
          </w:p>
        </w:tc>
        <w:tc>
          <w:tcPr>
            <w:tcW w:w="172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81"/>
              </w:rPr>
              <w:t>loss</w:t>
            </w:r>
          </w:p>
        </w:tc>
        <w:tc>
          <w:tcPr>
            <w:tcW w:w="20" w:type="dxa"/>
            <w:vAlign w:val="bottom"/>
          </w:tcPr>
          <w:p>
            <w:pPr>
              <w:spacing w:after="0"/>
              <w:rPr>
                <w:sz w:val="18"/>
                <w:szCs w:val="18"/>
                <w:color w:val="auto"/>
              </w:rPr>
            </w:pPr>
          </w:p>
        </w:tc>
        <w:tc>
          <w:tcPr>
            <w:tcW w:w="1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6"/>
              </w:rPr>
              <w:t>items</w:t>
            </w:r>
          </w:p>
        </w:tc>
        <w:tc>
          <w:tcPr>
            <w:tcW w:w="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assets</w:t>
            </w:r>
          </w:p>
        </w:tc>
        <w:tc>
          <w:tcPr>
            <w:tcW w:w="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38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w:t>
            </w:r>
          </w:p>
        </w:tc>
        <w:tc>
          <w:tcPr>
            <w:tcW w:w="1320" w:type="dxa"/>
            <w:vAlign w:val="bottom"/>
            <w:tcBorders>
              <w:top w:val="single" w:sz="8" w:color="auto"/>
              <w:left w:val="single" w:sz="8" w:color="E5FFFF"/>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E5FFFF"/>
              <w:right w:val="single" w:sz="8" w:color="E5FFFF"/>
            </w:tcBorders>
            <w:shd w:val="clear" w:color="auto" w:fill="E5FFFF"/>
          </w:tcPr>
          <w:p>
            <w:pPr>
              <w:spacing w:after="0"/>
              <w:rPr>
                <w:sz w:val="15"/>
                <w:szCs w:val="15"/>
                <w:color w:val="auto"/>
              </w:rPr>
            </w:pPr>
          </w:p>
        </w:tc>
        <w:tc>
          <w:tcPr>
            <w:tcW w:w="15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1280" w:type="dxa"/>
            <w:vAlign w:val="bottom"/>
            <w:tcBorders>
              <w:top w:val="single" w:sz="8" w:color="auto"/>
              <w:right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January 1, 2019</w:t>
            </w:r>
          </w:p>
        </w:tc>
        <w:tc>
          <w:tcPr>
            <w:tcW w:w="1340" w:type="dxa"/>
            <w:vAlign w:val="bottom"/>
            <w:tcBorders>
              <w:lef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2,828,459</w:t>
            </w:r>
          </w:p>
        </w:tc>
        <w:tc>
          <w:tcPr>
            <w:tcW w:w="24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2,828,459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Proceeds from bank loans</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525,805</w:t>
            </w:r>
          </w:p>
        </w:tc>
        <w:tc>
          <w:tcPr>
            <w:tcW w:w="260" w:type="dxa"/>
            <w:vAlign w:val="bottom"/>
          </w:tcPr>
          <w:p>
            <w:pPr>
              <w:spacing w:after="0"/>
              <w:rPr>
                <w:sz w:val="17"/>
                <w:szCs w:val="17"/>
                <w:color w:val="auto"/>
              </w:rPr>
            </w:pPr>
          </w:p>
        </w:tc>
        <w:tc>
          <w:tcPr>
            <w:tcW w:w="1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525,805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580" w:type="dxa"/>
            <w:vAlign w:val="bottom"/>
            <w:tcBorders>
              <w:lef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(426,208)</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(426,208)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(7,780)</w:t>
            </w:r>
          </w:p>
        </w:tc>
        <w:tc>
          <w:tcPr>
            <w:tcW w:w="1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7"/>
                <w:szCs w:val="17"/>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(4,576)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(12,201)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w:t>
            </w:r>
          </w:p>
        </w:tc>
        <w:tc>
          <w:tcPr>
            <w:tcW w:w="1320" w:type="dxa"/>
            <w:vAlign w:val="bottom"/>
            <w:tcBorders>
              <w:left w:val="single" w:sz="8" w:color="E5FFFF"/>
            </w:tcBorders>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60" w:type="dxa"/>
            <w:vAlign w:val="bottom"/>
            <w:tcBorders>
              <w:right w:val="single" w:sz="8" w:color="E5FFFF"/>
            </w:tcBorders>
            <w:shd w:val="clear" w:color="auto" w:fill="E5FFFF"/>
          </w:tcPr>
          <w:p>
            <w:pPr>
              <w:spacing w:after="0"/>
              <w:rPr>
                <w:sz w:val="16"/>
                <w:szCs w:val="16"/>
                <w:color w:val="auto"/>
              </w:rPr>
            </w:pPr>
          </w:p>
        </w:tc>
        <w:tc>
          <w:tcPr>
            <w:tcW w:w="15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80" w:type="dxa"/>
            <w:vAlign w:val="bottom"/>
            <w:tcBorders>
              <w:right w:val="single" w:sz="8" w:color="E5FFFF"/>
            </w:tcBorders>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deferred loan issuance costs</w:t>
            </w:r>
          </w:p>
        </w:tc>
        <w:tc>
          <w:tcPr>
            <w:tcW w:w="1580" w:type="dxa"/>
            <w:vAlign w:val="bottom"/>
            <w:tcBorders>
              <w:lef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1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Retranslation of the 2021 NOK</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Bonds in USD</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5FF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5FF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80" w:type="dxa"/>
            <w:vAlign w:val="bottom"/>
            <w:tcBorders>
              <w:bottom w:val="single" w:sz="8" w:color="E5FF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5FF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Borrowings outstanding as of</w:t>
            </w:r>
          </w:p>
        </w:tc>
        <w:tc>
          <w:tcPr>
            <w:tcW w:w="1340" w:type="dxa"/>
            <w:vAlign w:val="bottom"/>
            <w:tcBorders>
              <w:left w:val="single" w:sz="8" w:color="E5FFFF"/>
            </w:tcBorders>
            <w:gridSpan w:val="2"/>
            <w:vMerge w:val="restart"/>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2,828,459</w:t>
            </w:r>
          </w:p>
        </w:tc>
        <w:tc>
          <w:tcPr>
            <w:tcW w:w="240" w:type="dxa"/>
            <w:vAlign w:val="bottom"/>
            <w:shd w:val="clear" w:color="auto" w:fill="E5FFFF"/>
          </w:tcPr>
          <w:p>
            <w:pPr>
              <w:spacing w:after="0"/>
              <w:rPr>
                <w:sz w:val="15"/>
                <w:szCs w:val="15"/>
                <w:color w:val="auto"/>
              </w:rPr>
            </w:pPr>
          </w:p>
        </w:tc>
        <w:tc>
          <w:tcPr>
            <w:tcW w:w="120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91,817</w:t>
            </w:r>
          </w:p>
        </w:tc>
        <w:tc>
          <w:tcPr>
            <w:tcW w:w="260" w:type="dxa"/>
            <w:vAlign w:val="bottom"/>
            <w:tcBorders>
              <w:right w:val="single" w:sz="8" w:color="E5FFFF"/>
            </w:tcBorders>
            <w:shd w:val="clear" w:color="auto" w:fill="E5FFFF"/>
          </w:tcPr>
          <w:p>
            <w:pPr>
              <w:spacing w:after="0"/>
              <w:rPr>
                <w:sz w:val="15"/>
                <w:szCs w:val="15"/>
                <w:color w:val="auto"/>
              </w:rPr>
            </w:pPr>
          </w:p>
        </w:tc>
        <w:tc>
          <w:tcPr>
            <w:tcW w:w="15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705</w:t>
            </w:r>
          </w:p>
        </w:tc>
        <w:tc>
          <w:tcPr>
            <w:tcW w:w="180" w:type="dxa"/>
            <w:vAlign w:val="bottom"/>
            <w:shd w:val="clear" w:color="auto" w:fill="E5FFFF"/>
          </w:tcPr>
          <w:p>
            <w:pPr>
              <w:spacing w:after="0"/>
              <w:rPr>
                <w:sz w:val="15"/>
                <w:szCs w:val="15"/>
                <w:color w:val="auto"/>
              </w:rPr>
            </w:pPr>
          </w:p>
        </w:tc>
        <w:tc>
          <w:tcPr>
            <w:tcW w:w="94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4,316</w:t>
            </w:r>
          </w:p>
        </w:tc>
        <w:tc>
          <w:tcPr>
            <w:tcW w:w="160" w:type="dxa"/>
            <w:vAlign w:val="bottom"/>
            <w:shd w:val="clear" w:color="auto" w:fill="E5FFFF"/>
          </w:tcPr>
          <w:p>
            <w:pPr>
              <w:spacing w:after="0"/>
              <w:rPr>
                <w:sz w:val="15"/>
                <w:szCs w:val="15"/>
                <w:color w:val="auto"/>
              </w:rPr>
            </w:pPr>
          </w:p>
        </w:tc>
        <w:tc>
          <w:tcPr>
            <w:tcW w:w="1420" w:type="dxa"/>
            <w:vAlign w:val="bottom"/>
            <w:gridSpan w:val="3"/>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2,920,721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March 31, 2019</w:t>
            </w:r>
          </w:p>
        </w:tc>
        <w:tc>
          <w:tcPr>
            <w:tcW w:w="1340" w:type="dxa"/>
            <w:vAlign w:val="bottom"/>
            <w:tcBorders>
              <w:left w:val="single" w:sz="8" w:color="E5FFFF"/>
            </w:tcBorders>
            <w:gridSpan w:val="2"/>
            <w:vMerge w:val="continue"/>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200" w:type="dxa"/>
            <w:vAlign w:val="bottom"/>
            <w:gridSpan w:val="2"/>
            <w:vMerge w:val="continue"/>
            <w:shd w:val="clear" w:color="auto" w:fill="E5FFFF"/>
          </w:tcPr>
          <w:p>
            <w:pPr>
              <w:spacing w:after="0"/>
              <w:rPr>
                <w:sz w:val="11"/>
                <w:szCs w:val="11"/>
                <w:color w:val="auto"/>
              </w:rPr>
            </w:pPr>
          </w:p>
        </w:tc>
        <w:tc>
          <w:tcPr>
            <w:tcW w:w="260" w:type="dxa"/>
            <w:vAlign w:val="bottom"/>
            <w:tcBorders>
              <w:right w:val="single" w:sz="8" w:color="E5FFFF"/>
            </w:tcBorders>
            <w:shd w:val="clear" w:color="auto" w:fill="E5FFFF"/>
          </w:tcPr>
          <w:p>
            <w:pPr>
              <w:spacing w:after="0"/>
              <w:rPr>
                <w:sz w:val="11"/>
                <w:szCs w:val="11"/>
                <w:color w:val="auto"/>
              </w:rPr>
            </w:pPr>
          </w:p>
        </w:tc>
        <w:tc>
          <w:tcPr>
            <w:tcW w:w="1540" w:type="dxa"/>
            <w:vAlign w:val="bottom"/>
            <w:vMerge w:val="continue"/>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40" w:type="dxa"/>
            <w:vAlign w:val="bottom"/>
            <w:gridSpan w:val="2"/>
            <w:vMerge w:val="continue"/>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20" w:type="dxa"/>
            <w:vAlign w:val="bottom"/>
            <w:gridSpan w:val="3"/>
            <w:vMerge w:val="continue"/>
            <w:shd w:val="clear" w:color="auto" w:fill="E5FFFF"/>
          </w:tcPr>
          <w:p>
            <w:pPr>
              <w:spacing w:after="0"/>
              <w:rPr>
                <w:sz w:val="11"/>
                <w:szCs w:val="11"/>
                <w:color w:val="auto"/>
              </w:rPr>
            </w:pPr>
          </w:p>
        </w:tc>
        <w:tc>
          <w:tcPr>
            <w:tcW w:w="820" w:type="dxa"/>
            <w:vAlign w:val="bottom"/>
            <w:gridSpan w:val="2"/>
            <w:vMerge w:val="continue"/>
            <w:shd w:val="clear" w:color="auto" w:fill="E5FF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80" w:type="dxa"/>
            <w:vAlign w:val="bottom"/>
            <w:tcBorders>
              <w:bottom w:val="single" w:sz="8" w:color="E5FFFF"/>
            </w:tcBorders>
            <w:vMerge w:val="continue"/>
            <w:shd w:val="clear" w:color="auto" w:fill="E5FFFF"/>
          </w:tcPr>
          <w:p>
            <w:pPr>
              <w:spacing w:after="0"/>
              <w:rPr>
                <w:sz w:val="6"/>
                <w:szCs w:val="6"/>
                <w:color w:val="auto"/>
              </w:rPr>
            </w:pPr>
          </w:p>
        </w:tc>
        <w:tc>
          <w:tcPr>
            <w:tcW w:w="1340" w:type="dxa"/>
            <w:vAlign w:val="bottom"/>
            <w:tcBorders>
              <w:left w:val="single" w:sz="8" w:color="E5FFFF"/>
              <w:bottom w:val="single" w:sz="8" w:color="auto"/>
            </w:tcBorders>
            <w:gridSpan w:val="2"/>
            <w:vMerge w:val="continue"/>
            <w:shd w:val="clear" w:color="auto" w:fill="E5FFFF"/>
          </w:tcPr>
          <w:p>
            <w:pPr>
              <w:spacing w:after="0"/>
              <w:rPr>
                <w:sz w:val="6"/>
                <w:szCs w:val="6"/>
                <w:color w:val="auto"/>
              </w:rPr>
            </w:pPr>
          </w:p>
        </w:tc>
        <w:tc>
          <w:tcPr>
            <w:tcW w:w="240" w:type="dxa"/>
            <w:vAlign w:val="bottom"/>
            <w:tcBorders>
              <w:bottom w:val="single" w:sz="8" w:color="E5FFFF"/>
            </w:tcBorders>
            <w:shd w:val="clear" w:color="auto" w:fill="E5FFFF"/>
          </w:tcPr>
          <w:p>
            <w:pPr>
              <w:spacing w:after="0"/>
              <w:rPr>
                <w:sz w:val="6"/>
                <w:szCs w:val="6"/>
                <w:color w:val="auto"/>
              </w:rPr>
            </w:pPr>
          </w:p>
        </w:tc>
        <w:tc>
          <w:tcPr>
            <w:tcW w:w="1200" w:type="dxa"/>
            <w:vAlign w:val="bottom"/>
            <w:tcBorders>
              <w:bottom w:val="single" w:sz="8" w:color="auto"/>
            </w:tcBorders>
            <w:gridSpan w:val="2"/>
            <w:vMerge w:val="continue"/>
            <w:shd w:val="clear" w:color="auto" w:fill="E5FFFF"/>
          </w:tcPr>
          <w:p>
            <w:pPr>
              <w:spacing w:after="0"/>
              <w:rPr>
                <w:sz w:val="6"/>
                <w:szCs w:val="6"/>
                <w:color w:val="auto"/>
              </w:rPr>
            </w:pPr>
          </w:p>
        </w:tc>
        <w:tc>
          <w:tcPr>
            <w:tcW w:w="260" w:type="dxa"/>
            <w:vAlign w:val="bottom"/>
            <w:tcBorders>
              <w:bottom w:val="single" w:sz="8" w:color="E5FFFF"/>
              <w:right w:val="single" w:sz="8" w:color="E5FFFF"/>
            </w:tcBorders>
            <w:shd w:val="clear" w:color="auto" w:fill="E5FFFF"/>
          </w:tcPr>
          <w:p>
            <w:pPr>
              <w:spacing w:after="0"/>
              <w:rPr>
                <w:sz w:val="6"/>
                <w:szCs w:val="6"/>
                <w:color w:val="auto"/>
              </w:rPr>
            </w:pPr>
          </w:p>
        </w:tc>
        <w:tc>
          <w:tcPr>
            <w:tcW w:w="1540" w:type="dxa"/>
            <w:vAlign w:val="bottom"/>
            <w:tcBorders>
              <w:bottom w:val="single" w:sz="8" w:color="auto"/>
            </w:tcBorders>
            <w:vMerge w:val="continue"/>
            <w:shd w:val="clear" w:color="auto" w:fill="E5FFFF"/>
          </w:tcPr>
          <w:p>
            <w:pPr>
              <w:spacing w:after="0"/>
              <w:rPr>
                <w:sz w:val="6"/>
                <w:szCs w:val="6"/>
                <w:color w:val="auto"/>
              </w:rPr>
            </w:pPr>
          </w:p>
        </w:tc>
        <w:tc>
          <w:tcPr>
            <w:tcW w:w="180" w:type="dxa"/>
            <w:vAlign w:val="bottom"/>
            <w:tcBorders>
              <w:bottom w:val="single" w:sz="8" w:color="E5FFFF"/>
            </w:tcBorders>
            <w:shd w:val="clear" w:color="auto" w:fill="E5FFFF"/>
          </w:tcPr>
          <w:p>
            <w:pPr>
              <w:spacing w:after="0"/>
              <w:rPr>
                <w:sz w:val="6"/>
                <w:szCs w:val="6"/>
                <w:color w:val="auto"/>
              </w:rPr>
            </w:pPr>
          </w:p>
        </w:tc>
        <w:tc>
          <w:tcPr>
            <w:tcW w:w="940" w:type="dxa"/>
            <w:vAlign w:val="bottom"/>
            <w:tcBorders>
              <w:bottom w:val="single" w:sz="8" w:color="auto"/>
            </w:tcBorders>
            <w:gridSpan w:val="2"/>
            <w:vMerge w:val="continue"/>
            <w:shd w:val="clear" w:color="auto" w:fill="E5FFFF"/>
          </w:tcPr>
          <w:p>
            <w:pPr>
              <w:spacing w:after="0"/>
              <w:rPr>
                <w:sz w:val="6"/>
                <w:szCs w:val="6"/>
                <w:color w:val="auto"/>
              </w:rPr>
            </w:pPr>
          </w:p>
        </w:tc>
        <w:tc>
          <w:tcPr>
            <w:tcW w:w="160" w:type="dxa"/>
            <w:vAlign w:val="bottom"/>
            <w:tcBorders>
              <w:bottom w:val="single" w:sz="8" w:color="E5FFFF"/>
            </w:tcBorders>
            <w:shd w:val="clear" w:color="auto" w:fill="E5FFFF"/>
          </w:tcPr>
          <w:p>
            <w:pPr>
              <w:spacing w:after="0"/>
              <w:rPr>
                <w:sz w:val="6"/>
                <w:szCs w:val="6"/>
                <w:color w:val="auto"/>
              </w:rPr>
            </w:pPr>
          </w:p>
        </w:tc>
        <w:tc>
          <w:tcPr>
            <w:tcW w:w="1300" w:type="dxa"/>
            <w:vAlign w:val="bottom"/>
            <w:tcBorders>
              <w:bottom w:val="single" w:sz="8" w:color="auto"/>
              <w:right w:val="single" w:sz="8" w:color="E5FFFF"/>
            </w:tcBorders>
            <w:gridSpan w:val="2"/>
            <w:shd w:val="clear" w:color="auto" w:fill="E5FFFF"/>
          </w:tcPr>
          <w:p>
            <w:pPr>
              <w:jc w:val="right"/>
              <w:spacing w:after="0" w:line="68" w:lineRule="exact"/>
              <w:rPr>
                <w:sz w:val="20"/>
                <w:szCs w:val="20"/>
                <w:color w:val="auto"/>
              </w:rPr>
            </w:pPr>
            <w:r>
              <w:rPr>
                <w:rFonts w:ascii="Arial" w:cs="Arial" w:eastAsia="Arial" w:hAnsi="Arial"/>
                <w:sz w:val="7"/>
                <w:szCs w:val="7"/>
                <w:b w:val="1"/>
                <w:bCs w:val="1"/>
                <w:color w:val="auto"/>
              </w:rPr>
              <w:t>(4,576</w:t>
            </w:r>
          </w:p>
        </w:tc>
        <w:tc>
          <w:tcPr>
            <w:tcW w:w="120" w:type="dxa"/>
            <w:vAlign w:val="bottom"/>
            <w:tcBorders>
              <w:bottom w:val="single" w:sz="8" w:color="E5FFFF"/>
            </w:tcBorders>
            <w:shd w:val="clear" w:color="auto" w:fill="E5FFFF"/>
          </w:tcPr>
          <w:p>
            <w:pPr>
              <w:spacing w:after="0"/>
              <w:rPr>
                <w:sz w:val="6"/>
                <w:szCs w:val="6"/>
                <w:color w:val="auto"/>
              </w:rPr>
            </w:pPr>
          </w:p>
        </w:tc>
        <w:tc>
          <w:tcPr>
            <w:tcW w:w="820" w:type="dxa"/>
            <w:vAlign w:val="bottom"/>
            <w:tcBorders>
              <w:bottom w:val="single" w:sz="8" w:color="auto"/>
            </w:tcBorders>
            <w:gridSpan w:val="2"/>
            <w:vMerge w:val="continue"/>
            <w:shd w:val="clear" w:color="auto" w:fill="E5FF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0"/>
        </w:trPr>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Deferred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8"/>
              </w:rPr>
              <w:t>comprehensive</w:t>
            </w:r>
          </w:p>
        </w:tc>
        <w:tc>
          <w:tcPr>
            <w:tcW w:w="20" w:type="dxa"/>
            <w:vAlign w:val="bottom"/>
          </w:tcPr>
          <w:p>
            <w:pPr>
              <w:spacing w:after="0"/>
              <w:rPr>
                <w:sz w:val="17"/>
                <w:szCs w:val="17"/>
                <w:color w:val="auto"/>
              </w:rPr>
            </w:pPr>
          </w:p>
        </w:tc>
        <w:tc>
          <w:tcPr>
            <w:tcW w:w="10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7"/>
              </w:rPr>
              <w:t>Non-cash</w:t>
            </w:r>
          </w:p>
        </w:tc>
        <w:tc>
          <w:tcPr>
            <w:tcW w:w="2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financing costs,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Cash flows</w:t>
            </w:r>
          </w:p>
        </w:tc>
        <w:tc>
          <w:tcPr>
            <w:tcW w:w="17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5"/>
              </w:rPr>
              <w:t>income</w:t>
            </w:r>
          </w:p>
        </w:tc>
        <w:tc>
          <w:tcPr>
            <w:tcW w:w="20" w:type="dxa"/>
            <w:vAlign w:val="bottom"/>
          </w:tcPr>
          <w:p>
            <w:pPr>
              <w:spacing w:after="0"/>
              <w:rPr>
                <w:sz w:val="18"/>
                <w:szCs w:val="18"/>
                <w:color w:val="auto"/>
              </w:rPr>
            </w:pPr>
          </w:p>
        </w:tc>
        <w:tc>
          <w:tcPr>
            <w:tcW w:w="10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6"/>
              </w:rPr>
              <w:t>items</w:t>
            </w:r>
          </w:p>
        </w:tc>
        <w:tc>
          <w:tcPr>
            <w:tcW w:w="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0"/>
              </w:rPr>
              <w:t>assets</w:t>
            </w:r>
          </w:p>
        </w:tc>
        <w:tc>
          <w:tcPr>
            <w:tcW w:w="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38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w:t>
            </w:r>
          </w:p>
        </w:tc>
        <w:tc>
          <w:tcPr>
            <w:tcW w:w="1320" w:type="dxa"/>
            <w:vAlign w:val="bottom"/>
            <w:tcBorders>
              <w:top w:val="single" w:sz="8" w:color="auto"/>
              <w:left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260" w:type="dxa"/>
            <w:vAlign w:val="bottom"/>
            <w:tcBorders>
              <w:top w:val="single" w:sz="8" w:color="E5FFFF"/>
              <w:right w:val="single" w:sz="8" w:color="E5FFFF"/>
            </w:tcBorders>
            <w:shd w:val="clear" w:color="auto" w:fill="E5FFFF"/>
          </w:tcPr>
          <w:p>
            <w:pPr>
              <w:spacing w:after="0"/>
              <w:rPr>
                <w:sz w:val="15"/>
                <w:szCs w:val="15"/>
                <w:color w:val="auto"/>
              </w:rPr>
            </w:pPr>
          </w:p>
        </w:tc>
        <w:tc>
          <w:tcPr>
            <w:tcW w:w="15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right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January 1, 2020</w:t>
            </w:r>
          </w:p>
        </w:tc>
        <w:tc>
          <w:tcPr>
            <w:tcW w:w="1320" w:type="dxa"/>
            <w:vAlign w:val="bottom"/>
            <w:tcBorders>
              <w:lef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3,147,395</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3,147,395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Proceeds from bank loans and</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bonds</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252,525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252,525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Bank loan and bond repayments</w:t>
            </w:r>
          </w:p>
        </w:tc>
        <w:tc>
          <w:tcPr>
            <w:tcW w:w="1580" w:type="dxa"/>
            <w:vAlign w:val="bottom"/>
            <w:tcBorders>
              <w:lef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(124,116)</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E5FFFF"/>
          </w:tcPr>
          <w:p>
            <w:pPr>
              <w:jc w:val="right"/>
              <w:ind w:right="19"/>
              <w:spacing w:after="0"/>
              <w:rPr>
                <w:sz w:val="20"/>
                <w:szCs w:val="20"/>
                <w:color w:val="auto"/>
              </w:rPr>
            </w:pPr>
            <w:r>
              <w:rPr>
                <w:rFonts w:ascii="Arial" w:cs="Arial" w:eastAsia="Arial" w:hAnsi="Arial"/>
                <w:sz w:val="16"/>
                <w:szCs w:val="16"/>
                <w:color w:val="auto"/>
              </w:rPr>
              <w:t>(8,063)</w:t>
            </w:r>
          </w:p>
        </w:tc>
        <w:tc>
          <w:tcPr>
            <w:tcW w:w="2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(132,179)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w w:val="96"/>
              </w:rPr>
              <w:t>Payment for bond repurchase at a</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160"/>
              <w:spacing w:after="0"/>
              <w:rPr>
                <w:sz w:val="20"/>
                <w:szCs w:val="20"/>
                <w:color w:val="auto"/>
              </w:rPr>
            </w:pPr>
            <w:r>
              <w:rPr>
                <w:rFonts w:ascii="Arial" w:cs="Arial" w:eastAsia="Arial" w:hAnsi="Arial"/>
                <w:sz w:val="16"/>
                <w:szCs w:val="16"/>
                <w:color w:val="auto"/>
              </w:rPr>
              <w:t>premium</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(1,937)</w:t>
            </w:r>
          </w:p>
        </w:tc>
        <w:tc>
          <w:tcPr>
            <w:tcW w:w="1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08"/>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Additions in deferred loan fees</w:t>
            </w:r>
          </w:p>
        </w:tc>
        <w:tc>
          <w:tcPr>
            <w:tcW w:w="1580" w:type="dxa"/>
            <w:vAlign w:val="bottom"/>
            <w:tcBorders>
              <w:left w:val="single" w:sz="8" w:color="E5FFFF"/>
            </w:tcBorders>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(3,188)</w:t>
            </w:r>
          </w:p>
        </w:tc>
        <w:tc>
          <w:tcPr>
            <w:tcW w:w="17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E5FFFF"/>
          </w:tcPr>
          <w:p>
            <w:pPr>
              <w:jc w:val="right"/>
              <w:ind w:right="19"/>
              <w:spacing w:after="0"/>
              <w:rPr>
                <w:sz w:val="20"/>
                <w:szCs w:val="20"/>
                <w:color w:val="auto"/>
              </w:rPr>
            </w:pPr>
            <w:r>
              <w:rPr>
                <w:rFonts w:ascii="Arial" w:cs="Arial" w:eastAsia="Arial" w:hAnsi="Arial"/>
                <w:sz w:val="16"/>
                <w:szCs w:val="16"/>
                <w:color w:val="auto"/>
              </w:rPr>
              <w:t>(92)</w:t>
            </w:r>
          </w:p>
        </w:tc>
        <w:tc>
          <w:tcPr>
            <w:tcW w:w="142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(706)</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20"/>
                <w:szCs w:val="20"/>
                <w:color w:val="auto"/>
              </w:rPr>
            </w:pPr>
            <w:r>
              <w:rPr>
                <w:rFonts w:ascii="Arial" w:cs="Arial" w:eastAsia="Arial" w:hAnsi="Arial"/>
                <w:sz w:val="16"/>
                <w:szCs w:val="16"/>
                <w:color w:val="auto"/>
              </w:rPr>
              <w:t>Amortization of deferred loan</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180"/>
              <w:spacing w:after="0"/>
              <w:rPr>
                <w:sz w:val="20"/>
                <w:szCs w:val="20"/>
                <w:color w:val="auto"/>
              </w:rPr>
            </w:pPr>
            <w:r>
              <w:rPr>
                <w:rFonts w:ascii="Arial" w:cs="Arial" w:eastAsia="Arial" w:hAnsi="Arial"/>
                <w:sz w:val="16"/>
                <w:szCs w:val="16"/>
                <w:color w:val="auto"/>
              </w:rPr>
              <w:t>issuance costs and premium</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Retranslation of the 2021 NOK</w:t>
            </w:r>
          </w:p>
        </w:tc>
        <w:tc>
          <w:tcPr>
            <w:tcW w:w="1320" w:type="dxa"/>
            <w:vAlign w:val="bottom"/>
            <w:tcBorders>
              <w:left w:val="single" w:sz="8" w:color="E5FFFF"/>
            </w:tcBorders>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tcBorders>
              <w:right w:val="single" w:sz="8" w:color="E5FFFF"/>
            </w:tcBorders>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80" w:type="dxa"/>
            <w:vAlign w:val="bottom"/>
            <w:tcBorders>
              <w:right w:val="single" w:sz="8" w:color="E5FFFF"/>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E5FFFF"/>
          </w:tcPr>
          <w:p>
            <w:pPr>
              <w:spacing w:after="0"/>
              <w:rPr>
                <w:sz w:val="20"/>
                <w:szCs w:val="20"/>
                <w:color w:val="auto"/>
              </w:rPr>
            </w:pPr>
            <w:r>
              <w:rPr>
                <w:rFonts w:ascii="Arial" w:cs="Arial" w:eastAsia="Arial" w:hAnsi="Arial"/>
                <w:sz w:val="16"/>
                <w:szCs w:val="16"/>
                <w:color w:val="auto"/>
              </w:rPr>
              <w:t>Bonds in USD</w:t>
            </w:r>
          </w:p>
        </w:tc>
        <w:tc>
          <w:tcPr>
            <w:tcW w:w="1320" w:type="dxa"/>
            <w:vAlign w:val="bottom"/>
            <w:tcBorders>
              <w:lef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E5FFFF"/>
          </w:tcPr>
          <w:p>
            <w:pPr>
              <w:spacing w:after="0"/>
              <w:rPr>
                <w:sz w:val="18"/>
                <w:szCs w:val="18"/>
                <w:color w:val="auto"/>
              </w:rPr>
            </w:pPr>
          </w:p>
        </w:tc>
        <w:tc>
          <w:tcPr>
            <w:tcW w:w="1460" w:type="dxa"/>
            <w:vAlign w:val="bottom"/>
            <w:tcBorders>
              <w:right w:val="single" w:sz="8" w:color="E5FFFF"/>
            </w:tcBorders>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(16,440)</w:t>
            </w:r>
          </w:p>
        </w:tc>
        <w:tc>
          <w:tcPr>
            <w:tcW w:w="1100" w:type="dxa"/>
            <w:vAlign w:val="bottom"/>
            <w:gridSpan w:val="3"/>
            <w:shd w:val="clear" w:color="auto" w:fill="E5FFFF"/>
          </w:tcPr>
          <w:p>
            <w:pPr>
              <w:jc w:val="right"/>
              <w:ind w:right="19"/>
              <w:spacing w:after="0"/>
              <w:rPr>
                <w:sz w:val="20"/>
                <w:szCs w:val="20"/>
                <w:color w:val="auto"/>
              </w:rPr>
            </w:pPr>
            <w:r>
              <w:rPr>
                <w:rFonts w:ascii="Arial" w:cs="Arial" w:eastAsia="Arial" w:hAnsi="Arial"/>
                <w:sz w:val="16"/>
                <w:szCs w:val="16"/>
                <w:color w:val="auto"/>
              </w:rPr>
              <w:t>(6,176)</w:t>
            </w:r>
          </w:p>
        </w:tc>
        <w:tc>
          <w:tcPr>
            <w:tcW w:w="2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Borrowings outstanding as of</w:t>
            </w:r>
          </w:p>
        </w:tc>
        <w:tc>
          <w:tcPr>
            <w:tcW w:w="1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3,147,395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123,284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restart"/>
          </w:tcPr>
          <w:p>
            <w:pPr>
              <w:spacing w:after="0"/>
              <w:rPr>
                <w:sz w:val="14"/>
                <w:szCs w:val="14"/>
                <w:color w:val="auto"/>
              </w:rPr>
            </w:pPr>
          </w:p>
        </w:tc>
        <w:tc>
          <w:tcPr>
            <w:tcW w:w="1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20" w:type="dxa"/>
            <w:vAlign w:val="bottom"/>
            <w:vMerge w:val="restart"/>
          </w:tcPr>
          <w:p>
            <w:pPr>
              <w:spacing w:after="0"/>
              <w:rPr>
                <w:sz w:val="14"/>
                <w:szCs w:val="14"/>
                <w:color w:val="auto"/>
              </w:rPr>
            </w:pPr>
          </w:p>
        </w:tc>
        <w:tc>
          <w:tcPr>
            <w:tcW w:w="920" w:type="dxa"/>
            <w:vAlign w:val="bottom"/>
            <w:vMerge w:val="restart"/>
          </w:tcPr>
          <w:p>
            <w:pPr>
              <w:spacing w:after="0"/>
              <w:rPr>
                <w:sz w:val="14"/>
                <w:szCs w:val="14"/>
                <w:color w:val="auto"/>
              </w:rPr>
            </w:pPr>
          </w:p>
        </w:tc>
        <w:tc>
          <w:tcPr>
            <w:tcW w:w="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20" w:type="dxa"/>
            <w:vAlign w:val="bottom"/>
            <w:vMerge w:val="restart"/>
          </w:tcPr>
          <w:p>
            <w:pPr>
              <w:spacing w:after="0"/>
              <w:rPr>
                <w:sz w:val="14"/>
                <w:szCs w:val="14"/>
                <w:color w:val="auto"/>
              </w:rPr>
            </w:pP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0" w:type="dxa"/>
            <w:vAlign w:val="bottom"/>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3,243,019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March 31, 2020</w:t>
            </w:r>
          </w:p>
        </w:tc>
        <w:tc>
          <w:tcPr>
            <w:tcW w:w="1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380" w:type="dxa"/>
            <w:vAlign w:val="bottom"/>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(16,440</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(10,514</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(706</w:t>
            </w:r>
          </w:p>
        </w:tc>
        <w:tc>
          <w:tcPr>
            <w:tcW w:w="1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Opening</w:t>
            </w: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Cash</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26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Non-cash</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balance</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flows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77"/>
              </w:rPr>
              <w:t>loss</w:t>
            </w:r>
          </w:p>
        </w:tc>
        <w:tc>
          <w:tcPr>
            <w:tcW w:w="260" w:type="dxa"/>
            <w:vAlign w:val="bottom"/>
          </w:tcPr>
          <w:p>
            <w:pPr>
              <w:spacing w:after="0"/>
              <w:rPr>
                <w:sz w:val="20"/>
                <w:szCs w:val="20"/>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items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3,096</w:t>
            </w:r>
          </w:p>
        </w:tc>
        <w:tc>
          <w:tcPr>
            <w:tcW w:w="160" w:type="dxa"/>
            <w:vAlign w:val="bottom"/>
            <w:tcBorders>
              <w:top w:val="single" w:sz="8" w:color="E5FFFF"/>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ind w:left="68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3,096</w:t>
            </w:r>
          </w:p>
        </w:tc>
        <w:tc>
          <w:tcPr>
            <w:tcW w:w="1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6"/>
                <w:szCs w:val="16"/>
                <w:color w:val="auto"/>
              </w:rPr>
              <w:t>Unrealized loss on derivative financial instruments</w:t>
            </w: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(21,150)</w:t>
            </w:r>
          </w:p>
        </w:tc>
        <w:tc>
          <w:tcPr>
            <w:tcW w:w="1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20"/>
                <w:szCs w:val="20"/>
                <w:color w:val="auto"/>
              </w:rPr>
            </w:pPr>
            <w:r>
              <w:rPr>
                <w:rFonts w:ascii="Arial" w:cs="Arial" w:eastAsia="Arial" w:hAnsi="Arial"/>
                <w:sz w:val="16"/>
                <w:szCs w:val="16"/>
                <w:color w:val="auto"/>
              </w:rPr>
              <w:t>held for trading (Note 18)</w:t>
            </w:r>
          </w:p>
        </w:tc>
        <w:tc>
          <w:tcPr>
            <w:tcW w:w="14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18)</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ind w:left="68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Arial" w:cs="Arial" w:eastAsia="Arial" w:hAnsi="Arial"/>
                <w:sz w:val="16"/>
                <w:szCs w:val="16"/>
                <w:color w:val="auto"/>
              </w:rPr>
              <w:t>Effective portion of changes in the fair value of</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derivatives designated as cash flow hedging</w:t>
            </w: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60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(536)</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20"/>
                <w:szCs w:val="20"/>
                <w:color w:val="auto"/>
              </w:rPr>
            </w:pPr>
            <w:r>
              <w:rPr>
                <w:rFonts w:ascii="Arial" w:cs="Arial" w:eastAsia="Arial" w:hAnsi="Arial"/>
                <w:sz w:val="16"/>
                <w:szCs w:val="16"/>
                <w:color w:val="auto"/>
              </w:rPr>
              <w:t>instruments</w:t>
            </w:r>
          </w:p>
        </w:tc>
        <w:tc>
          <w:tcPr>
            <w:tcW w:w="14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Net derivative assets/(liabilities) as of March 31,</w:t>
            </w: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vMerge w:val="continue"/>
            <w:shd w:val="clear" w:color="auto" w:fill="E5FFFF"/>
          </w:tcPr>
          <w:p>
            <w:pPr>
              <w:spacing w:after="0"/>
              <w:rPr>
                <w:sz w:val="14"/>
                <w:szCs w:val="14"/>
                <w:color w:val="auto"/>
              </w:rPr>
            </w:pPr>
          </w:p>
        </w:tc>
        <w:tc>
          <w:tcPr>
            <w:tcW w:w="1280" w:type="dxa"/>
            <w:vAlign w:val="bottom"/>
            <w:vMerge w:val="restart"/>
            <w:shd w:val="clear" w:color="auto" w:fill="E5FFFF"/>
          </w:tcPr>
          <w:p>
            <w:pPr>
              <w:jc w:val="right"/>
              <w:spacing w:after="0"/>
              <w:rPr>
                <w:sz w:val="20"/>
                <w:szCs w:val="20"/>
                <w:color w:val="auto"/>
              </w:rPr>
            </w:pPr>
            <w:r>
              <w:rPr>
                <w:rFonts w:ascii="Arial" w:cs="Arial" w:eastAsia="Arial" w:hAnsi="Arial"/>
                <w:sz w:val="18"/>
                <w:szCs w:val="18"/>
                <w:b w:val="1"/>
                <w:bCs w:val="1"/>
                <w:color w:val="auto"/>
              </w:rPr>
              <w:t>3,096</w:t>
            </w:r>
          </w:p>
        </w:tc>
        <w:tc>
          <w:tcPr>
            <w:tcW w:w="160" w:type="dxa"/>
            <w:vAlign w:val="bottom"/>
            <w:shd w:val="clear" w:color="auto" w:fill="E5FFFF"/>
          </w:tcPr>
          <w:p>
            <w:pPr>
              <w:spacing w:after="0"/>
              <w:rPr>
                <w:sz w:val="14"/>
                <w:szCs w:val="14"/>
                <w:color w:val="auto"/>
              </w:rPr>
            </w:pPr>
          </w:p>
        </w:tc>
        <w:tc>
          <w:tcPr>
            <w:tcW w:w="860" w:type="dxa"/>
            <w:vAlign w:val="bottom"/>
            <w:vMerge w:val="restart"/>
            <w:shd w:val="clear" w:color="auto" w:fill="E5FFFF"/>
          </w:tcPr>
          <w:p>
            <w:pPr>
              <w:ind w:left="680"/>
              <w:spacing w:after="0"/>
              <w:rPr>
                <w:sz w:val="20"/>
                <w:szCs w:val="20"/>
                <w:color w:val="auto"/>
              </w:rPr>
            </w:pPr>
            <w:r>
              <w:rPr>
                <w:rFonts w:ascii="Arial" w:cs="Arial" w:eastAsia="Arial" w:hAnsi="Arial"/>
                <w:sz w:val="18"/>
                <w:szCs w:val="18"/>
                <w:b w:val="1"/>
                <w:bCs w:val="1"/>
                <w:color w:val="auto"/>
                <w:w w:val="88"/>
              </w:rPr>
              <w:t>—</w:t>
            </w:r>
          </w:p>
        </w:tc>
        <w:tc>
          <w:tcPr>
            <w:tcW w:w="140" w:type="dxa"/>
            <w:vAlign w:val="bottom"/>
            <w:vMerge w:val="restart"/>
            <w:shd w:val="clear" w:color="auto" w:fill="E5FFFF"/>
          </w:tcPr>
          <w:p>
            <w:pPr>
              <w:spacing w:after="0"/>
              <w:rPr>
                <w:sz w:val="14"/>
                <w:szCs w:val="14"/>
                <w:color w:val="auto"/>
              </w:rPr>
            </w:pPr>
          </w:p>
        </w:tc>
        <w:tc>
          <w:tcPr>
            <w:tcW w:w="134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8"/>
                <w:szCs w:val="18"/>
                <w:b w:val="1"/>
                <w:bCs w:val="1"/>
                <w:color w:val="auto"/>
              </w:rPr>
              <w:t>(536</w:t>
            </w:r>
          </w:p>
        </w:tc>
        <w:tc>
          <w:tcPr>
            <w:tcW w:w="260" w:type="dxa"/>
            <w:vAlign w:val="bottom"/>
            <w:vMerge w:val="restart"/>
            <w:shd w:val="clear" w:color="auto" w:fill="E5FFFF"/>
          </w:tcPr>
          <w:p>
            <w:pPr>
              <w:jc w:val="right"/>
              <w:ind w:right="181"/>
              <w:spacing w:after="0"/>
              <w:rPr>
                <w:sz w:val="20"/>
                <w:szCs w:val="20"/>
                <w:color w:val="auto"/>
              </w:rPr>
            </w:pPr>
            <w:r>
              <w:rPr>
                <w:rFonts w:ascii="Arial" w:cs="Arial" w:eastAsia="Arial" w:hAnsi="Arial"/>
                <w:sz w:val="8"/>
                <w:szCs w:val="8"/>
                <w:b w:val="1"/>
                <w:bCs w:val="1"/>
                <w:color w:val="auto"/>
                <w:w w:val="73"/>
              </w:rPr>
              <w:t>)</w:t>
            </w:r>
          </w:p>
        </w:tc>
        <w:tc>
          <w:tcPr>
            <w:tcW w:w="154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6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2019</w:t>
            </w:r>
          </w:p>
        </w:tc>
        <w:tc>
          <w:tcPr>
            <w:tcW w:w="1280" w:type="dxa"/>
            <w:vAlign w:val="bottom"/>
            <w:vMerge w:val="continue"/>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60" w:type="dxa"/>
            <w:vAlign w:val="bottom"/>
            <w:vMerge w:val="continue"/>
            <w:shd w:val="clear" w:color="auto" w:fill="E5FFFF"/>
          </w:tcPr>
          <w:p>
            <w:pPr>
              <w:spacing w:after="0"/>
              <w:rPr>
                <w:sz w:val="11"/>
                <w:szCs w:val="11"/>
                <w:color w:val="auto"/>
              </w:rPr>
            </w:pPr>
          </w:p>
        </w:tc>
        <w:tc>
          <w:tcPr>
            <w:tcW w:w="140" w:type="dxa"/>
            <w:vAlign w:val="bottom"/>
            <w:vMerge w:val="continue"/>
            <w:shd w:val="clear" w:color="auto" w:fill="E5FFFF"/>
          </w:tcPr>
          <w:p>
            <w:pPr>
              <w:spacing w:after="0"/>
              <w:rPr>
                <w:sz w:val="11"/>
                <w:szCs w:val="11"/>
                <w:color w:val="auto"/>
              </w:rPr>
            </w:pPr>
          </w:p>
        </w:tc>
        <w:tc>
          <w:tcPr>
            <w:tcW w:w="1340" w:type="dxa"/>
            <w:vAlign w:val="bottom"/>
            <w:tcBorders>
              <w:right w:val="single" w:sz="8" w:color="E5FFFF"/>
            </w:tcBorders>
            <w:vMerge w:val="continue"/>
            <w:shd w:val="clear" w:color="auto" w:fill="E5FFFF"/>
          </w:tcPr>
          <w:p>
            <w:pPr>
              <w:spacing w:after="0"/>
              <w:rPr>
                <w:sz w:val="11"/>
                <w:szCs w:val="11"/>
                <w:color w:val="auto"/>
              </w:rPr>
            </w:pPr>
          </w:p>
        </w:tc>
        <w:tc>
          <w:tcPr>
            <w:tcW w:w="260" w:type="dxa"/>
            <w:vAlign w:val="bottom"/>
            <w:vMerge w:val="continue"/>
            <w:shd w:val="clear" w:color="auto" w:fill="E5FFFF"/>
          </w:tcPr>
          <w:p>
            <w:pPr>
              <w:spacing w:after="0"/>
              <w:rPr>
                <w:sz w:val="11"/>
                <w:szCs w:val="11"/>
                <w:color w:val="auto"/>
              </w:rPr>
            </w:pPr>
          </w:p>
        </w:tc>
        <w:tc>
          <w:tcPr>
            <w:tcW w:w="1540" w:type="dxa"/>
            <w:vAlign w:val="bottom"/>
            <w:gridSpan w:val="2"/>
            <w:vMerge w:val="continue"/>
            <w:shd w:val="clear" w:color="auto" w:fill="E5FFFF"/>
          </w:tcPr>
          <w:p>
            <w:pPr>
              <w:spacing w:after="0"/>
              <w:rPr>
                <w:sz w:val="11"/>
                <w:szCs w:val="11"/>
                <w:color w:val="auto"/>
              </w:rPr>
            </w:pPr>
          </w:p>
        </w:tc>
        <w:tc>
          <w:tcPr>
            <w:tcW w:w="1520" w:type="dxa"/>
            <w:vAlign w:val="bottom"/>
            <w:gridSpan w:val="2"/>
            <w:vMerge w:val="continue"/>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680" w:type="dxa"/>
            <w:vAlign w:val="bottom"/>
            <w:tcBorders>
              <w:bottom w:val="single" w:sz="8" w:color="E5FFFF"/>
            </w:tcBorders>
            <w:vMerge w:val="continue"/>
            <w:shd w:val="clear" w:color="auto" w:fill="E5FFFF"/>
          </w:tcPr>
          <w:p>
            <w:pPr>
              <w:spacing w:after="0"/>
              <w:rPr>
                <w:sz w:val="6"/>
                <w:szCs w:val="6"/>
                <w:color w:val="auto"/>
              </w:rPr>
            </w:pPr>
          </w:p>
        </w:tc>
        <w:tc>
          <w:tcPr>
            <w:tcW w:w="1280" w:type="dxa"/>
            <w:vAlign w:val="bottom"/>
            <w:tcBorders>
              <w:bottom w:val="single" w:sz="8" w:color="auto"/>
            </w:tcBorders>
            <w:vMerge w:val="continue"/>
            <w:shd w:val="clear" w:color="auto" w:fill="E5FFFF"/>
          </w:tcPr>
          <w:p>
            <w:pPr>
              <w:spacing w:after="0"/>
              <w:rPr>
                <w:sz w:val="6"/>
                <w:szCs w:val="6"/>
                <w:color w:val="auto"/>
              </w:rPr>
            </w:pPr>
          </w:p>
        </w:tc>
        <w:tc>
          <w:tcPr>
            <w:tcW w:w="160" w:type="dxa"/>
            <w:vAlign w:val="bottom"/>
            <w:tcBorders>
              <w:bottom w:val="single" w:sz="8" w:color="E5FFFF"/>
            </w:tcBorders>
            <w:shd w:val="clear" w:color="auto" w:fill="E5FFFF"/>
          </w:tcPr>
          <w:p>
            <w:pPr>
              <w:spacing w:after="0"/>
              <w:rPr>
                <w:sz w:val="6"/>
                <w:szCs w:val="6"/>
                <w:color w:val="auto"/>
              </w:rPr>
            </w:pPr>
          </w:p>
        </w:tc>
        <w:tc>
          <w:tcPr>
            <w:tcW w:w="860" w:type="dxa"/>
            <w:vAlign w:val="bottom"/>
            <w:tcBorders>
              <w:bottom w:val="single" w:sz="8" w:color="auto"/>
            </w:tcBorders>
            <w:vMerge w:val="continue"/>
            <w:shd w:val="clear" w:color="auto" w:fill="E5FFFF"/>
          </w:tcPr>
          <w:p>
            <w:pPr>
              <w:spacing w:after="0"/>
              <w:rPr>
                <w:sz w:val="6"/>
                <w:szCs w:val="6"/>
                <w:color w:val="auto"/>
              </w:rPr>
            </w:pPr>
          </w:p>
        </w:tc>
        <w:tc>
          <w:tcPr>
            <w:tcW w:w="140" w:type="dxa"/>
            <w:vAlign w:val="bottom"/>
            <w:tcBorders>
              <w:bottom w:val="single" w:sz="8" w:color="E5FFFF"/>
            </w:tcBorders>
            <w:vMerge w:val="continue"/>
            <w:shd w:val="clear" w:color="auto" w:fill="E5FFFF"/>
          </w:tcPr>
          <w:p>
            <w:pPr>
              <w:spacing w:after="0"/>
              <w:rPr>
                <w:sz w:val="6"/>
                <w:szCs w:val="6"/>
                <w:color w:val="auto"/>
              </w:rPr>
            </w:pPr>
          </w:p>
        </w:tc>
        <w:tc>
          <w:tcPr>
            <w:tcW w:w="1340" w:type="dxa"/>
            <w:vAlign w:val="bottom"/>
            <w:tcBorders>
              <w:bottom w:val="single" w:sz="8" w:color="auto"/>
              <w:right w:val="single" w:sz="8" w:color="E5FFFF"/>
            </w:tcBorders>
            <w:vMerge w:val="continue"/>
            <w:shd w:val="clear" w:color="auto" w:fill="E5FFFF"/>
          </w:tcPr>
          <w:p>
            <w:pPr>
              <w:spacing w:after="0"/>
              <w:rPr>
                <w:sz w:val="6"/>
                <w:szCs w:val="6"/>
                <w:color w:val="auto"/>
              </w:rPr>
            </w:pPr>
          </w:p>
        </w:tc>
        <w:tc>
          <w:tcPr>
            <w:tcW w:w="260" w:type="dxa"/>
            <w:vAlign w:val="bottom"/>
            <w:tcBorders>
              <w:bottom w:val="single" w:sz="8" w:color="E5FFFF"/>
            </w:tcBorders>
            <w:shd w:val="clear" w:color="auto" w:fill="E5FFFF"/>
          </w:tcPr>
          <w:p>
            <w:pPr>
              <w:spacing w:after="0"/>
              <w:rPr>
                <w:sz w:val="6"/>
                <w:szCs w:val="6"/>
                <w:color w:val="auto"/>
              </w:rPr>
            </w:pPr>
          </w:p>
        </w:tc>
        <w:tc>
          <w:tcPr>
            <w:tcW w:w="1280" w:type="dxa"/>
            <w:vAlign w:val="bottom"/>
            <w:tcBorders>
              <w:bottom w:val="single" w:sz="8" w:color="auto"/>
            </w:tcBorders>
            <w:shd w:val="clear" w:color="auto" w:fill="E5FFFF"/>
          </w:tcPr>
          <w:p>
            <w:pPr>
              <w:jc w:val="right"/>
              <w:spacing w:after="0" w:line="68" w:lineRule="exact"/>
              <w:rPr>
                <w:sz w:val="20"/>
                <w:szCs w:val="20"/>
                <w:color w:val="auto"/>
              </w:rPr>
            </w:pPr>
            <w:r>
              <w:rPr>
                <w:rFonts w:ascii="Arial" w:cs="Arial" w:eastAsia="Arial" w:hAnsi="Arial"/>
                <w:sz w:val="7"/>
                <w:szCs w:val="7"/>
                <w:b w:val="1"/>
                <w:bCs w:val="1"/>
                <w:color w:val="auto"/>
              </w:rPr>
              <w:t>(21,103</w:t>
            </w:r>
          </w:p>
        </w:tc>
        <w:tc>
          <w:tcPr>
            <w:tcW w:w="260" w:type="dxa"/>
            <w:vAlign w:val="bottom"/>
            <w:tcBorders>
              <w:bottom w:val="single" w:sz="8" w:color="E5FFFF"/>
            </w:tcBorders>
            <w:shd w:val="clear" w:color="auto" w:fill="E5FFFF"/>
          </w:tcPr>
          <w:p>
            <w:pPr>
              <w:spacing w:after="0"/>
              <w:rPr>
                <w:sz w:val="6"/>
                <w:szCs w:val="6"/>
                <w:color w:val="auto"/>
              </w:rPr>
            </w:pPr>
          </w:p>
        </w:tc>
        <w:tc>
          <w:tcPr>
            <w:tcW w:w="1360" w:type="dxa"/>
            <w:vAlign w:val="bottom"/>
            <w:tcBorders>
              <w:bottom w:val="single" w:sz="8" w:color="auto"/>
            </w:tcBorders>
            <w:shd w:val="clear" w:color="auto" w:fill="E5FFFF"/>
          </w:tcPr>
          <w:p>
            <w:pPr>
              <w:jc w:val="right"/>
              <w:spacing w:after="0" w:line="68" w:lineRule="exact"/>
              <w:rPr>
                <w:sz w:val="20"/>
                <w:szCs w:val="20"/>
                <w:color w:val="auto"/>
              </w:rPr>
            </w:pPr>
            <w:r>
              <w:rPr>
                <w:rFonts w:ascii="Arial" w:cs="Arial" w:eastAsia="Arial" w:hAnsi="Arial"/>
                <w:sz w:val="7"/>
                <w:szCs w:val="7"/>
                <w:b w:val="1"/>
                <w:bCs w:val="1"/>
                <w:color w:val="auto"/>
              </w:rPr>
              <w:t>(18,543</w:t>
            </w:r>
          </w:p>
        </w:tc>
        <w:tc>
          <w:tcPr>
            <w:tcW w:w="160" w:type="dxa"/>
            <w:vAlign w:val="bottom"/>
            <w:tcBorders>
              <w:bottom w:val="single" w:sz="8" w:color="E5FFFF"/>
            </w:tcBorders>
            <w:shd w:val="clear" w:color="auto" w:fill="E5FF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8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90"/>
              </w:rPr>
              <w:t>Opening</w:t>
            </w:r>
          </w:p>
        </w:tc>
        <w:tc>
          <w:tcPr>
            <w:tcW w:w="10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Cash</w:t>
            </w:r>
          </w:p>
        </w:tc>
        <w:tc>
          <w:tcPr>
            <w:tcW w:w="15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6"/>
              </w:rPr>
              <w:t>comprehensive</w:t>
            </w:r>
          </w:p>
        </w:tc>
        <w:tc>
          <w:tcPr>
            <w:tcW w:w="154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Non-cash</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flows</w:t>
            </w:r>
          </w:p>
        </w:tc>
        <w:tc>
          <w:tcPr>
            <w:tcW w:w="15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77"/>
              </w:rPr>
              <w:t>loss</w:t>
            </w:r>
          </w:p>
        </w:tc>
        <w:tc>
          <w:tcPr>
            <w:tcW w:w="1540" w:type="dxa"/>
            <w:vAlign w:val="bottom"/>
            <w:gridSpan w:val="2"/>
          </w:tcPr>
          <w:p>
            <w:pPr>
              <w:jc w:val="right"/>
              <w:ind w:right="621"/>
              <w:spacing w:after="0"/>
              <w:rPr>
                <w:sz w:val="20"/>
                <w:szCs w:val="20"/>
                <w:color w:val="auto"/>
              </w:rPr>
            </w:pPr>
            <w:r>
              <w:rPr>
                <w:rFonts w:ascii="Arial" w:cs="Arial" w:eastAsia="Arial" w:hAnsi="Arial"/>
                <w:sz w:val="18"/>
                <w:szCs w:val="18"/>
                <w:b w:val="1"/>
                <w:bCs w:val="1"/>
                <w:color w:val="auto"/>
              </w:rPr>
              <w:t>items</w:t>
            </w:r>
          </w:p>
        </w:tc>
        <w:tc>
          <w:tcPr>
            <w:tcW w:w="158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liabilities as of January 1, 2020</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(45,931)</w:t>
            </w:r>
          </w:p>
        </w:tc>
        <w:tc>
          <w:tcPr>
            <w:tcW w:w="6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(45,931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0"/>
        </w:trPr>
        <w:tc>
          <w:tcPr>
            <w:tcW w:w="4080" w:type="dxa"/>
            <w:vAlign w:val="bottom"/>
            <w:gridSpan w:val="2"/>
          </w:tcPr>
          <w:p>
            <w:pPr>
              <w:ind w:left="400"/>
              <w:spacing w:after="0"/>
              <w:rPr>
                <w:sz w:val="20"/>
                <w:szCs w:val="20"/>
                <w:color w:val="auto"/>
              </w:rPr>
            </w:pPr>
            <w:r>
              <w:rPr>
                <w:rFonts w:ascii="Arial" w:cs="Arial" w:eastAsia="Arial" w:hAnsi="Arial"/>
                <w:sz w:val="16"/>
                <w:szCs w:val="16"/>
                <w:color w:val="auto"/>
              </w:rPr>
              <w:t>Unrealized loss on derivative financial instruments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(71,332)</w:t>
            </w:r>
          </w:p>
        </w:tc>
        <w:tc>
          <w:tcPr>
            <w:tcW w:w="158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(71,332)</w:t>
            </w:r>
          </w:p>
        </w:tc>
        <w:tc>
          <w:tcPr>
            <w:tcW w:w="0" w:type="dxa"/>
            <w:vAlign w:val="bottom"/>
          </w:tcPr>
          <w:p>
            <w:pPr>
              <w:spacing w:after="0"/>
              <w:rPr>
                <w:sz w:val="1"/>
                <w:szCs w:val="1"/>
                <w:color w:val="auto"/>
              </w:rPr>
            </w:pPr>
          </w:p>
        </w:tc>
      </w:tr>
      <w:tr>
        <w:trPr>
          <w:trHeight w:val="212"/>
        </w:trPr>
        <w:tc>
          <w:tcPr>
            <w:tcW w:w="4080" w:type="dxa"/>
            <w:vAlign w:val="bottom"/>
            <w:gridSpan w:val="2"/>
          </w:tcPr>
          <w:p>
            <w:pPr>
              <w:ind w:left="400"/>
              <w:spacing w:after="0"/>
              <w:rPr>
                <w:sz w:val="20"/>
                <w:szCs w:val="20"/>
                <w:color w:val="auto"/>
              </w:rPr>
            </w:pPr>
            <w:r>
              <w:rPr>
                <w:rFonts w:ascii="Arial" w:cs="Arial" w:eastAsia="Arial" w:hAnsi="Arial"/>
                <w:sz w:val="16"/>
                <w:szCs w:val="16"/>
                <w:color w:val="auto"/>
              </w:rPr>
              <w:t>held for trading (Note 18)</w:t>
            </w: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18)</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41"/>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400"/>
              <w:spacing w:after="0"/>
              <w:rPr>
                <w:sz w:val="20"/>
                <w:szCs w:val="20"/>
                <w:color w:val="auto"/>
              </w:rPr>
            </w:pPr>
            <w:r>
              <w:rPr>
                <w:rFonts w:ascii="Arial" w:cs="Arial" w:eastAsia="Arial" w:hAnsi="Arial"/>
                <w:sz w:val="16"/>
                <w:szCs w:val="16"/>
                <w:color w:val="auto"/>
              </w:rPr>
              <w:t>Payment for CCS termination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(4,051)</w:t>
            </w: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4,051</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6"/>
                <w:szCs w:val="16"/>
                <w:color w:val="auto"/>
              </w:rPr>
              <w:t>Effective portion of changes in the fair value of</w:t>
            </w:r>
          </w:p>
        </w:tc>
        <w:tc>
          <w:tcPr>
            <w:tcW w:w="132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6"/>
                <w:szCs w:val="16"/>
                <w:color w:val="auto"/>
              </w:rPr>
              <w:t>derivatives designated as cash flow hedging</w:t>
            </w:r>
          </w:p>
        </w:tc>
        <w:tc>
          <w:tcPr>
            <w:tcW w:w="1320" w:type="dxa"/>
            <w:vAlign w:val="bottom"/>
            <w:vMerge w:val="restart"/>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80" w:type="dxa"/>
            <w:vAlign w:val="bottom"/>
            <w:vMerge w:val="restart"/>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E5FFFF"/>
          </w:tcPr>
          <w:p>
            <w:pPr>
              <w:spacing w:after="0"/>
              <w:rPr>
                <w:sz w:val="17"/>
                <w:szCs w:val="17"/>
                <w:color w:val="auto"/>
              </w:rPr>
            </w:pPr>
          </w:p>
        </w:tc>
        <w:tc>
          <w:tcPr>
            <w:tcW w:w="1580" w:type="dxa"/>
            <w:vAlign w:val="bottom"/>
            <w:gridSpan w:val="2"/>
            <w:vMerge w:val="restart"/>
            <w:shd w:val="clear" w:color="auto" w:fill="E5FFFF"/>
          </w:tcPr>
          <w:p>
            <w:pPr>
              <w:jc w:val="right"/>
              <w:ind w:right="181"/>
              <w:spacing w:after="0"/>
              <w:rPr>
                <w:sz w:val="20"/>
                <w:szCs w:val="20"/>
                <w:color w:val="auto"/>
              </w:rPr>
            </w:pPr>
            <w:r>
              <w:rPr>
                <w:rFonts w:ascii="Arial" w:cs="Arial" w:eastAsia="Arial" w:hAnsi="Arial"/>
                <w:sz w:val="18"/>
                <w:szCs w:val="18"/>
                <w:color w:val="auto"/>
              </w:rPr>
              <w:t>(20,550)</w:t>
            </w:r>
          </w:p>
        </w:tc>
        <w:tc>
          <w:tcPr>
            <w:tcW w:w="1540" w:type="dxa"/>
            <w:vAlign w:val="bottom"/>
            <w:gridSpan w:val="2"/>
            <w:vMerge w:val="restart"/>
            <w:shd w:val="clear" w:color="auto" w:fill="E5FFFF"/>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E5FFFF"/>
          </w:tcPr>
          <w:p>
            <w:pPr>
              <w:jc w:val="right"/>
              <w:spacing w:after="0"/>
              <w:rPr>
                <w:sz w:val="20"/>
                <w:szCs w:val="20"/>
                <w:color w:val="auto"/>
              </w:rPr>
            </w:pPr>
            <w:r>
              <w:rPr>
                <w:rFonts w:ascii="Arial" w:cs="Arial" w:eastAsia="Arial" w:hAnsi="Arial"/>
                <w:sz w:val="18"/>
                <w:szCs w:val="18"/>
                <w:color w:val="auto"/>
              </w:rPr>
              <w:t>(20,550)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6"/>
                <w:szCs w:val="16"/>
                <w:color w:val="auto"/>
              </w:rPr>
              <w:t>instruments</w:t>
            </w:r>
          </w:p>
        </w:tc>
        <w:tc>
          <w:tcPr>
            <w:tcW w:w="1320" w:type="dxa"/>
            <w:vAlign w:val="bottom"/>
            <w:vMerge w:val="continue"/>
            <w:shd w:val="clear" w:color="auto" w:fill="E5FFFF"/>
          </w:tcPr>
          <w:p>
            <w:pPr>
              <w:spacing w:after="0"/>
              <w:rPr>
                <w:sz w:val="18"/>
                <w:szCs w:val="18"/>
                <w:color w:val="auto"/>
              </w:rPr>
            </w:pPr>
          </w:p>
        </w:tc>
        <w:tc>
          <w:tcPr>
            <w:tcW w:w="60" w:type="dxa"/>
            <w:vAlign w:val="bottom"/>
            <w:vMerge w:val="continue"/>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80" w:type="dxa"/>
            <w:vAlign w:val="bottom"/>
            <w:vMerge w:val="continue"/>
            <w:shd w:val="clear" w:color="auto" w:fill="E5FFFF"/>
          </w:tcPr>
          <w:p>
            <w:pPr>
              <w:spacing w:after="0"/>
              <w:rPr>
                <w:sz w:val="18"/>
                <w:szCs w:val="18"/>
                <w:color w:val="auto"/>
              </w:rPr>
            </w:pPr>
          </w:p>
        </w:tc>
        <w:tc>
          <w:tcPr>
            <w:tcW w:w="140" w:type="dxa"/>
            <w:vAlign w:val="bottom"/>
            <w:vMerge w:val="continue"/>
            <w:shd w:val="clear" w:color="auto" w:fill="E5FFFF"/>
          </w:tcPr>
          <w:p>
            <w:pPr>
              <w:spacing w:after="0"/>
              <w:rPr>
                <w:sz w:val="18"/>
                <w:szCs w:val="18"/>
                <w:color w:val="auto"/>
              </w:rPr>
            </w:pPr>
          </w:p>
        </w:tc>
        <w:tc>
          <w:tcPr>
            <w:tcW w:w="1580" w:type="dxa"/>
            <w:vAlign w:val="bottom"/>
            <w:gridSpan w:val="2"/>
            <w:vMerge w:val="continue"/>
            <w:shd w:val="clear" w:color="auto" w:fill="E5FFFF"/>
          </w:tcPr>
          <w:p>
            <w:pPr>
              <w:spacing w:after="0"/>
              <w:rPr>
                <w:sz w:val="18"/>
                <w:szCs w:val="18"/>
                <w:color w:val="auto"/>
              </w:rPr>
            </w:pPr>
          </w:p>
        </w:tc>
        <w:tc>
          <w:tcPr>
            <w:tcW w:w="1540" w:type="dxa"/>
            <w:vAlign w:val="bottom"/>
            <w:gridSpan w:val="2"/>
            <w:vMerge w:val="continue"/>
            <w:shd w:val="clear" w:color="auto" w:fill="E5FFFF"/>
          </w:tcPr>
          <w:p>
            <w:pPr>
              <w:spacing w:after="0"/>
              <w:rPr>
                <w:sz w:val="18"/>
                <w:szCs w:val="18"/>
                <w:color w:val="auto"/>
              </w:rPr>
            </w:pPr>
          </w:p>
        </w:tc>
        <w:tc>
          <w:tcPr>
            <w:tcW w:w="1320" w:type="dxa"/>
            <w:vAlign w:val="bottom"/>
            <w:vMerge w:val="continue"/>
            <w:shd w:val="clear" w:color="auto" w:fill="E5FFFF"/>
          </w:tcPr>
          <w:p>
            <w:pPr>
              <w:spacing w:after="0"/>
              <w:rPr>
                <w:sz w:val="18"/>
                <w:szCs w:val="18"/>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69"/>
        </w:trPr>
        <w:tc>
          <w:tcPr>
            <w:tcW w:w="40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Net derivative liabilities as of March 31, 2020</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(45,931</w:t>
            </w:r>
          </w:p>
        </w:tc>
        <w:tc>
          <w:tcPr>
            <w:tcW w:w="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(4,051</w:t>
            </w:r>
          </w:p>
        </w:tc>
        <w:tc>
          <w:tcPr>
            <w:tcW w:w="14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(20,550</w:t>
            </w:r>
          </w:p>
        </w:tc>
        <w:tc>
          <w:tcPr>
            <w:tcW w:w="260" w:type="dxa"/>
            <w:vAlign w:val="bottom"/>
          </w:tcPr>
          <w:p>
            <w:pPr>
              <w:jc w:val="right"/>
              <w:ind w:right="181"/>
              <w:spacing w:after="0"/>
              <w:rPr>
                <w:sz w:val="20"/>
                <w:szCs w:val="20"/>
                <w:color w:val="auto"/>
              </w:rPr>
            </w:pPr>
            <w:r>
              <w:rPr>
                <w:rFonts w:ascii="Arial" w:cs="Arial" w:eastAsia="Arial" w:hAnsi="Arial"/>
                <w:sz w:val="8"/>
                <w:szCs w:val="8"/>
                <w:b w:val="1"/>
                <w:bCs w:val="1"/>
                <w:color w:val="auto"/>
                <w:w w:val="73"/>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(65,998</w:t>
            </w:r>
          </w:p>
        </w:tc>
        <w:tc>
          <w:tcPr>
            <w:tcW w:w="280" w:type="dxa"/>
            <w:vAlign w:val="bottom"/>
          </w:tcPr>
          <w:p>
            <w:pPr>
              <w:jc w:val="right"/>
              <w:ind w:right="141"/>
              <w:spacing w:after="0" w:line="169" w:lineRule="exact"/>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(136,530</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80" w:type="dxa"/>
            <w:vAlign w:val="bottom"/>
            <w:gridSpan w:val="2"/>
            <w:vMerge w:val="continue"/>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right"/>
              <w:ind w:right="701"/>
              <w:spacing w:after="0"/>
              <w:rPr>
                <w:sz w:val="20"/>
                <w:szCs w:val="20"/>
                <w:color w:val="auto"/>
              </w:rPr>
            </w:pPr>
            <w:r>
              <w:rPr>
                <w:rFonts w:ascii="Arial" w:cs="Arial" w:eastAsia="Arial" w:hAnsi="Arial"/>
                <w:sz w:val="18"/>
                <w:szCs w:val="18"/>
                <w:color w:val="auto"/>
                <w:w w:val="86"/>
              </w:rPr>
              <w:t>F-18</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498" w:gutter="0" w:footer="0" w:header="0"/>
        </w:sectPr>
      </w:pPr>
    </w:p>
    <w:bookmarkStart w:id="43" w:name="page44"/>
    <w:bookmarkEnd w:id="43"/>
    <w:p>
      <w:pPr>
        <w:ind w:left="420"/>
        <w:spacing w:after="0"/>
        <w:rPr>
          <w:sz w:val="20"/>
          <w:szCs w:val="20"/>
          <w:color w:val="auto"/>
        </w:rPr>
      </w:pPr>
      <w:r>
        <w:rPr>
          <w:rFonts w:ascii="Arial" w:cs="Arial" w:eastAsia="Arial" w:hAnsi="Arial"/>
          <w:sz w:val="16"/>
          <w:szCs w:val="16"/>
          <w:color w:val="auto"/>
        </w:rPr>
        <w:t>A reconciliation of tangible fixed assets and vessels under construction arising from investing activities is as follows: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1960" w:type="dxa"/>
            <w:vAlign w:val="bottom"/>
            <w:gridSpan w:val="4"/>
          </w:tcPr>
          <w:p>
            <w:pPr>
              <w:ind w:left="18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89"/>
              </w:rPr>
              <w:t>Cash flows</w:t>
            </w:r>
          </w:p>
        </w:tc>
        <w:tc>
          <w:tcPr>
            <w:tcW w:w="18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Non-cash items</w:t>
            </w:r>
          </w:p>
        </w:tc>
        <w:tc>
          <w:tcPr>
            <w:tcW w:w="192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420" w:type="dxa"/>
            <w:vAlign w:val="bottom"/>
            <w:tcBorders>
              <w:top w:val="single" w:sz="8" w:color="E5FFFF"/>
              <w:right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and vessels under</w:t>
            </w:r>
          </w:p>
        </w:tc>
        <w:tc>
          <w:tcPr>
            <w:tcW w:w="150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right w:val="single" w:sz="8" w:color="E5FFFF"/>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right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right w:val="single" w:sz="8" w:color="E5FFFF"/>
            </w:tcBorders>
            <w:shd w:val="clear" w:color="auto" w:fill="E5FFFF"/>
          </w:tcPr>
          <w:p>
            <w:pPr>
              <w:spacing w:after="0"/>
              <w:rPr>
                <w:sz w:val="15"/>
                <w:szCs w:val="15"/>
                <w:color w:val="auto"/>
              </w:rPr>
            </w:pPr>
          </w:p>
        </w:tc>
        <w:tc>
          <w:tcPr>
            <w:tcW w:w="186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construction as of January 1, 2019</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180" w:type="dxa"/>
            <w:vAlign w:val="bottom"/>
            <w:tcBorders>
              <w:right w:val="single" w:sz="8" w:color="E5FFFF"/>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3"/>
            <w:shd w:val="clear" w:color="auto" w:fill="E5FF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right w:val="single" w:sz="8" w:color="E5FFFF"/>
            </w:tcBorders>
            <w:gridSpan w:val="4"/>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Additions</w:t>
            </w:r>
          </w:p>
        </w:tc>
        <w:tc>
          <w:tcPr>
            <w:tcW w:w="1960" w:type="dxa"/>
            <w:vAlign w:val="bottom"/>
            <w:gridSpan w:val="4"/>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220,550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4"/>
          </w:tcPr>
          <w:p>
            <w:pPr>
              <w:jc w:val="right"/>
              <w:ind w:right="139"/>
              <w:spacing w:after="0"/>
              <w:rPr>
                <w:sz w:val="20"/>
                <w:szCs w:val="20"/>
                <w:color w:val="auto"/>
              </w:rPr>
            </w:pPr>
            <w:r>
              <w:rPr>
                <w:rFonts w:ascii="Arial" w:cs="Arial" w:eastAsia="Arial" w:hAnsi="Arial"/>
                <w:sz w:val="16"/>
                <w:szCs w:val="16"/>
                <w:color w:val="auto"/>
              </w:rPr>
              <w:t>(4,440)</w:t>
            </w:r>
          </w:p>
        </w:tc>
        <w:tc>
          <w:tcPr>
            <w:tcW w:w="1860" w:type="dxa"/>
            <w:vAlign w:val="bottom"/>
          </w:tcPr>
          <w:p>
            <w:pPr>
              <w:jc w:val="right"/>
              <w:spacing w:after="0"/>
              <w:rPr>
                <w:sz w:val="20"/>
                <w:szCs w:val="20"/>
                <w:color w:val="auto"/>
              </w:rPr>
            </w:pPr>
            <w:r>
              <w:rPr>
                <w:rFonts w:ascii="Arial" w:cs="Arial" w:eastAsia="Arial" w:hAnsi="Arial"/>
                <w:sz w:val="16"/>
                <w:szCs w:val="16"/>
                <w:color w:val="auto"/>
              </w:rPr>
              <w:t>216,110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Returns for capital expenditures</w:t>
            </w:r>
          </w:p>
        </w:tc>
        <w:tc>
          <w:tcPr>
            <w:tcW w:w="1960" w:type="dxa"/>
            <w:vAlign w:val="bottom"/>
            <w:gridSpan w:val="4"/>
            <w:shd w:val="clear" w:color="auto" w:fill="E5FFFF"/>
          </w:tcPr>
          <w:p>
            <w:pPr>
              <w:jc w:val="right"/>
              <w:ind w:right="42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199"/>
              <w:spacing w:after="0"/>
              <w:rPr>
                <w:sz w:val="20"/>
                <w:szCs w:val="20"/>
                <w:color w:val="auto"/>
              </w:rPr>
            </w:pPr>
            <w:r>
              <w:rPr>
                <w:rFonts w:ascii="Arial" w:cs="Arial" w:eastAsia="Arial" w:hAnsi="Arial"/>
                <w:sz w:val="16"/>
                <w:szCs w:val="16"/>
                <w:color w:val="auto"/>
              </w:rPr>
              <w:t>(5,629)</w:t>
            </w:r>
          </w:p>
        </w:tc>
        <w:tc>
          <w:tcPr>
            <w:tcW w:w="1820" w:type="dxa"/>
            <w:vAlign w:val="bottom"/>
            <w:tcBorders>
              <w:right w:val="single" w:sz="8" w:color="E5FFFF"/>
            </w:tcBorders>
            <w:gridSpan w:val="4"/>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Depreciation expense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20" w:type="dxa"/>
            <w:vAlign w:val="bottom"/>
            <w:gridSpan w:val="4"/>
          </w:tcPr>
          <w:p>
            <w:pPr>
              <w:jc w:val="right"/>
              <w:ind w:right="139"/>
              <w:spacing w:after="0"/>
              <w:rPr>
                <w:sz w:val="20"/>
                <w:szCs w:val="20"/>
                <w:color w:val="auto"/>
              </w:rPr>
            </w:pPr>
            <w:r>
              <w:rPr>
                <w:rFonts w:ascii="Arial" w:cs="Arial" w:eastAsia="Arial" w:hAnsi="Arial"/>
                <w:sz w:val="16"/>
                <w:szCs w:val="16"/>
                <w:color w:val="auto"/>
              </w:rPr>
              <w:t>(37,082)</w:t>
            </w:r>
          </w:p>
        </w:tc>
        <w:tc>
          <w:tcPr>
            <w:tcW w:w="1860" w:type="dxa"/>
            <w:vAlign w:val="bottom"/>
          </w:tcPr>
          <w:p>
            <w:pPr>
              <w:jc w:val="right"/>
              <w:spacing w:after="0"/>
              <w:rPr>
                <w:sz w:val="20"/>
                <w:szCs w:val="20"/>
                <w:color w:val="auto"/>
              </w:rPr>
            </w:pPr>
            <w:r>
              <w:rPr>
                <w:rFonts w:ascii="Arial" w:cs="Arial" w:eastAsia="Arial" w:hAnsi="Arial"/>
                <w:sz w:val="16"/>
                <w:szCs w:val="16"/>
                <w:color w:val="auto"/>
              </w:rPr>
              <w:t>(37,082)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20" w:type="dxa"/>
            <w:vAlign w:val="bottom"/>
            <w:tcBorders>
              <w:top w:val="single" w:sz="8" w:color="E5FFFF"/>
              <w:right w:val="single" w:sz="8" w:color="E5FFFF"/>
            </w:tcBorders>
            <w:shd w:val="clear" w:color="auto" w:fill="E5FFFF"/>
          </w:tcPr>
          <w:p>
            <w:pPr>
              <w:spacing w:after="0" w:line="169" w:lineRule="exact"/>
              <w:rPr>
                <w:sz w:val="20"/>
                <w:szCs w:val="20"/>
                <w:color w:val="auto"/>
              </w:rPr>
            </w:pPr>
            <w:r>
              <w:rPr>
                <w:rFonts w:ascii="Arial" w:cs="Arial" w:eastAsia="Arial" w:hAnsi="Arial"/>
                <w:sz w:val="16"/>
                <w:szCs w:val="16"/>
                <w:b w:val="1"/>
                <w:bCs w:val="1"/>
                <w:color w:val="auto"/>
              </w:rPr>
              <w:t>Tangible fixed assets and vessels under</w:t>
            </w:r>
          </w:p>
        </w:tc>
        <w:tc>
          <w:tcPr>
            <w:tcW w:w="1540" w:type="dxa"/>
            <w:vAlign w:val="bottom"/>
            <w:tcBorders>
              <w:top w:val="single" w:sz="8" w:color="auto"/>
            </w:tcBorders>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4,482,857</w:t>
            </w:r>
          </w:p>
        </w:tc>
        <w:tc>
          <w:tcPr>
            <w:tcW w:w="180" w:type="dxa"/>
            <w:vAlign w:val="bottom"/>
            <w:tcBorders>
              <w:top w:val="single" w:sz="8" w:color="E5FFFF"/>
              <w:right w:val="single" w:sz="8" w:color="E5FFFF"/>
            </w:tcBorders>
            <w:shd w:val="clear" w:color="auto" w:fill="E5FFFF"/>
          </w:tcPr>
          <w:p>
            <w:pPr>
              <w:spacing w:after="0"/>
              <w:rPr>
                <w:sz w:val="14"/>
                <w:szCs w:val="14"/>
                <w:color w:val="auto"/>
              </w:rPr>
            </w:pPr>
          </w:p>
        </w:tc>
        <w:tc>
          <w:tcPr>
            <w:tcW w:w="240" w:type="dxa"/>
            <w:vAlign w:val="bottom"/>
            <w:tcBorders>
              <w:top w:val="single" w:sz="8" w:color="auto"/>
            </w:tcBorders>
            <w:shd w:val="clear" w:color="auto" w:fill="E5FFFF"/>
          </w:tcPr>
          <w:p>
            <w:pPr>
              <w:spacing w:after="0"/>
              <w:rPr>
                <w:sz w:val="14"/>
                <w:szCs w:val="14"/>
                <w:color w:val="auto"/>
              </w:rPr>
            </w:pPr>
          </w:p>
        </w:tc>
        <w:tc>
          <w:tcPr>
            <w:tcW w:w="1120" w:type="dxa"/>
            <w:vAlign w:val="bottom"/>
            <w:tcBorders>
              <w:top w:val="single" w:sz="8" w:color="auto"/>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214,921</w:t>
            </w:r>
          </w:p>
        </w:tc>
        <w:tc>
          <w:tcPr>
            <w:tcW w:w="20" w:type="dxa"/>
            <w:vAlign w:val="bottom"/>
            <w:tcBorders>
              <w:top w:val="single" w:sz="8" w:color="auto"/>
            </w:tcBorders>
            <w:shd w:val="clear" w:color="auto" w:fill="E5FFFF"/>
          </w:tcPr>
          <w:p>
            <w:pPr>
              <w:spacing w:after="0"/>
              <w:rPr>
                <w:sz w:val="14"/>
                <w:szCs w:val="14"/>
                <w:color w:val="auto"/>
              </w:rPr>
            </w:pPr>
          </w:p>
        </w:tc>
        <w:tc>
          <w:tcPr>
            <w:tcW w:w="320" w:type="dxa"/>
            <w:vAlign w:val="bottom"/>
            <w:tcBorders>
              <w:top w:val="single" w:sz="8" w:color="E5FFFF"/>
              <w:right w:val="single" w:sz="8" w:color="E5FFFF"/>
            </w:tcBorders>
            <w:shd w:val="clear" w:color="auto" w:fill="E5FFFF"/>
          </w:tcPr>
          <w:p>
            <w:pPr>
              <w:spacing w:after="0"/>
              <w:rPr>
                <w:sz w:val="14"/>
                <w:szCs w:val="14"/>
                <w:color w:val="auto"/>
              </w:rPr>
            </w:pPr>
          </w:p>
        </w:tc>
        <w:tc>
          <w:tcPr>
            <w:tcW w:w="1540" w:type="dxa"/>
            <w:vAlign w:val="bottom"/>
            <w:tcBorders>
              <w:top w:val="single" w:sz="8" w:color="auto"/>
            </w:tcBorders>
            <w:gridSpan w:val="3"/>
            <w:vMerge w:val="restart"/>
            <w:shd w:val="clear" w:color="auto" w:fill="E5FFFF"/>
          </w:tcPr>
          <w:p>
            <w:pPr>
              <w:spacing w:after="0"/>
              <w:rPr>
                <w:sz w:val="14"/>
                <w:szCs w:val="14"/>
                <w:color w:val="auto"/>
              </w:rPr>
            </w:pPr>
          </w:p>
        </w:tc>
        <w:tc>
          <w:tcPr>
            <w:tcW w:w="280" w:type="dxa"/>
            <w:vAlign w:val="bottom"/>
            <w:tcBorders>
              <w:top w:val="single" w:sz="8" w:color="E5FFFF"/>
              <w:right w:val="single" w:sz="8" w:color="E5FFFF"/>
            </w:tcBorders>
            <w:vMerge w:val="restart"/>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860" w:type="dxa"/>
            <w:vAlign w:val="bottom"/>
            <w:tcBorders>
              <w:top w:val="single" w:sz="8" w:color="auto"/>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4,656,256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Borders>
              <w:right w:val="single" w:sz="8" w:color="E5FFFF"/>
            </w:tcBorders>
            <w:vMerge w:val="restart"/>
            <w:shd w:val="clear" w:color="auto" w:fill="E5FFFF"/>
          </w:tcPr>
          <w:p>
            <w:pPr>
              <w:spacing w:after="0"/>
              <w:rPr>
                <w:sz w:val="20"/>
                <w:szCs w:val="20"/>
                <w:color w:val="auto"/>
              </w:rPr>
            </w:pPr>
            <w:r>
              <w:rPr>
                <w:rFonts w:ascii="Arial" w:cs="Arial" w:eastAsia="Arial" w:hAnsi="Arial"/>
                <w:sz w:val="16"/>
                <w:szCs w:val="16"/>
                <w:b w:val="1"/>
                <w:bCs w:val="1"/>
                <w:color w:val="auto"/>
              </w:rPr>
              <w:t>construction as of March 31, 2019</w:t>
            </w:r>
          </w:p>
        </w:tc>
        <w:tc>
          <w:tcPr>
            <w:tcW w:w="1540" w:type="dxa"/>
            <w:vAlign w:val="bottom"/>
            <w:gridSpan w:val="2"/>
            <w:vMerge w:val="continue"/>
            <w:shd w:val="clear" w:color="auto" w:fill="E5FFFF"/>
          </w:tcPr>
          <w:p>
            <w:pPr>
              <w:spacing w:after="0"/>
              <w:rPr>
                <w:sz w:val="11"/>
                <w:szCs w:val="11"/>
                <w:color w:val="auto"/>
              </w:rPr>
            </w:pPr>
          </w:p>
        </w:tc>
        <w:tc>
          <w:tcPr>
            <w:tcW w:w="180" w:type="dxa"/>
            <w:vAlign w:val="bottom"/>
            <w:tcBorders>
              <w:right w:val="single" w:sz="8" w:color="E5FFFF"/>
            </w:tcBorders>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120" w:type="dxa"/>
            <w:vAlign w:val="bottom"/>
            <w:vMerge w:val="continue"/>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320" w:type="dxa"/>
            <w:vAlign w:val="bottom"/>
            <w:tcBorders>
              <w:right w:val="single" w:sz="8" w:color="E5FFFF"/>
            </w:tcBorders>
            <w:shd w:val="clear" w:color="auto" w:fill="E5FFFF"/>
          </w:tcPr>
          <w:p>
            <w:pPr>
              <w:spacing w:after="0"/>
              <w:rPr>
                <w:sz w:val="11"/>
                <w:szCs w:val="11"/>
                <w:color w:val="auto"/>
              </w:rPr>
            </w:pPr>
          </w:p>
        </w:tc>
        <w:tc>
          <w:tcPr>
            <w:tcW w:w="1540" w:type="dxa"/>
            <w:vAlign w:val="bottom"/>
            <w:gridSpan w:val="3"/>
            <w:vMerge w:val="continue"/>
            <w:shd w:val="clear" w:color="auto" w:fill="E5FFFF"/>
          </w:tcPr>
          <w:p>
            <w:pPr>
              <w:spacing w:after="0"/>
              <w:rPr>
                <w:sz w:val="11"/>
                <w:szCs w:val="11"/>
                <w:color w:val="auto"/>
              </w:rPr>
            </w:pPr>
          </w:p>
        </w:tc>
        <w:tc>
          <w:tcPr>
            <w:tcW w:w="280" w:type="dxa"/>
            <w:vAlign w:val="bottom"/>
            <w:tcBorders>
              <w:right w:val="single" w:sz="8" w:color="E5FFFF"/>
            </w:tcBorders>
            <w:vMerge w:val="continue"/>
            <w:shd w:val="clear" w:color="auto" w:fill="E5FFFF"/>
          </w:tcPr>
          <w:p>
            <w:pPr>
              <w:spacing w:after="0"/>
              <w:rPr>
                <w:sz w:val="11"/>
                <w:szCs w:val="11"/>
                <w:color w:val="auto"/>
              </w:rPr>
            </w:pPr>
          </w:p>
        </w:tc>
        <w:tc>
          <w:tcPr>
            <w:tcW w:w="1860" w:type="dxa"/>
            <w:vAlign w:val="bottom"/>
            <w:vMerge w:val="continue"/>
            <w:shd w:val="clear" w:color="auto" w:fill="E5FF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420" w:type="dxa"/>
            <w:vAlign w:val="bottom"/>
            <w:tcBorders>
              <w:bottom w:val="single" w:sz="8" w:color="E5FFFF"/>
              <w:right w:val="single" w:sz="8" w:color="E5FFFF"/>
            </w:tcBorders>
            <w:vMerge w:val="continue"/>
            <w:shd w:val="clear" w:color="auto" w:fill="E5FFFF"/>
          </w:tcPr>
          <w:p>
            <w:pPr>
              <w:spacing w:after="0"/>
              <w:rPr>
                <w:sz w:val="6"/>
                <w:szCs w:val="6"/>
                <w:color w:val="auto"/>
              </w:rPr>
            </w:pPr>
          </w:p>
        </w:tc>
        <w:tc>
          <w:tcPr>
            <w:tcW w:w="1540" w:type="dxa"/>
            <w:vAlign w:val="bottom"/>
            <w:tcBorders>
              <w:bottom w:val="single" w:sz="8" w:color="auto"/>
            </w:tcBorders>
            <w:gridSpan w:val="2"/>
            <w:vMerge w:val="continue"/>
            <w:shd w:val="clear" w:color="auto" w:fill="E5FFFF"/>
          </w:tcPr>
          <w:p>
            <w:pPr>
              <w:spacing w:after="0"/>
              <w:rPr>
                <w:sz w:val="6"/>
                <w:szCs w:val="6"/>
                <w:color w:val="auto"/>
              </w:rPr>
            </w:pPr>
          </w:p>
        </w:tc>
        <w:tc>
          <w:tcPr>
            <w:tcW w:w="180" w:type="dxa"/>
            <w:vAlign w:val="bottom"/>
            <w:tcBorders>
              <w:bottom w:val="single" w:sz="8" w:color="E5FFFF"/>
              <w:right w:val="single" w:sz="8" w:color="E5FFFF"/>
            </w:tcBorders>
            <w:shd w:val="clear" w:color="auto" w:fill="E5FFFF"/>
          </w:tcPr>
          <w:p>
            <w:pPr>
              <w:spacing w:after="0"/>
              <w:rPr>
                <w:sz w:val="6"/>
                <w:szCs w:val="6"/>
                <w:color w:val="auto"/>
              </w:rPr>
            </w:pPr>
          </w:p>
        </w:tc>
        <w:tc>
          <w:tcPr>
            <w:tcW w:w="240" w:type="dxa"/>
            <w:vAlign w:val="bottom"/>
            <w:tcBorders>
              <w:bottom w:val="single" w:sz="8" w:color="auto"/>
            </w:tcBorders>
            <w:shd w:val="clear" w:color="auto" w:fill="E5FFFF"/>
          </w:tcPr>
          <w:p>
            <w:pPr>
              <w:spacing w:after="0"/>
              <w:rPr>
                <w:sz w:val="6"/>
                <w:szCs w:val="6"/>
                <w:color w:val="auto"/>
              </w:rPr>
            </w:pPr>
          </w:p>
        </w:tc>
        <w:tc>
          <w:tcPr>
            <w:tcW w:w="1120" w:type="dxa"/>
            <w:vAlign w:val="bottom"/>
            <w:tcBorders>
              <w:bottom w:val="single" w:sz="8" w:color="auto"/>
            </w:tcBorders>
            <w:vMerge w:val="continue"/>
            <w:shd w:val="clear" w:color="auto" w:fill="E5FFFF"/>
          </w:tcPr>
          <w:p>
            <w:pPr>
              <w:spacing w:after="0"/>
              <w:rPr>
                <w:sz w:val="6"/>
                <w:szCs w:val="6"/>
                <w:color w:val="auto"/>
              </w:rPr>
            </w:pPr>
          </w:p>
        </w:tc>
        <w:tc>
          <w:tcPr>
            <w:tcW w:w="20" w:type="dxa"/>
            <w:vAlign w:val="bottom"/>
            <w:tcBorders>
              <w:bottom w:val="single" w:sz="8" w:color="auto"/>
            </w:tcBorders>
            <w:shd w:val="clear" w:color="auto" w:fill="E5FFFF"/>
          </w:tcPr>
          <w:p>
            <w:pPr>
              <w:spacing w:after="0"/>
              <w:rPr>
                <w:sz w:val="6"/>
                <w:szCs w:val="6"/>
                <w:color w:val="auto"/>
              </w:rPr>
            </w:pPr>
          </w:p>
        </w:tc>
        <w:tc>
          <w:tcPr>
            <w:tcW w:w="320" w:type="dxa"/>
            <w:vAlign w:val="bottom"/>
            <w:tcBorders>
              <w:bottom w:val="single" w:sz="8" w:color="E5FFFF"/>
              <w:right w:val="single" w:sz="8" w:color="E5FFFF"/>
            </w:tcBorders>
            <w:shd w:val="clear" w:color="auto" w:fill="E5FFFF"/>
          </w:tcPr>
          <w:p>
            <w:pPr>
              <w:spacing w:after="0"/>
              <w:rPr>
                <w:sz w:val="6"/>
                <w:szCs w:val="6"/>
                <w:color w:val="auto"/>
              </w:rPr>
            </w:pPr>
          </w:p>
        </w:tc>
        <w:tc>
          <w:tcPr>
            <w:tcW w:w="1540" w:type="dxa"/>
            <w:vAlign w:val="bottom"/>
            <w:tcBorders>
              <w:bottom w:val="single" w:sz="8" w:color="auto"/>
            </w:tcBorders>
            <w:gridSpan w:val="3"/>
            <w:shd w:val="clear" w:color="auto" w:fill="E5FFFF"/>
          </w:tcPr>
          <w:p>
            <w:pPr>
              <w:jc w:val="right"/>
              <w:spacing w:after="0" w:line="68" w:lineRule="exact"/>
              <w:rPr>
                <w:sz w:val="20"/>
                <w:szCs w:val="20"/>
                <w:color w:val="auto"/>
              </w:rPr>
            </w:pPr>
            <w:r>
              <w:rPr>
                <w:rFonts w:ascii="Arial" w:cs="Arial" w:eastAsia="Arial" w:hAnsi="Arial"/>
                <w:sz w:val="7"/>
                <w:szCs w:val="7"/>
                <w:b w:val="1"/>
                <w:bCs w:val="1"/>
                <w:color w:val="auto"/>
              </w:rPr>
              <w:t>(41,522</w:t>
            </w:r>
          </w:p>
        </w:tc>
        <w:tc>
          <w:tcPr>
            <w:tcW w:w="280" w:type="dxa"/>
            <w:vAlign w:val="bottom"/>
            <w:tcBorders>
              <w:bottom w:val="single" w:sz="8" w:color="E5FFFF"/>
              <w:right w:val="single" w:sz="8" w:color="E5FFFF"/>
            </w:tcBorders>
            <w:shd w:val="clear" w:color="auto" w:fill="E5FFFF"/>
          </w:tcPr>
          <w:p>
            <w:pPr>
              <w:spacing w:after="0"/>
              <w:rPr>
                <w:sz w:val="6"/>
                <w:szCs w:val="6"/>
                <w:color w:val="auto"/>
              </w:rPr>
            </w:pPr>
          </w:p>
        </w:tc>
        <w:tc>
          <w:tcPr>
            <w:tcW w:w="1860" w:type="dxa"/>
            <w:vAlign w:val="bottom"/>
            <w:tcBorders>
              <w:bottom w:val="single" w:sz="8" w:color="auto"/>
            </w:tcBorders>
            <w:vMerge w:val="continue"/>
            <w:shd w:val="clear" w:color="auto" w:fill="E5FF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3420" w:type="dxa"/>
            <w:vAlign w:val="bottom"/>
          </w:tcPr>
          <w:p>
            <w:pPr>
              <w:spacing w:after="0"/>
              <w:rPr>
                <w:sz w:val="24"/>
                <w:szCs w:val="24"/>
                <w:color w:val="auto"/>
              </w:rPr>
            </w:pPr>
          </w:p>
        </w:tc>
        <w:tc>
          <w:tcPr>
            <w:tcW w:w="1960" w:type="dxa"/>
            <w:vAlign w:val="bottom"/>
            <w:gridSpan w:val="4"/>
          </w:tcPr>
          <w:p>
            <w:pPr>
              <w:ind w:left="18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89"/>
              </w:rPr>
              <w:t>Cash flows</w:t>
            </w:r>
          </w:p>
        </w:tc>
        <w:tc>
          <w:tcPr>
            <w:tcW w:w="18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Non-cash items</w:t>
            </w:r>
          </w:p>
        </w:tc>
        <w:tc>
          <w:tcPr>
            <w:tcW w:w="192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420" w:type="dxa"/>
            <w:vAlign w:val="bottom"/>
            <w:tcBorders>
              <w:top w:val="single" w:sz="8" w:color="E5FFFF"/>
              <w:right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and vessels under</w:t>
            </w:r>
          </w:p>
        </w:tc>
        <w:tc>
          <w:tcPr>
            <w:tcW w:w="150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right w:val="single" w:sz="8" w:color="E5FFFF"/>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right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right w:val="single" w:sz="8" w:color="E5FFFF"/>
            </w:tcBorders>
            <w:shd w:val="clear" w:color="auto" w:fill="E5FFFF"/>
          </w:tcPr>
          <w:p>
            <w:pPr>
              <w:spacing w:after="0"/>
              <w:rPr>
                <w:sz w:val="15"/>
                <w:szCs w:val="15"/>
                <w:color w:val="auto"/>
              </w:rPr>
            </w:pPr>
          </w:p>
        </w:tc>
        <w:tc>
          <w:tcPr>
            <w:tcW w:w="186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construction as of January 1, 2020</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4,630,388</w:t>
            </w:r>
          </w:p>
        </w:tc>
        <w:tc>
          <w:tcPr>
            <w:tcW w:w="180" w:type="dxa"/>
            <w:vAlign w:val="bottom"/>
            <w:tcBorders>
              <w:right w:val="single" w:sz="8" w:color="E5FFFF"/>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3"/>
            <w:shd w:val="clear" w:color="auto" w:fill="E5FF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right w:val="single" w:sz="8" w:color="E5FFFF"/>
            </w:tcBorders>
            <w:gridSpan w:val="4"/>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4,630,388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Additions (Note 5)</w:t>
            </w:r>
          </w:p>
        </w:tc>
        <w:tc>
          <w:tcPr>
            <w:tcW w:w="1960" w:type="dxa"/>
            <w:vAlign w:val="bottom"/>
            <w:gridSpan w:val="4"/>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59,685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3,031</w:t>
            </w: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62,716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Depreciation expense (Note 5)</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E5FFFF"/>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E5FFFF"/>
            </w:tcBorders>
            <w:shd w:val="clear" w:color="auto" w:fill="E5FFFF"/>
          </w:tcPr>
          <w:p>
            <w:pPr>
              <w:spacing w:after="0"/>
              <w:rPr>
                <w:sz w:val="17"/>
                <w:szCs w:val="17"/>
                <w:color w:val="auto"/>
              </w:rPr>
            </w:pPr>
          </w:p>
        </w:tc>
        <w:tc>
          <w:tcPr>
            <w:tcW w:w="1820" w:type="dxa"/>
            <w:vAlign w:val="bottom"/>
            <w:tcBorders>
              <w:right w:val="single" w:sz="8" w:color="E5FFFF"/>
            </w:tcBorders>
            <w:gridSpan w:val="4"/>
            <w:shd w:val="clear" w:color="auto" w:fill="E5FFFF"/>
          </w:tcPr>
          <w:p>
            <w:pPr>
              <w:jc w:val="right"/>
              <w:ind w:right="139"/>
              <w:spacing w:after="0"/>
              <w:rPr>
                <w:sz w:val="20"/>
                <w:szCs w:val="20"/>
                <w:color w:val="auto"/>
              </w:rPr>
            </w:pPr>
            <w:r>
              <w:rPr>
                <w:rFonts w:ascii="Arial" w:cs="Arial" w:eastAsia="Arial" w:hAnsi="Arial"/>
                <w:sz w:val="16"/>
                <w:szCs w:val="16"/>
                <w:color w:val="auto"/>
              </w:rPr>
              <w:t>(38,808)</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(38,808)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line="169" w:lineRule="exact"/>
              <w:rPr>
                <w:sz w:val="20"/>
                <w:szCs w:val="20"/>
                <w:color w:val="auto"/>
              </w:rPr>
            </w:pPr>
            <w:r>
              <w:rPr>
                <w:rFonts w:ascii="Arial" w:cs="Arial" w:eastAsia="Arial" w:hAnsi="Arial"/>
                <w:sz w:val="16"/>
                <w:szCs w:val="16"/>
                <w:b w:val="1"/>
                <w:bCs w:val="1"/>
                <w:color w:val="auto"/>
              </w:rPr>
              <w:t>Tangible fixed assets and vessels under</w:t>
            </w:r>
          </w:p>
        </w:tc>
        <w:tc>
          <w:tcPr>
            <w:tcW w:w="15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4,630,388</w:t>
            </w: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59,685</w:t>
            </w:r>
          </w:p>
        </w:tc>
        <w:tc>
          <w:tcPr>
            <w:tcW w:w="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top w:val="single" w:sz="8" w:color="auto"/>
            </w:tcBorders>
            <w:gridSpan w:val="3"/>
            <w:vMerge w:val="restart"/>
          </w:tcPr>
          <w:p>
            <w:pPr>
              <w:spacing w:after="0"/>
              <w:rPr>
                <w:sz w:val="14"/>
                <w:szCs w:val="14"/>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4,654,296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vMerge w:val="restart"/>
          </w:tcPr>
          <w:p>
            <w:pPr>
              <w:spacing w:after="0"/>
              <w:rPr>
                <w:sz w:val="20"/>
                <w:szCs w:val="20"/>
                <w:color w:val="auto"/>
              </w:rPr>
            </w:pPr>
            <w:r>
              <w:rPr>
                <w:rFonts w:ascii="Arial" w:cs="Arial" w:eastAsia="Arial" w:hAnsi="Arial"/>
                <w:sz w:val="16"/>
                <w:szCs w:val="16"/>
                <w:b w:val="1"/>
                <w:bCs w:val="1"/>
                <w:color w:val="auto"/>
              </w:rPr>
              <w:t>construction as of March 31, 2020</w:t>
            </w: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420" w:type="dxa"/>
            <w:vAlign w:val="bottom"/>
            <w:vMerge w:val="continue"/>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Borders>
              <w:bottom w:val="single" w:sz="8" w:color="auto"/>
            </w:tcBorders>
            <w:gridSpan w:val="3"/>
          </w:tcPr>
          <w:p>
            <w:pPr>
              <w:jc w:val="right"/>
              <w:spacing w:after="0" w:line="68" w:lineRule="exact"/>
              <w:rPr>
                <w:sz w:val="20"/>
                <w:szCs w:val="20"/>
                <w:color w:val="auto"/>
              </w:rPr>
            </w:pPr>
            <w:r>
              <w:rPr>
                <w:rFonts w:ascii="Arial" w:cs="Arial" w:eastAsia="Arial" w:hAnsi="Arial"/>
                <w:sz w:val="7"/>
                <w:szCs w:val="7"/>
                <w:b w:val="1"/>
                <w:bCs w:val="1"/>
                <w:color w:val="auto"/>
              </w:rPr>
              <w:t>(35,777</w:t>
            </w:r>
          </w:p>
        </w:tc>
        <w:tc>
          <w:tcPr>
            <w:tcW w:w="280" w:type="dxa"/>
            <w:vAlign w:val="bottom"/>
          </w:tcPr>
          <w:p>
            <w:pPr>
              <w:spacing w:after="0"/>
              <w:rPr>
                <w:sz w:val="6"/>
                <w:szCs w:val="6"/>
                <w:color w:val="auto"/>
              </w:rPr>
            </w:pPr>
          </w:p>
        </w:tc>
        <w:tc>
          <w:tcPr>
            <w:tcW w:w="186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5380" w:type="dxa"/>
            <w:vAlign w:val="bottom"/>
            <w:gridSpan w:val="5"/>
          </w:tcPr>
          <w:p>
            <w:pPr>
              <w:spacing w:after="0"/>
              <w:rPr>
                <w:sz w:val="20"/>
                <w:szCs w:val="20"/>
                <w:color w:val="auto"/>
              </w:rPr>
            </w:pPr>
            <w:r>
              <w:rPr>
                <w:rFonts w:ascii="Arial" w:cs="Arial" w:eastAsia="Arial" w:hAnsi="Arial"/>
                <w:sz w:val="16"/>
                <w:szCs w:val="16"/>
                <w:color w:val="auto"/>
                <w:w w:val="97"/>
              </w:rPr>
              <w:t>A reconciliation of lease liabilities arising from financing activities is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420" w:type="dxa"/>
            <w:vAlign w:val="bottom"/>
          </w:tcPr>
          <w:p>
            <w:pPr>
              <w:spacing w:after="0"/>
              <w:rPr>
                <w:sz w:val="24"/>
                <w:szCs w:val="24"/>
                <w:color w:val="auto"/>
              </w:rPr>
            </w:pPr>
          </w:p>
        </w:tc>
        <w:tc>
          <w:tcPr>
            <w:tcW w:w="1960" w:type="dxa"/>
            <w:vAlign w:val="bottom"/>
            <w:gridSpan w:val="4"/>
          </w:tcPr>
          <w:p>
            <w:pPr>
              <w:ind w:left="16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w w:val="89"/>
              </w:rPr>
              <w:t>Cash flows</w:t>
            </w:r>
          </w:p>
        </w:tc>
        <w:tc>
          <w:tcPr>
            <w:tcW w:w="18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Non-cash items</w:t>
            </w: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420" w:type="dxa"/>
            <w:vAlign w:val="bottom"/>
            <w:tcBorders>
              <w:top w:val="single" w:sz="8" w:color="E5FFFF"/>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right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right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right w:val="single" w:sz="8" w:color="E5FFFF"/>
            </w:tcBorders>
            <w:gridSpan w:val="2"/>
            <w:shd w:val="clear" w:color="auto" w:fill="E5FFFF"/>
          </w:tcPr>
          <w:p>
            <w:pPr>
              <w:spacing w:after="0"/>
              <w:rPr>
                <w:sz w:val="17"/>
                <w:szCs w:val="17"/>
                <w:color w:val="auto"/>
              </w:rPr>
            </w:pPr>
          </w:p>
        </w:tc>
        <w:tc>
          <w:tcPr>
            <w:tcW w:w="1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Lease charge (Note 18)</w:t>
            </w:r>
          </w:p>
        </w:tc>
        <w:tc>
          <w:tcPr>
            <w:tcW w:w="19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Additions</w:t>
            </w:r>
          </w:p>
        </w:tc>
        <w:tc>
          <w:tcPr>
            <w:tcW w:w="1960" w:type="dxa"/>
            <w:vAlign w:val="bottom"/>
            <w:gridSpan w:val="4"/>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1,064</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Payments for interest</w:t>
            </w:r>
          </w:p>
        </w:tc>
        <w:tc>
          <w:tcPr>
            <w:tcW w:w="19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19"/>
              <w:spacing w:after="0"/>
              <w:rPr>
                <w:sz w:val="20"/>
                <w:szCs w:val="20"/>
                <w:color w:val="auto"/>
              </w:rPr>
            </w:pPr>
            <w:r>
              <w:rPr>
                <w:rFonts w:ascii="Arial" w:cs="Arial" w:eastAsia="Arial" w:hAnsi="Arial"/>
                <w:sz w:val="16"/>
                <w:szCs w:val="16"/>
                <w:color w:val="auto"/>
              </w:rPr>
              <w:t>(2,633)</w:t>
            </w:r>
          </w:p>
        </w:tc>
        <w:tc>
          <w:tcPr>
            <w:tcW w:w="1820" w:type="dxa"/>
            <w:vAlign w:val="bottom"/>
            <w:gridSpan w:val="4"/>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(2,633)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960" w:type="dxa"/>
            <w:vAlign w:val="bottom"/>
            <w:gridSpan w:val="4"/>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19"/>
              <w:spacing w:after="0"/>
              <w:rPr>
                <w:sz w:val="20"/>
                <w:szCs w:val="20"/>
                <w:color w:val="auto"/>
              </w:rPr>
            </w:pPr>
            <w:r>
              <w:rPr>
                <w:rFonts w:ascii="Arial" w:cs="Arial" w:eastAsia="Arial" w:hAnsi="Arial"/>
                <w:sz w:val="16"/>
                <w:szCs w:val="16"/>
                <w:color w:val="auto"/>
              </w:rPr>
              <w:t>(2,388)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20" w:type="dxa"/>
            <w:vAlign w:val="bottom"/>
            <w:vMerge w:val="restart"/>
          </w:tcPr>
          <w:p>
            <w:pPr>
              <w:spacing w:after="0"/>
              <w:rPr>
                <w:sz w:val="20"/>
                <w:szCs w:val="20"/>
                <w:color w:val="auto"/>
              </w:rPr>
            </w:pPr>
            <w:r>
              <w:rPr>
                <w:rFonts w:ascii="Arial" w:cs="Arial" w:eastAsia="Arial" w:hAnsi="Arial"/>
                <w:sz w:val="16"/>
                <w:szCs w:val="16"/>
                <w:b w:val="1"/>
                <w:bCs w:val="1"/>
                <w:color w:val="auto"/>
              </w:rPr>
              <w:t>Lease liabilities as of March 31, 2019</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213,374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212,059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20" w:type="dxa"/>
            <w:vAlign w:val="bottom"/>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(5,021</w:t>
            </w: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6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3420" w:type="dxa"/>
            <w:vAlign w:val="bottom"/>
          </w:tcPr>
          <w:p>
            <w:pPr>
              <w:spacing w:after="0"/>
              <w:rPr>
                <w:sz w:val="24"/>
                <w:szCs w:val="24"/>
                <w:color w:val="auto"/>
              </w:rPr>
            </w:pPr>
          </w:p>
        </w:tc>
        <w:tc>
          <w:tcPr>
            <w:tcW w:w="1960" w:type="dxa"/>
            <w:vAlign w:val="bottom"/>
            <w:gridSpan w:val="4"/>
          </w:tcPr>
          <w:p>
            <w:pPr>
              <w:ind w:left="16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w w:val="89"/>
              </w:rPr>
              <w:t>Cash flows</w:t>
            </w:r>
          </w:p>
        </w:tc>
        <w:tc>
          <w:tcPr>
            <w:tcW w:w="18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Non-cash items</w:t>
            </w: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420" w:type="dxa"/>
            <w:vAlign w:val="bottom"/>
            <w:tcBorders>
              <w:top w:val="single" w:sz="8" w:color="E5FFFF"/>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2020</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204,930</w:t>
            </w: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right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right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right w:val="single" w:sz="8" w:color="E5FFFF"/>
            </w:tcBorders>
            <w:gridSpan w:val="2"/>
            <w:shd w:val="clear" w:color="auto" w:fill="E5FFFF"/>
          </w:tcPr>
          <w:p>
            <w:pPr>
              <w:spacing w:after="0"/>
              <w:rPr>
                <w:sz w:val="17"/>
                <w:szCs w:val="17"/>
                <w:color w:val="auto"/>
              </w:rPr>
            </w:pPr>
          </w:p>
        </w:tc>
        <w:tc>
          <w:tcPr>
            <w:tcW w:w="1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204,930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Lease charge (Note 18)</w:t>
            </w:r>
          </w:p>
        </w:tc>
        <w:tc>
          <w:tcPr>
            <w:tcW w:w="19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Additions</w:t>
            </w:r>
          </w:p>
        </w:tc>
        <w:tc>
          <w:tcPr>
            <w:tcW w:w="1960" w:type="dxa"/>
            <w:vAlign w:val="bottom"/>
            <w:gridSpan w:val="4"/>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836</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Payments for interest</w:t>
            </w:r>
          </w:p>
        </w:tc>
        <w:tc>
          <w:tcPr>
            <w:tcW w:w="19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19"/>
              <w:spacing w:after="0"/>
              <w:rPr>
                <w:sz w:val="20"/>
                <w:szCs w:val="20"/>
                <w:color w:val="auto"/>
              </w:rPr>
            </w:pPr>
            <w:r>
              <w:rPr>
                <w:rFonts w:ascii="Arial" w:cs="Arial" w:eastAsia="Arial" w:hAnsi="Arial"/>
                <w:sz w:val="16"/>
                <w:szCs w:val="16"/>
                <w:color w:val="auto"/>
              </w:rPr>
              <w:t>(2,542)</w:t>
            </w:r>
          </w:p>
        </w:tc>
        <w:tc>
          <w:tcPr>
            <w:tcW w:w="1820" w:type="dxa"/>
            <w:vAlign w:val="bottom"/>
            <w:gridSpan w:val="4"/>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960" w:type="dxa"/>
            <w:vAlign w:val="bottom"/>
            <w:gridSpan w:val="4"/>
            <w:shd w:val="clear" w:color="auto" w:fill="E5FF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tcBorders>
              <w:right w:val="single" w:sz="8" w:color="E5FFFF"/>
            </w:tcBorders>
            <w:gridSpan w:val="3"/>
            <w:shd w:val="clear" w:color="auto" w:fill="E5FFFF"/>
          </w:tcPr>
          <w:p>
            <w:pPr>
              <w:jc w:val="right"/>
              <w:ind w:right="219"/>
              <w:spacing w:after="0"/>
              <w:rPr>
                <w:sz w:val="20"/>
                <w:szCs w:val="20"/>
                <w:color w:val="auto"/>
              </w:rPr>
            </w:pPr>
            <w:r>
              <w:rPr>
                <w:rFonts w:ascii="Arial" w:cs="Arial" w:eastAsia="Arial" w:hAnsi="Arial"/>
                <w:sz w:val="16"/>
                <w:szCs w:val="16"/>
                <w:color w:val="auto"/>
              </w:rPr>
              <w:t>(2,508)</w:t>
            </w:r>
          </w:p>
        </w:tc>
        <w:tc>
          <w:tcPr>
            <w:tcW w:w="15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(126)</w:t>
            </w:r>
          </w:p>
        </w:tc>
        <w:tc>
          <w:tcPr>
            <w:tcW w:w="280" w:type="dxa"/>
            <w:vAlign w:val="bottom"/>
            <w:tcBorders>
              <w:right w:val="single" w:sz="8" w:color="E5FFFF"/>
            </w:tcBorders>
            <w:shd w:val="clear" w:color="auto" w:fill="E5FFFF"/>
          </w:tcPr>
          <w:p>
            <w:pPr>
              <w:spacing w:after="0"/>
              <w:rPr>
                <w:sz w:val="17"/>
                <w:szCs w:val="17"/>
                <w:color w:val="auto"/>
              </w:rPr>
            </w:pP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20" w:type="dxa"/>
            <w:vAlign w:val="bottom"/>
            <w:vMerge w:val="restart"/>
          </w:tcPr>
          <w:p>
            <w:pPr>
              <w:spacing w:after="0"/>
              <w:rPr>
                <w:sz w:val="20"/>
                <w:szCs w:val="20"/>
                <w:color w:val="auto"/>
              </w:rPr>
            </w:pPr>
            <w:r>
              <w:rPr>
                <w:rFonts w:ascii="Arial" w:cs="Arial" w:eastAsia="Arial" w:hAnsi="Arial"/>
                <w:sz w:val="16"/>
                <w:szCs w:val="16"/>
                <w:b w:val="1"/>
                <w:bCs w:val="1"/>
                <w:color w:val="auto"/>
              </w:rPr>
              <w:t>Lease liabilities as of March 31, 2020</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204,930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203,139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20" w:type="dxa"/>
            <w:vAlign w:val="bottom"/>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b w:val="1"/>
                <w:bCs w:val="1"/>
                <w:color w:val="auto"/>
              </w:rPr>
              <w:t>(5,050</w:t>
            </w: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6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5380" w:type="dxa"/>
            <w:vAlign w:val="bottom"/>
            <w:gridSpan w:val="5"/>
          </w:tcPr>
          <w:p>
            <w:pPr>
              <w:ind w:left="20"/>
              <w:spacing w:after="0"/>
              <w:rPr>
                <w:sz w:val="20"/>
                <w:szCs w:val="20"/>
                <w:color w:val="auto"/>
              </w:rPr>
            </w:pPr>
            <w:r>
              <w:rPr>
                <w:rFonts w:ascii="Arial" w:cs="Arial" w:eastAsia="Arial" w:hAnsi="Arial"/>
                <w:sz w:val="16"/>
                <w:szCs w:val="16"/>
                <w:color w:val="auto"/>
                <w:w w:val="95"/>
              </w:rPr>
              <w:t>A reconciliation of equity offerings arising from financing activities is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right="479"/>
              <w:spacing w:after="0"/>
              <w:rPr>
                <w:sz w:val="20"/>
                <w:szCs w:val="20"/>
                <w:color w:val="auto"/>
              </w:rPr>
            </w:pPr>
            <w:r>
              <w:rPr>
                <w:rFonts w:ascii="Arial" w:cs="Arial" w:eastAsia="Arial" w:hAnsi="Arial"/>
                <w:sz w:val="16"/>
                <w:szCs w:val="16"/>
                <w:b w:val="1"/>
                <w:bCs w:val="1"/>
                <w:color w:val="auto"/>
                <w:w w:val="86"/>
              </w:rPr>
              <w:t>Cash</w:t>
            </w:r>
          </w:p>
        </w:tc>
        <w:tc>
          <w:tcPr>
            <w:tcW w:w="182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w w:val="90"/>
              </w:rPr>
              <w:t>Non-cash</w:t>
            </w: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87"/>
              </w:rPr>
              <w:t>flows</w:t>
            </w:r>
          </w:p>
        </w:tc>
        <w:tc>
          <w:tcPr>
            <w:tcW w:w="182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w w:val="90"/>
              </w:rPr>
              <w:t>items</w:t>
            </w:r>
          </w:p>
        </w:tc>
        <w:tc>
          <w:tcPr>
            <w:tcW w:w="1920" w:type="dxa"/>
            <w:vAlign w:val="bottom"/>
            <w:gridSpan w:val="2"/>
          </w:tcPr>
          <w:p>
            <w:pPr>
              <w:ind w:left="7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420" w:type="dxa"/>
            <w:vAlign w:val="bottom"/>
            <w:tcBorders>
              <w:top w:val="single" w:sz="8" w:color="E5FFFF"/>
              <w:right w:val="single" w:sz="8" w:color="E5FFFF"/>
            </w:tcBorders>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15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right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(668)</w:t>
            </w:r>
          </w:p>
        </w:tc>
        <w:tc>
          <w:tcPr>
            <w:tcW w:w="320" w:type="dxa"/>
            <w:vAlign w:val="bottom"/>
            <w:tcBorders>
              <w:top w:val="single" w:sz="8" w:color="E5FFFF"/>
              <w:right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820</w:t>
            </w: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right w:val="single" w:sz="8" w:color="E5FFFF"/>
            </w:tcBorders>
            <w:shd w:val="clear" w:color="auto" w:fill="E5FFFF"/>
          </w:tcPr>
          <w:p>
            <w:pPr>
              <w:spacing w:after="0"/>
              <w:rPr>
                <w:sz w:val="17"/>
                <w:szCs w:val="17"/>
                <w:color w:val="auto"/>
              </w:rPr>
            </w:pPr>
          </w:p>
        </w:tc>
        <w:tc>
          <w:tcPr>
            <w:tcW w:w="1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4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5"/>
              </w:rPr>
              <w:t>Net proceeds from equity offerings in the period ended March 31, 2019</w:t>
            </w:r>
          </w:p>
        </w:tc>
        <w:tc>
          <w:tcPr>
            <w:tcW w:w="24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(668</w:t>
            </w:r>
          </w:p>
        </w:tc>
        <w:tc>
          <w:tcPr>
            <w:tcW w:w="320" w:type="dxa"/>
            <w:vAlign w:val="bottom"/>
          </w:tcPr>
          <w:p>
            <w:pPr>
              <w:jc w:val="right"/>
              <w:ind w:right="179"/>
              <w:spacing w:after="0" w:line="155" w:lineRule="exact"/>
              <w:rPr>
                <w:sz w:val="20"/>
                <w:szCs w:val="20"/>
                <w:color w:val="auto"/>
              </w:rPr>
            </w:pPr>
            <w:r>
              <w:rPr>
                <w:rFonts w:ascii="Arial" w:cs="Arial" w:eastAsia="Arial" w:hAnsi="Arial"/>
                <w:sz w:val="16"/>
                <w:szCs w:val="16"/>
                <w:b w:val="1"/>
                <w:bCs w:val="1"/>
                <w:color w:val="auto"/>
                <w:w w:val="74"/>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820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5140" w:type="dxa"/>
            <w:vAlign w:val="bottom"/>
            <w:gridSpan w:val="4"/>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Borders>
              <w:bottom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right="479"/>
              <w:spacing w:after="0"/>
              <w:rPr>
                <w:sz w:val="20"/>
                <w:szCs w:val="20"/>
                <w:color w:val="auto"/>
              </w:rPr>
            </w:pPr>
            <w:r>
              <w:rPr>
                <w:rFonts w:ascii="Arial" w:cs="Arial" w:eastAsia="Arial" w:hAnsi="Arial"/>
                <w:sz w:val="16"/>
                <w:szCs w:val="16"/>
                <w:b w:val="1"/>
                <w:bCs w:val="1"/>
                <w:color w:val="auto"/>
                <w:w w:val="86"/>
              </w:rPr>
              <w:t>Cash</w:t>
            </w:r>
          </w:p>
        </w:tc>
        <w:tc>
          <w:tcPr>
            <w:tcW w:w="182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w w:val="90"/>
              </w:rPr>
              <w:t>Non-cash</w:t>
            </w: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flows</w:t>
            </w:r>
          </w:p>
        </w:tc>
        <w:tc>
          <w:tcPr>
            <w:tcW w:w="320" w:type="dxa"/>
            <w:vAlign w:val="bottom"/>
          </w:tcPr>
          <w:p>
            <w:pPr>
              <w:spacing w:after="0"/>
              <w:rPr>
                <w:sz w:val="18"/>
                <w:szCs w:val="18"/>
                <w:color w:val="auto"/>
              </w:rPr>
            </w:pPr>
          </w:p>
        </w:tc>
        <w:tc>
          <w:tcPr>
            <w:tcW w:w="15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0"/>
              </w:rPr>
              <w:t>items</w:t>
            </w:r>
          </w:p>
        </w:tc>
        <w:tc>
          <w:tcPr>
            <w:tcW w:w="320" w:type="dxa"/>
            <w:vAlign w:val="bottom"/>
            <w:gridSpan w:val="2"/>
          </w:tcPr>
          <w:p>
            <w:pPr>
              <w:spacing w:after="0"/>
              <w:rPr>
                <w:sz w:val="18"/>
                <w:szCs w:val="18"/>
                <w:color w:val="auto"/>
              </w:rPr>
            </w:pPr>
          </w:p>
        </w:tc>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20"/>
                <w:szCs w:val="20"/>
                <w:color w:val="auto"/>
              </w:rPr>
            </w:pPr>
            <w:r>
              <w:rPr>
                <w:rFonts w:ascii="Arial" w:cs="Arial" w:eastAsia="Arial" w:hAnsi="Arial"/>
                <w:sz w:val="16"/>
                <w:szCs w:val="16"/>
                <w:color w:val="auto"/>
              </w:rPr>
              <w:t>Equity offering costs</w:t>
            </w: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20" w:type="dxa"/>
            <w:vAlign w:val="bottom"/>
            <w:gridSpan w:val="4"/>
          </w:tcPr>
          <w:p>
            <w:pPr>
              <w:jc w:val="right"/>
              <w:ind w:right="179"/>
              <w:spacing w:after="0"/>
              <w:rPr>
                <w:sz w:val="20"/>
                <w:szCs w:val="20"/>
                <w:color w:val="auto"/>
              </w:rPr>
            </w:pPr>
            <w:r>
              <w:rPr>
                <w:rFonts w:ascii="Arial" w:cs="Arial" w:eastAsia="Arial" w:hAnsi="Arial"/>
                <w:sz w:val="16"/>
                <w:szCs w:val="16"/>
                <w:color w:val="auto"/>
              </w:rPr>
              <w:t>(5)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56"/>
        </w:trPr>
        <w:tc>
          <w:tcPr>
            <w:tcW w:w="514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4"/>
              </w:rPr>
              <w:t>Net payments from equity offerings in the period ended March 31, 2020</w:t>
            </w:r>
          </w:p>
        </w:tc>
        <w:tc>
          <w:tcPr>
            <w:tcW w:w="240" w:type="dxa"/>
            <w:vAlign w:val="bottom"/>
            <w:tcBorders>
              <w:top w:val="single" w:sz="8" w:color="auto"/>
            </w:tcBorders>
            <w:vMerge w:val="restart"/>
          </w:tcPr>
          <w:p>
            <w:pPr>
              <w:spacing w:after="0"/>
              <w:rPr>
                <w:sz w:val="13"/>
                <w:szCs w:val="13"/>
                <w:color w:val="auto"/>
              </w:rPr>
            </w:pPr>
          </w:p>
        </w:tc>
        <w:tc>
          <w:tcPr>
            <w:tcW w:w="1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spacing w:after="0"/>
              <w:rPr>
                <w:sz w:val="13"/>
                <w:szCs w:val="13"/>
                <w:color w:val="auto"/>
              </w:rPr>
            </w:pPr>
          </w:p>
        </w:tc>
        <w:tc>
          <w:tcPr>
            <w:tcW w:w="1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gridSpan w:val="2"/>
          </w:tcPr>
          <w:p>
            <w:pPr>
              <w:jc w:val="right"/>
              <w:ind w:right="179"/>
              <w:spacing w:after="0" w:line="155" w:lineRule="exact"/>
              <w:rPr>
                <w:sz w:val="20"/>
                <w:szCs w:val="20"/>
                <w:color w:val="auto"/>
              </w:rPr>
            </w:pPr>
            <w:r>
              <w:rPr>
                <w:rFonts w:ascii="Arial" w:cs="Arial" w:eastAsia="Arial" w:hAnsi="Arial"/>
                <w:sz w:val="16"/>
                <w:szCs w:val="16"/>
                <w:b w:val="1"/>
                <w:bCs w:val="1"/>
                <w:color w:val="auto"/>
                <w:w w:val="74"/>
              </w:rPr>
              <w:t>)</w:t>
            </w:r>
          </w:p>
        </w:tc>
        <w:tc>
          <w:tcPr>
            <w:tcW w:w="1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53"/>
        </w:trPr>
        <w:tc>
          <w:tcPr>
            <w:tcW w:w="5140" w:type="dxa"/>
            <w:vAlign w:val="bottom"/>
            <w:gridSpan w:val="4"/>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500" w:type="dxa"/>
            <w:vAlign w:val="bottom"/>
            <w:tcBorders>
              <w:bottom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-290830</wp:posOffset>
            </wp:positionV>
            <wp:extent cx="6686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8655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Share-Based Compensation</w:t>
      </w:r>
    </w:p>
    <w:p>
      <w:pPr>
        <w:spacing w:after="0" w:line="239" w:lineRule="exact"/>
        <w:rPr>
          <w:sz w:val="20"/>
          <w:szCs w:val="20"/>
          <w:color w:val="auto"/>
        </w:rPr>
      </w:pPr>
    </w:p>
    <w:p>
      <w:pPr>
        <w:ind w:firstLine="357"/>
        <w:spacing w:after="0" w:line="273"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2019.</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46" w:right="5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Movement in RSUs and SARs during the period</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4040" w:type="dxa"/>
            <w:vAlign w:val="bottom"/>
            <w:gridSpan w:val="2"/>
          </w:tcPr>
          <w:p>
            <w:pPr>
              <w:ind w:left="360"/>
              <w:spacing w:after="0"/>
              <w:rPr>
                <w:sz w:val="20"/>
                <w:szCs w:val="20"/>
                <w:color w:val="auto"/>
              </w:rPr>
            </w:pPr>
            <w:r>
              <w:rPr>
                <w:rFonts w:ascii="Arial" w:cs="Arial" w:eastAsia="Arial" w:hAnsi="Arial"/>
                <w:sz w:val="16"/>
                <w:szCs w:val="16"/>
                <w:color w:val="auto"/>
                <w:w w:val="96"/>
              </w:rPr>
              <w:t>The summary of RSUs and SARs is presented below:</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Number of</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 average</w:t>
            </w: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Aggregate fair</w:t>
            </w:r>
          </w:p>
        </w:tc>
      </w:tr>
      <w:tr>
        <w:trPr>
          <w:trHeight w:val="210"/>
        </w:trPr>
        <w:tc>
          <w:tcPr>
            <w:tcW w:w="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 share</w:t>
            </w: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contractual life</w:t>
            </w: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7"/>
              </w:rPr>
              <w:t>value</w:t>
            </w:r>
          </w:p>
        </w:tc>
      </w:tr>
      <w:tr>
        <w:trPr>
          <w:trHeight w:val="188"/>
        </w:trPr>
        <w:tc>
          <w:tcPr>
            <w:tcW w:w="920" w:type="dxa"/>
            <w:vAlign w:val="bottom"/>
          </w:tcPr>
          <w:p>
            <w:pPr>
              <w:spacing w:after="0"/>
              <w:rPr>
                <w:sz w:val="16"/>
                <w:szCs w:val="16"/>
                <w:color w:val="auto"/>
              </w:rPr>
            </w:pPr>
          </w:p>
        </w:tc>
        <w:tc>
          <w:tcPr>
            <w:tcW w:w="3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44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400" w:type="dxa"/>
            <w:vAlign w:val="bottom"/>
            <w:tcBorders>
              <w:top w:val="single" w:sz="8" w:color="auto"/>
            </w:tcBorders>
            <w:shd w:val="clear" w:color="auto" w:fill="E5FFFF"/>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367,162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1.16</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5,988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12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(1,059)</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40" w:type="dxa"/>
            <w:vAlign w:val="bottom"/>
            <w:gridSpan w:val="2"/>
          </w:tcPr>
          <w:p>
            <w:pPr>
              <w:ind w:left="920"/>
              <w:spacing w:after="0"/>
              <w:rPr>
                <w:sz w:val="20"/>
                <w:szCs w:val="20"/>
                <w:color w:val="auto"/>
              </w:rPr>
            </w:pPr>
            <w:r>
              <w:rPr>
                <w:rFonts w:ascii="Arial" w:cs="Arial" w:eastAsia="Arial" w:hAnsi="Arial"/>
                <w:sz w:val="16"/>
                <w:szCs w:val="16"/>
                <w:b w:val="1"/>
                <w:bCs w:val="1"/>
                <w:color w:val="auto"/>
              </w:rPr>
              <w:t>Outstanding as of March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366,103</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0.91</w:t>
            </w:r>
          </w:p>
        </w:tc>
        <w:tc>
          <w:tcPr>
            <w:tcW w:w="32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3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SARs</w:t>
            </w:r>
          </w:p>
        </w:tc>
        <w:tc>
          <w:tcPr>
            <w:tcW w:w="144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400" w:type="dxa"/>
            <w:vAlign w:val="bottom"/>
            <w:tcBorders>
              <w:top w:val="single" w:sz="8" w:color="auto"/>
            </w:tcBorders>
            <w:shd w:val="clear" w:color="auto" w:fill="E5FFFF"/>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2,630,173</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14.46</w:t>
            </w:r>
          </w:p>
        </w:tc>
        <w:tc>
          <w:tcPr>
            <w:tcW w:w="2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6.53</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11,367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Forfeited during the period</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(1,085)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Expired during the period</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(17,326)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1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March 31, 2020</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2,611,762</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14.47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6.28</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5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11,290</w:t>
            </w:r>
          </w:p>
        </w:tc>
        <w:tc>
          <w:tcPr>
            <w:tcW w:w="6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-410845</wp:posOffset>
            </wp:positionV>
            <wp:extent cx="587184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2020, 1,901,763 SARs have vested but have not been exercised.</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2020, there were 76,467 RCUs and 76,467 PCUs outstanding (December 31, 2019: 76,467 RCUs and 76,467 PCUs).</w:t>
      </w:r>
    </w:p>
    <w:p>
      <w:pPr>
        <w:spacing w:after="0" w:line="235" w:lineRule="exact"/>
        <w:rPr>
          <w:sz w:val="20"/>
          <w:szCs w:val="20"/>
          <w:color w:val="auto"/>
        </w:rPr>
      </w:pPr>
    </w:p>
    <w:p>
      <w:pPr>
        <w:ind w:right="40" w:firstLine="357"/>
        <w:spacing w:after="0" w:line="293" w:lineRule="auto"/>
        <w:rPr>
          <w:sz w:val="20"/>
          <w:szCs w:val="20"/>
          <w:color w:val="auto"/>
        </w:rPr>
      </w:pPr>
      <w:r>
        <w:rPr>
          <w:rFonts w:ascii="Arial" w:cs="Arial" w:eastAsia="Arial" w:hAnsi="Arial"/>
          <w:sz w:val="16"/>
          <w:szCs w:val="16"/>
          <w:color w:val="auto"/>
        </w:rPr>
        <w:t>The total expense recognized in respect of share-based compensation for the three months ended March 31, 2020 was $1,346 (for the three months ended March 31, 2019: $1,322). The total accrued cash distribution as of March 31, 2020 is $1,357 (December 31, 2019: $1,176).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Earnings/(losses) per Share (“EPS”)</w:t>
      </w:r>
    </w:p>
    <w:p>
      <w:pPr>
        <w:spacing w:after="0" w:line="239" w:lineRule="exact"/>
        <w:rPr>
          <w:sz w:val="20"/>
          <w:szCs w:val="20"/>
          <w:color w:val="auto"/>
        </w:rPr>
      </w:pPr>
    </w:p>
    <w:p>
      <w:pPr>
        <w:ind w:right="200" w:firstLine="356"/>
        <w:spacing w:after="0" w:line="293" w:lineRule="auto"/>
        <w:rPr>
          <w:sz w:val="20"/>
          <w:szCs w:val="20"/>
          <w:color w:val="auto"/>
        </w:rPr>
      </w:pPr>
      <w:r>
        <w:rPr>
          <w:rFonts w:ascii="Arial" w:cs="Arial" w:eastAsia="Arial" w:hAnsi="Arial"/>
          <w:sz w:val="16"/>
          <w:szCs w:val="16"/>
          <w:color w:val="auto"/>
        </w:rPr>
        <w:t>Basic earnings/(losses) per share was calculated by dividing the net profit for the period attributable to the owners of the common shares by the weighted average number of common shares issued and outstanding during the period.</w:t>
      </w:r>
    </w:p>
    <w:p>
      <w:pPr>
        <w:spacing w:after="0" w:line="172" w:lineRule="exact"/>
        <w:rPr>
          <w:sz w:val="20"/>
          <w:szCs w:val="20"/>
          <w:color w:val="auto"/>
        </w:rPr>
      </w:pPr>
    </w:p>
    <w:p>
      <w:pPr>
        <w:ind w:right="140" w:firstLine="356"/>
        <w:spacing w:after="0" w:line="328" w:lineRule="auto"/>
        <w:rPr>
          <w:sz w:val="20"/>
          <w:szCs w:val="20"/>
          <w:color w:val="auto"/>
        </w:rPr>
      </w:pPr>
      <w:r>
        <w:rPr>
          <w:rFonts w:ascii="Arial" w:cs="Arial" w:eastAsia="Arial" w:hAnsi="Arial"/>
          <w:sz w:val="15"/>
          <w:szCs w:val="15"/>
          <w:color w:val="auto"/>
        </w:rPr>
        <w:t>Diluted earnings/(losses)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earnings/(losses) and share data used in the basic and diluted earnings per share computations: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10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742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 2019</w:t>
            </w:r>
          </w:p>
        </w:tc>
        <w:tc>
          <w:tcPr>
            <w:tcW w:w="1300" w:type="dxa"/>
            <w:vAlign w:val="bottom"/>
            <w:gridSpan w:val="2"/>
          </w:tcPr>
          <w:p>
            <w:pPr>
              <w:jc w:val="right"/>
              <w:ind w:right="135"/>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86"/>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 per share</w:t>
            </w:r>
          </w:p>
        </w:tc>
        <w:tc>
          <w:tcPr>
            <w:tcW w:w="1260" w:type="dxa"/>
            <w:vAlign w:val="bottom"/>
            <w:tcBorders>
              <w:top w:val="single" w:sz="8" w:color="auto"/>
            </w:tcBorders>
            <w:shd w:val="clear" w:color="auto" w:fill="E5FFFF"/>
          </w:tcPr>
          <w:p>
            <w:pPr>
              <w:spacing w:after="0"/>
              <w:rPr>
                <w:sz w:val="16"/>
                <w:szCs w:val="16"/>
                <w:color w:val="auto"/>
              </w:rPr>
            </w:pPr>
          </w:p>
        </w:tc>
        <w:tc>
          <w:tcPr>
            <w:tcW w:w="540" w:type="dxa"/>
            <w:vAlign w:val="bottom"/>
            <w:tcBorders>
              <w:top w:val="single" w:sz="8" w:color="E5FFFF"/>
            </w:tcBorders>
            <w:shd w:val="clear" w:color="auto" w:fill="E5FFFF"/>
          </w:tcPr>
          <w:p>
            <w:pPr>
              <w:spacing w:after="0"/>
              <w:rPr>
                <w:sz w:val="16"/>
                <w:szCs w:val="16"/>
                <w:color w:val="auto"/>
              </w:rPr>
            </w:pPr>
          </w:p>
        </w:tc>
        <w:tc>
          <w:tcPr>
            <w:tcW w:w="1280" w:type="dxa"/>
            <w:vAlign w:val="bottom"/>
            <w:tcBorders>
              <w:top w:val="single" w:sz="8" w:color="auto"/>
              <w:right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(10,947)</w:t>
            </w:r>
          </w:p>
        </w:tc>
        <w:tc>
          <w:tcPr>
            <w:tcW w:w="1280" w:type="dxa"/>
            <w:vAlign w:val="bottom"/>
          </w:tcPr>
          <w:p>
            <w:pPr>
              <w:jc w:val="right"/>
              <w:spacing w:after="0"/>
              <w:rPr>
                <w:sz w:val="20"/>
                <w:szCs w:val="20"/>
                <w:color w:val="auto"/>
              </w:rPr>
            </w:pPr>
            <w:r>
              <w:rPr>
                <w:rFonts w:ascii="Arial" w:cs="Arial" w:eastAsia="Arial" w:hAnsi="Arial"/>
                <w:sz w:val="16"/>
                <w:szCs w:val="16"/>
                <w:color w:val="auto"/>
              </w:rPr>
              <w:t>(51,479)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2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280" w:type="dxa"/>
            <w:vAlign w:val="bottom"/>
            <w:tcBorders>
              <w:right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(2,516)</w:t>
            </w:r>
          </w:p>
        </w:tc>
        <w:tc>
          <w:tcPr>
            <w:tcW w:w="1280" w:type="dxa"/>
            <w:vAlign w:val="bottom"/>
          </w:tcPr>
          <w:p>
            <w:pPr>
              <w:jc w:val="right"/>
              <w:spacing w:after="0"/>
              <w:rPr>
                <w:sz w:val="20"/>
                <w:szCs w:val="20"/>
                <w:color w:val="auto"/>
              </w:rPr>
            </w:pPr>
            <w:r>
              <w:rPr>
                <w:rFonts w:ascii="Arial" w:cs="Arial" w:eastAsia="Arial" w:hAnsi="Arial"/>
                <w:sz w:val="16"/>
                <w:szCs w:val="16"/>
                <w:color w:val="auto"/>
              </w:rPr>
              <w:t>(2,516)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available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(13,463)</w:t>
            </w:r>
          </w:p>
        </w:tc>
        <w:tc>
          <w:tcPr>
            <w:tcW w:w="54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(53,995)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5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80,706,008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b w:val="1"/>
                <w:bCs w:val="1"/>
                <w:color w:val="auto"/>
              </w:rPr>
              <w:t>(0.17)</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 per share</w:t>
            </w:r>
          </w:p>
        </w:tc>
        <w:tc>
          <w:tcPr>
            <w:tcW w:w="12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Loss for the period available to owners of the Group used in the calculation of diluted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(13,463)</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(53,995)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54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80,706,008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54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80,706,008</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(0.17</w:t>
            </w:r>
          </w:p>
        </w:tc>
        <w:tc>
          <w:tcPr>
            <w:tcW w:w="540" w:type="dxa"/>
            <w:vAlign w:val="bottom"/>
            <w:shd w:val="clear" w:color="auto" w:fill="E5FFFF"/>
          </w:tcPr>
          <w:p>
            <w:pPr>
              <w:jc w:val="right"/>
              <w:ind w:right="460"/>
              <w:spacing w:after="0"/>
              <w:rPr>
                <w:sz w:val="20"/>
                <w:szCs w:val="20"/>
                <w:color w:val="auto"/>
              </w:rPr>
            </w:pPr>
            <w:r>
              <w:rPr>
                <w:rFonts w:ascii="Arial" w:cs="Arial" w:eastAsia="Arial" w:hAnsi="Arial"/>
                <w:sz w:val="8"/>
                <w:szCs w:val="8"/>
                <w:b w:val="1"/>
                <w:bCs w:val="1"/>
                <w:color w:val="auto"/>
                <w:w w:val="73"/>
              </w:rPr>
              <w:t>)</w:t>
            </w:r>
          </w:p>
        </w:tc>
        <w:tc>
          <w:tcPr>
            <w:tcW w:w="128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399"/>
        <w:spacing w:after="0" w:line="293" w:lineRule="auto"/>
        <w:rPr>
          <w:sz w:val="20"/>
          <w:szCs w:val="20"/>
          <w:color w:val="auto"/>
        </w:rPr>
      </w:pPr>
      <w:r>
        <w:rPr>
          <w:rFonts w:ascii="Arial" w:cs="Arial" w:eastAsia="Arial" w:hAnsi="Arial"/>
          <w:sz w:val="16"/>
          <w:szCs w:val="16"/>
          <w:color w:val="auto"/>
        </w:rPr>
        <w:t>The Group excluded the dilutive effect of 2,611,762 SARs and 366,103 RSUs (March 31, 2019: 2,372,163 SARs and 488,173 RSUs) in calculating diluted EPS for the three months ended March 31, 2020, as they were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Subsequent Events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On April 1, 2020, GasLog took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a 180,000 cbm LNG carrier with X-DF propulsion constructed by Samsung.</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On April 3, 2020, GasLog Partners issued 46,843 common units in connection with the vesting of 25,551 RCUs and 21,292 PCUs under the GasLog Partners’ Plan.</w:t>
      </w:r>
    </w:p>
    <w:p>
      <w:pPr>
        <w:spacing w:after="0" w:line="258" w:lineRule="exact"/>
        <w:rPr>
          <w:sz w:val="20"/>
          <w:szCs w:val="20"/>
          <w:color w:val="auto"/>
        </w:rPr>
      </w:pPr>
    </w:p>
    <w:p>
      <w:pPr>
        <w:ind w:right="360" w:firstLine="356"/>
        <w:spacing w:after="0" w:line="293" w:lineRule="auto"/>
        <w:rPr>
          <w:sz w:val="20"/>
          <w:szCs w:val="20"/>
          <w:color w:val="auto"/>
        </w:rPr>
      </w:pPr>
      <w:r>
        <w:rPr>
          <w:rFonts w:ascii="Arial" w:cs="Arial" w:eastAsia="Arial" w:hAnsi="Arial"/>
          <w:sz w:val="16"/>
          <w:szCs w:val="16"/>
          <w:color w:val="auto"/>
        </w:rPr>
        <w:t>On May 6, 2020, the board of directors declared a quarterly cash dividend of $0.05 per common share payable on May 28, 2020 to shareholders of record as of May 18, 2020.</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40"/>
      </w:cols>
      <w:pgMar w:left="320" w:top="34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3"/>
    </w:lvl>
    <w:lvl w:ilvl="1">
      <w:lvlJc w:val="left"/>
      <w:lvlText w:val="(%2)"/>
      <w:numFmt w:val="decimal"/>
      <w:start w:val="6"/>
    </w:lvl>
  </w:abstractNum>
  <w:abstractNum w:abstractNumId="18">
    <w:nsid w:val="721DA317"/>
    <w:multiLevelType w:val="hybridMultilevel"/>
    <w:lvl w:ilvl="0">
      <w:lvlJc w:val="left"/>
      <w:lvlText w:val="(%1)"/>
      <w:numFmt w:val="decimal"/>
      <w:start w:val="7"/>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lowerLetter"/>
      <w:start w:val="3"/>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2020-05-07T05:51:30Z</dcterms:created>
  <dcterms:modified xsi:type="dcterms:W3CDTF">2020-05-07T05:51:30Z</dcterms:modified>
</cp:coreProperties>
</file>