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For the month of May 2019</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40" w:type="dxa"/>
            <w:vAlign w:val="bottom"/>
          </w:tcPr>
          <w:p>
            <w:pPr>
              <w:spacing w:after="0"/>
              <w:rPr>
                <w:sz w:val="24"/>
                <w:szCs w:val="24"/>
                <w:color w:val="auto"/>
              </w:rPr>
            </w:pPr>
          </w:p>
        </w:tc>
      </w:tr>
      <w:tr>
        <w:trPr>
          <w:trHeight w:val="418"/>
        </w:trPr>
        <w:tc>
          <w:tcPr>
            <w:tcW w:w="9220" w:type="dxa"/>
            <w:vAlign w:val="bottom"/>
          </w:tcPr>
          <w:p>
            <w:pPr>
              <w:jc w:val="center"/>
              <w:ind w:left="2110"/>
              <w:spacing w:after="0"/>
              <w:rPr>
                <w:sz w:val="20"/>
                <w:szCs w:val="20"/>
                <w:color w:val="auto"/>
              </w:rPr>
            </w:pPr>
            <w:r>
              <w:rPr>
                <w:rFonts w:ascii="Arial" w:cs="Arial" w:eastAsia="Arial" w:hAnsi="Arial"/>
                <w:sz w:val="18"/>
                <w:szCs w:val="18"/>
                <w:b w:val="1"/>
                <w:bCs w:val="1"/>
                <w:color w:val="auto"/>
                <w:w w:val="93"/>
              </w:rPr>
              <w:t>GasLog Ltd.</w:t>
            </w:r>
          </w:p>
        </w:tc>
        <w:tc>
          <w:tcPr>
            <w:tcW w:w="2240" w:type="dxa"/>
            <w:vAlign w:val="bottom"/>
          </w:tcPr>
          <w:p>
            <w:pPr>
              <w:spacing w:after="0"/>
              <w:rPr>
                <w:sz w:val="24"/>
                <w:szCs w:val="24"/>
                <w:color w:val="auto"/>
              </w:rPr>
            </w:pPr>
          </w:p>
        </w:tc>
      </w:tr>
      <w:tr>
        <w:trPr>
          <w:trHeight w:val="230"/>
        </w:trPr>
        <w:tc>
          <w:tcPr>
            <w:tcW w:w="9220" w:type="dxa"/>
            <w:vAlign w:val="bottom"/>
          </w:tcPr>
          <w:p>
            <w:pPr>
              <w:jc w:val="center"/>
              <w:ind w:left="2130"/>
              <w:spacing w:after="0"/>
              <w:rPr>
                <w:sz w:val="20"/>
                <w:szCs w:val="20"/>
                <w:color w:val="auto"/>
              </w:rPr>
            </w:pPr>
            <w:r>
              <w:rPr>
                <w:rFonts w:ascii="Arial" w:cs="Arial" w:eastAsia="Arial" w:hAnsi="Arial"/>
                <w:sz w:val="18"/>
                <w:szCs w:val="18"/>
                <w:color w:val="auto"/>
                <w:w w:val="91"/>
              </w:rPr>
              <w:t>(Translation of registrant’s name into English)</w:t>
            </w:r>
          </w:p>
        </w:tc>
        <w:tc>
          <w:tcPr>
            <w:tcW w:w="2240" w:type="dxa"/>
            <w:vAlign w:val="bottom"/>
          </w:tcPr>
          <w:p>
            <w:pPr>
              <w:spacing w:after="0"/>
              <w:rPr>
                <w:sz w:val="20"/>
                <w:szCs w:val="20"/>
                <w:color w:val="auto"/>
              </w:rPr>
            </w:pPr>
          </w:p>
        </w:tc>
      </w:tr>
      <w:tr>
        <w:trPr>
          <w:trHeight w:val="418"/>
        </w:trPr>
        <w:tc>
          <w:tcPr>
            <w:tcW w:w="9220" w:type="dxa"/>
            <w:vAlign w:val="bottom"/>
          </w:tcPr>
          <w:p>
            <w:pPr>
              <w:jc w:val="center"/>
              <w:ind w:left="2130"/>
              <w:spacing w:after="0"/>
              <w:rPr>
                <w:sz w:val="20"/>
                <w:szCs w:val="20"/>
                <w:color w:val="auto"/>
              </w:rPr>
            </w:pPr>
            <w:r>
              <w:rPr>
                <w:rFonts w:ascii="Arial" w:cs="Arial" w:eastAsia="Arial" w:hAnsi="Arial"/>
                <w:sz w:val="18"/>
                <w:szCs w:val="18"/>
                <w:color w:val="auto"/>
                <w:w w:val="92"/>
              </w:rPr>
              <w:t>c/o GasLog Monaco S.A.M.</w:t>
            </w:r>
          </w:p>
        </w:tc>
        <w:tc>
          <w:tcPr>
            <w:tcW w:w="2240" w:type="dxa"/>
            <w:vAlign w:val="bottom"/>
          </w:tcPr>
          <w:p>
            <w:pPr>
              <w:spacing w:after="0"/>
              <w:rPr>
                <w:sz w:val="24"/>
                <w:szCs w:val="24"/>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Gildo Pastor Center</w:t>
            </w:r>
          </w:p>
        </w:tc>
        <w:tc>
          <w:tcPr>
            <w:tcW w:w="2240" w:type="dxa"/>
            <w:vAlign w:val="bottom"/>
          </w:tcPr>
          <w:p>
            <w:pPr>
              <w:spacing w:after="0"/>
              <w:rPr>
                <w:sz w:val="18"/>
                <w:szCs w:val="18"/>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7 Rue du Gabian</w:t>
            </w:r>
          </w:p>
        </w:tc>
        <w:tc>
          <w:tcPr>
            <w:tcW w:w="2240" w:type="dxa"/>
            <w:vAlign w:val="bottom"/>
          </w:tcPr>
          <w:p>
            <w:pPr>
              <w:spacing w:after="0"/>
              <w:rPr>
                <w:sz w:val="18"/>
                <w:szCs w:val="18"/>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MC 98000, Monaco</w:t>
            </w:r>
          </w:p>
        </w:tc>
        <w:tc>
          <w:tcPr>
            <w:tcW w:w="2240" w:type="dxa"/>
            <w:vAlign w:val="bottom"/>
          </w:tcPr>
          <w:p>
            <w:pPr>
              <w:spacing w:after="0"/>
              <w:rPr>
                <w:sz w:val="18"/>
                <w:szCs w:val="18"/>
                <w:color w:val="auto"/>
              </w:rPr>
            </w:pPr>
          </w:p>
        </w:tc>
      </w:tr>
      <w:tr>
        <w:trPr>
          <w:trHeight w:val="230"/>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(Address of principal executive office)</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40" w:type="dxa"/>
            <w:vAlign w:val="bottom"/>
          </w:tcPr>
          <w:p>
            <w:pPr>
              <w:spacing w:after="0"/>
              <w:rPr>
                <w:sz w:val="24"/>
                <w:szCs w:val="24"/>
                <w:color w:val="auto"/>
              </w:rPr>
            </w:pPr>
          </w:p>
        </w:tc>
      </w:tr>
      <w:tr>
        <w:trPr>
          <w:trHeight w:val="452"/>
        </w:trPr>
        <w:tc>
          <w:tcPr>
            <w:tcW w:w="92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40" w:type="dxa"/>
            <w:vAlign w:val="bottom"/>
          </w:tcPr>
          <w:p>
            <w:pPr>
              <w:spacing w:after="0"/>
              <w:rPr>
                <w:sz w:val="24"/>
                <w:szCs w:val="24"/>
                <w:color w:val="auto"/>
              </w:rPr>
            </w:pPr>
          </w:p>
        </w:tc>
      </w:tr>
      <w:tr>
        <w:trPr>
          <w:trHeight w:val="41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r>
      <w:tr>
        <w:trPr>
          <w:trHeight w:val="348"/>
        </w:trPr>
        <w:tc>
          <w:tcPr>
            <w:tcW w:w="92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press release issued by GasLog Ltd. on May 13, 2019 relating to its public offering of senior unsecured notes due 2022 is included as Exhibit 99.1 and is incorporated herein by reference.</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r:id="rId10">
        <w:r>
          <w:rPr>
            <w:rFonts w:ascii="Arial" w:cs="Arial" w:eastAsia="Arial" w:hAnsi="Arial"/>
            <w:sz w:val="15"/>
            <w:szCs w:val="15"/>
            <w:u w:val="single" w:color="auto"/>
            <w:color w:val="0000EE"/>
          </w:rPr>
          <w:t>Press Release dated May 13,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80"/>
          </w:cols>
          <w:pgMar w:left="240" w:top="341" w:right="10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Paul Wogan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45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Public Offering of Senior Notes Due 2022</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MONACO — May 13, 2019 — </w:t>
      </w:r>
      <w:r>
        <w:rPr>
          <w:rFonts w:ascii="Arial" w:cs="Arial" w:eastAsia="Arial" w:hAnsi="Arial"/>
          <w:sz w:val="16"/>
          <w:szCs w:val="16"/>
          <w:color w:val="auto"/>
        </w:rPr>
        <w:t>GasLog Ltd. (“GasLog” or the “Company”) (NYSE:GLOG), an international owner, operator and manager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announced today that it plans to offer an additional $75.0 million aggregate principal amount of its 8.875% Senior Notes due 2022 (the “Notes”) in a public offering under its effective shelf registration statement. The Notes will be an issuance of further notes of the same series under the indenture pursuant to which the Company previously issued $250.0 million aggregate principal amount of the Company’s 8.875% Senior Notes due 2022.</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plans to use the net proceeds from the offering to partially fund the Company’s committed growth capital program and for general corporate purposes, including working capital.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Suisse Securities (USA) LLC, DNB Markets Inc. and Stifel, Nicolaus &amp; Company, Incorporated are acting as joint book-running managers of the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offering is being made only by means of a prospectus supplement and accompanying base prospectus. When available, the prospectus supplement and accompanying base prospectus relating to the offering may be obtained from: Credit Suisse Securities (USA) LLC, Attention: Prospectus Department, One Madison Avenue, New York, New York 10010, telephone: (800) 221-1037, email: usa.prospectus@credit-suisse.com; DNB Markets, Inc., 200 Park Ave, Floor 31, New York, NY 10166, telephone: (212) 681-3800; or Stifel, Nicolaus &amp; Company, Incorporated, Attention: Syndicate Department, One South Street, 15th Floor, Baltimore, MD 21202, telephone: (855) 300-7136, email: syndprospectus@stifel.com.</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 Company’s subsidiary, GasLog Partners. GasLog’s principal executive offices are at Gildo Pastor Center, 7 Rue du Gabian, MC 98000, Monaco.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40" w:hanging="328"/>
        <w:spacing w:after="0" w:line="258" w:lineRule="auto"/>
        <w:tabs>
          <w:tab w:leader="none" w:pos="611"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b w:val="1"/>
          <w:bCs w:val="1"/>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68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such time which may impact the rate at which we can charter such vessels;</w:t>
      </w:r>
    </w:p>
    <w:p>
      <w:pPr>
        <w:spacing w:after="0" w:line="2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60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70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5, 2019 and available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0" Type="http://schemas.openxmlformats.org/officeDocument/2006/relationships/hyperlink" Target="file:///data/convert/a19-9237_3ex99d1.htm#Exhibit99_1_0841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2019-12-02T20:11:50Z</dcterms:created>
  <dcterms:modified xsi:type="dcterms:W3CDTF">2019-12-02T20:11:50Z</dcterms:modified>
</cp:coreProperties>
</file>