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7"/>
          <w:szCs w:val="17"/>
          <w:b w:val="1"/>
          <w:bCs w:val="1"/>
          <w:color w:val="auto"/>
        </w:rPr>
        <w:t>REPORT OF FOREIGN PRIVATE ISSUER PURSUANT TO RULE 13a-16 OR 15d-16 UNDER THE SECURITIES EXCHANGE ACT OF 1934</w:t>
      </w: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April 2023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001-35466</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GasLog Ltd.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 GasLog LNG Services Ltd.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69 Akti Miaouli, 18537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Piraeus, Greece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spacing w:after="0"/>
        <w:tabs>
          <w:tab w:leader="none" w:pos="1080" w:val="left"/>
        </w:tabs>
        <w:rPr>
          <w:sz w:val="20"/>
          <w:szCs w:val="20"/>
          <w:color w:val="auto"/>
        </w:rPr>
      </w:pPr>
      <w:r>
        <w:rPr>
          <w:rFonts w:ascii="Arial" w:cs="Arial" w:eastAsia="Arial" w:hAnsi="Arial"/>
          <w:sz w:val="18"/>
          <w:szCs w:val="18"/>
          <w:color w:val="auto"/>
        </w:rPr>
        <w:t>Form 20-F þ</w:t>
      </w:r>
      <w:r>
        <w:rPr>
          <w:sz w:val="20"/>
          <w:szCs w:val="20"/>
          <w:color w:val="auto"/>
        </w:rPr>
        <w:tab/>
      </w:r>
      <w:r>
        <w:rPr>
          <w:rFonts w:ascii="Arial" w:cs="Arial" w:eastAsia="Arial" w:hAnsi="Arial"/>
          <w:sz w:val="16"/>
          <w:szCs w:val="16"/>
          <w:color w:val="auto"/>
        </w:rPr>
        <w:t>Form 40-F o</w:t>
      </w:r>
    </w:p>
    <w:p>
      <w:pPr>
        <w:sectPr>
          <w:pgSz w:w="11900" w:h="16838" w:orient="portrait"/>
          <w:cols w:equalWidth="0" w:num="1">
            <w:col w:w="11240"/>
          </w:cols>
          <w:pgMar w:left="320" w:top="472" w:right="339" w:bottom="1440" w:gutter="0" w:footer="0" w:header="0"/>
        </w:sectPr>
      </w:pP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3"/>
          <w:szCs w:val="13"/>
          <w:color w:val="auto"/>
        </w:rPr>
        <w:t>o</w:t>
      </w:r>
    </w:p>
    <w:p>
      <w:pPr>
        <w:spacing w:after="0" w:line="234" w:lineRule="exact"/>
        <w:rPr>
          <w:sz w:val="24"/>
          <w:szCs w:val="24"/>
          <w:color w:val="auto"/>
        </w:rPr>
      </w:pPr>
    </w:p>
    <w:p>
      <w:pPr>
        <w:sectPr>
          <w:pgSz w:w="11900" w:h="16838" w:orient="portrait"/>
          <w:cols w:equalWidth="0" w:num="2">
            <w:col w:w="10440" w:space="720"/>
            <w:col w:w="80"/>
          </w:cols>
          <w:pgMar w:left="320" w:top="472" w:right="3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3"/>
          <w:szCs w:val="13"/>
          <w:color w:val="auto"/>
        </w:rPr>
        <w:t>o</w:t>
      </w:r>
    </w:p>
    <w:p>
      <w:pPr>
        <w:sectPr>
          <w:pgSz w:w="11900" w:h="16838" w:orient="portrait"/>
          <w:cols w:equalWidth="0" w:num="2">
            <w:col w:w="10440" w:space="720"/>
            <w:col w:w="80"/>
          </w:cols>
          <w:pgMar w:left="320" w:top="472" w:right="33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6"/>
          <w:szCs w:val="16"/>
          <w:color w:val="auto"/>
        </w:rPr>
        <w:t>The joint press release issued by GasLog Ltd. and GasLog Partners LP on April 6, 2023, is attached hereto as Exhibit 99.1.</w:t>
      </w:r>
    </w:p>
    <w:p>
      <w:pPr>
        <w:spacing w:after="0" w:line="24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EXHIBIT LIST</w:t>
      </w:r>
    </w:p>
    <w:p>
      <w:pPr>
        <w:spacing w:after="0" w:line="25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Joint Press Release Dated April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April 6, 2023</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14605</wp:posOffset>
            </wp:positionV>
            <wp:extent cx="24860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Paolo Enoizi</w:t>
      </w:r>
    </w:p>
    <w:p>
      <w:pPr>
        <w:spacing w:after="0" w:line="23" w:lineRule="exact"/>
        <w:rPr>
          <w:sz w:val="20"/>
          <w:szCs w:val="20"/>
          <w:color w:val="auto"/>
        </w:rPr>
      </w:pPr>
    </w:p>
    <w:p>
      <w:pPr>
        <w:ind w:left="6540"/>
        <w:spacing w:after="0"/>
        <w:tabs>
          <w:tab w:leader="none" w:pos="714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Joint Press Release</w:t>
      </w:r>
    </w:p>
    <w:p>
      <w:pPr>
        <w:spacing w:after="0" w:line="221" w:lineRule="exact"/>
        <w:rPr>
          <w:sz w:val="20"/>
          <w:szCs w:val="20"/>
          <w:color w:val="auto"/>
        </w:rPr>
      </w:pPr>
    </w:p>
    <w:p>
      <w:pPr>
        <w:jc w:val="center"/>
        <w:ind w:left="340" w:right="20"/>
        <w:spacing w:after="0" w:line="282" w:lineRule="auto"/>
        <w:rPr>
          <w:sz w:val="20"/>
          <w:szCs w:val="20"/>
          <w:color w:val="auto"/>
        </w:rPr>
      </w:pPr>
      <w:r>
        <w:rPr>
          <w:rFonts w:ascii="Arial" w:cs="Arial" w:eastAsia="Arial" w:hAnsi="Arial"/>
          <w:sz w:val="18"/>
          <w:szCs w:val="18"/>
          <w:b w:val="1"/>
          <w:bCs w:val="1"/>
          <w:color w:val="auto"/>
        </w:rPr>
        <w:t>GasLog Ltd. and GasLog Partners LP Announce Agreement for the Acquisition by GasLog Ltd. of GasLog Partners LP’s Publicly Held Common Units</w:t>
      </w:r>
    </w:p>
    <w:p>
      <w:pPr>
        <w:spacing w:after="0" w:line="16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Hamilton, Bermuda, and Majuro, Marshall Islands, April 6, 2023, GasLog Ltd. (“GasLog”) (NYSE: GLOG-PA) and GasLog Partners LP (“GasLog Partners” or the “Partnership”) (NYSE: GLOP)</w:t>
      </w:r>
      <w:r>
        <w:rPr>
          <w:rFonts w:ascii="Arial" w:cs="Arial" w:eastAsia="Arial" w:hAnsi="Arial"/>
          <w:sz w:val="18"/>
          <w:szCs w:val="18"/>
          <w:color w:val="auto"/>
        </w:rPr>
        <w:t>, each an international owner and operator of liquefied natural gas (“LNG”) carriers,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that they have entered into a definitive merger agreement pursuant to which GasLog will acquire all of the outstanding common units of the Partnership not beneficially owned by GasLog (the “Transaction”).</w:t>
      </w:r>
    </w:p>
    <w:p>
      <w:pPr>
        <w:spacing w:after="0" w:line="184"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GasLog will acquire the outstanding common units of the Partnership not beneficially owned by GasLog for overall consideration of $8.65 per common unit in cash, consisting in part of a special distribution by the Partnership of $3.28 per common unit in cash that will be distributed to the Partnership’s unitholders in connection with the closing of the Transaction and the remainder to be paid by GasLog as merger consideration at the closing of the Transaction. The overall consideration of $8.65 per common unit represents a 24% premium to the closing price of the Partnership’s common units on January 24, 2023, the last trading day prior to the public disclosure of GasLog’s initial offer, and a 31% premium to the volume weighted average price of the Partnership’s common units over the 30 calendar days prior to January 24, 2023.</w:t>
      </w:r>
    </w:p>
    <w:p>
      <w:pPr>
        <w:spacing w:after="0" w:line="178"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color w:val="auto"/>
        </w:rPr>
        <w:t>The conflicts committee (the “Conflicts Committee”) of the Board of Directors of the Partnership (the “Partnership Board”), comprised solely of independent directors advised by its own independent legal and financial advisors, unanimously recommended that the Partnership Board approve the merger agreement and determined that the Transaction was in the best interests of the Partnership and the holders of its common units unaffiliated with GasLog. Acting upon the recommendation of the Conflicts Committee, the Partnership Board unanimously approved the merger agreement and the Transaction and recommended that the common unitholders of the Partnership vote in favor of the Transaction.</w:t>
      </w:r>
    </w:p>
    <w:p>
      <w:pPr>
        <w:spacing w:after="0" w:line="17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Transaction is expected to close by the end of the third quarter of 2023, subject to approval of the Transaction by holders of a majority of the common units of the Partnership and the satisfaction of certain customary closing conditions. GasLog owns 30.2% of the common units of the Partnership and has entered into a support agreement with the Partnership committing to vote its common units in favor of the merger.</w:t>
      </w:r>
    </w:p>
    <w:p>
      <w:pPr>
        <w:spacing w:after="0" w:line="16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preference units of the Partnership will remain outstanding and continue to trade on the New York Stock Exchange immediately following the completion of the Transaction.</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Evercore is acting as financial advisor to the Conflicts Committee and Richard, Layton &amp; Finger, P.A. is acting as legal counsel to the Conflicts Committee. DNB Markets Inc. is acting as financial advisor to GasLog. Cravath, Swaine &amp; Moore LLP and Cozen O’Connor (Marshall Islands) are acting as legal counsel to GasLog.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such as the closing of the Transaction, that GasLog and the Partnership expect, project, believe or anticipate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including the closing of this Transaction could materially affect future results of operations and the ultimate accuracy of the forward-looking statements. Other factors that might cause future results and outcomes to differ include, but are not limited to, the other risks and uncertainties described in GasLog’s Annual Report on Form 20-F filed with the SEC on March 3, 2023 and the Partnership’s Annual Report on Form 20-F filed with the SEC on March 6, 2023, each available at </w:t>
      </w:r>
      <w:r>
        <w:rPr>
          <w:rFonts w:ascii="Arial" w:cs="Arial" w:eastAsia="Arial" w:hAnsi="Arial"/>
          <w:sz w:val="17"/>
          <w:szCs w:val="17"/>
          <w:u w:val="single" w:color="auto"/>
          <w:color w:val="auto"/>
        </w:rPr>
        <w:t>http://www.sec.gov</w:t>
      </w:r>
      <w:r>
        <w:rPr>
          <w:rFonts w:ascii="Arial" w:cs="Arial" w:eastAsia="Arial" w:hAnsi="Arial"/>
          <w:sz w:val="17"/>
          <w:szCs w:val="17"/>
          <w:color w:val="auto"/>
        </w:rPr>
        <w:t>. Accordingly, you should not unduly rely on any forward-looking statements.</w:t>
      </w:r>
    </w:p>
    <w:p>
      <w:pPr>
        <w:spacing w:after="0" w:line="18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ind w:right="300"/>
        <w:spacing w:after="0" w:line="277" w:lineRule="auto"/>
        <w:rPr>
          <w:sz w:val="20"/>
          <w:szCs w:val="20"/>
          <w:color w:val="auto"/>
        </w:rPr>
      </w:pPr>
      <w:r>
        <w:rPr>
          <w:rFonts w:ascii="Arial" w:cs="Arial" w:eastAsia="Arial" w:hAnsi="Arial"/>
          <w:sz w:val="18"/>
          <w:szCs w:val="18"/>
          <w:color w:val="auto"/>
        </w:rPr>
        <w:t>our business or the extent to which any factor, or combination of factors, may cause actual results to be materially different from those contained in any forward-looking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Robert Brinberg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Rose &amp;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+1 212-517-0810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gaslog@roseandco.com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Achilleas Tasioulas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+30 210 2209842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2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 xml:space="preserve">GasLog Partners is an owner, operator and acquirer of LNG carriers. The Partnership’s fleet consists of eleven wholly-owned LNG carriers as well as three vessels on bareboat charters, with an average carrying capacity of approximately 159,000 cbm. GasLog Partners is a publicly traded master limited partnership (NYSE: GLOP) but has elected to be treated as a C corporation for U.S. income tax purposes and therefore its investors receive an Internal Revenue Service Form 1099 with respect to any distributions declared and received. Visit GasLog Partners’ website at </w:t>
      </w:r>
      <w:r>
        <w:rPr>
          <w:rFonts w:ascii="Arial" w:cs="Arial" w:eastAsia="Arial" w:hAnsi="Arial"/>
          <w:sz w:val="16"/>
          <w:szCs w:val="16"/>
          <w:u w:val="single" w:color="auto"/>
          <w:color w:val="auto"/>
        </w:rPr>
        <w:t>http://www.gaslogmlp.com</w:t>
      </w:r>
      <w:r>
        <w:rPr>
          <w:rFonts w:ascii="Arial" w:cs="Arial" w:eastAsia="Arial" w:hAnsi="Arial"/>
          <w:sz w:val="16"/>
          <w:szCs w:val="16"/>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fleet consists of 38 LNG carriers (33 on the water, four under construction and one vessel undergoing conversion into a floating storage and regasification unit, or “FSRU”). Of these vessels, 18 are owned by GasLog, six have been sold and leased back by GasLog under long-term bareboat charters and of the remaining 14 LNG carriers, eleven are owned by the Company’s subsidiary, GasLog Partners LP, and three have been sold and leased back by GasLog Partners LP.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press release is not an offering of securities for sale in any jurisdiction.</w:t>
      </w:r>
    </w:p>
    <w:p>
      <w:pPr>
        <w:spacing w:after="0" w:line="22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 xml:space="preserve">Certain participants in the Transaction will prepare and file with the SEC a Schedule 13E-3 Transaction Statement, which will contain important information on GasLog Partners, GasLog, the Transaction and related matters, including the terms and conditions of the Transaction. Unitholders of GasLog Partners are urged to carefully read these documents, as they may be amended from time to time, before making any decision with respect to the Transaction. The Schedule 13E-3 and all other documents filed with the SEC in connection with the Transaction will be available when filed, free of charge, on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In addition, these documents will be made available, free of charge, to unitholders of GasLog Partners who make a written request to the investor contact above. This announcement is neither a solicitation of a proxy, an offer to purchase nor a solicitation of an offer to sell any securities and it is not a substitute for any filings that may be made with the SEC should the Transaction proceed.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2023-04-06T15:28:56Z</dcterms:created>
  <dcterms:modified xsi:type="dcterms:W3CDTF">2023-04-06T15:28:56Z</dcterms:modified>
</cp:coreProperties>
</file>