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color w:val="000000"/>
          <w:sz w:val="20"/>
        </w:rPr>
      </w:pPr>
      <w:bookmarkStart w:id="0" w:name="posam.htm"/>
      <w:bookmarkStart w:id="1" w:name="ksposam"/>
      <w:bookmarkEnd w:id="0"/>
      <w:bookmarkEnd w:id="1"/>
      <w:r>
        <w:rPr>
          <w:rFonts w:ascii="Times New Roman" w:hAnsi="Times New Roman"/>
          <w:color w:val="000000"/>
          <w:sz w:val="20"/>
        </w:rPr>
        <w:t>As filed with the Securities and Exchange Commission on December 8, 2023.</w:t>
      </w:r>
    </w:p>
    <w:p>
      <w:pPr>
        <w:pStyle w:val="TextBody"/>
        <w:bidi w:val="0"/>
        <w:spacing w:before="0" w:after="0"/>
        <w:jc w:val="right"/>
        <w:rPr>
          <w:rFonts w:ascii="Times New Roman" w:hAnsi="Times New Roman"/>
          <w:b/>
          <w:color w:val="231F20"/>
          <w:sz w:val="20"/>
        </w:rPr>
      </w:pPr>
      <w:r>
        <w:rPr>
          <w:rFonts w:ascii="Times New Roman" w:hAnsi="Times New Roman"/>
          <w:b/>
          <w:color w:val="231F20"/>
          <w:sz w:val="20"/>
        </w:rPr>
        <w:t>Registration No. 333-188817</w:t>
      </w:r>
    </w:p>
    <w:p>
      <w:pPr>
        <w:pStyle w:val="TextBody"/>
        <w:bidi w:val="0"/>
        <w:spacing w:before="0" w:after="0"/>
        <w:jc w:val="right"/>
        <w:rPr>
          <w:rFonts w:ascii="Times New Roman" w:hAnsi="Times New Roman"/>
          <w:b/>
          <w:color w:val="231F20"/>
          <w:sz w:val="20"/>
        </w:rPr>
      </w:pPr>
      <w:r>
        <w:rPr>
          <w:rFonts w:ascii="Times New Roman" w:hAnsi="Times New Roman"/>
          <w:b/>
          <w:color w:val="231F20"/>
          <w:sz w:val="20"/>
        </w:rPr>
        <w:t>Registration No. 333-194894</w:t>
      </w:r>
    </w:p>
    <w:p>
      <w:pPr>
        <w:pStyle w:val="HorizontalLine"/>
        <w:bidi w:val="0"/>
        <w:jc w:val="right"/>
        <w:rPr/>
      </w:pPr>
      <w:r>
        <w:rPr/>
      </w:r>
    </w:p>
    <w:p>
      <w:pPr>
        <w:pStyle w:val="TextBody"/>
        <w:bidi w:val="0"/>
        <w:spacing w:before="0" w:after="0"/>
        <w:jc w:val="center"/>
        <w:rPr>
          <w:rFonts w:ascii="Times New Roman" w:hAnsi="Times New Roman"/>
          <w:b/>
          <w:color w:val="231F20"/>
          <w:sz w:val="36"/>
        </w:rPr>
      </w:pPr>
      <w:r>
        <w:rPr>
          <w:rFonts w:ascii="Times New Roman" w:hAnsi="Times New Roman"/>
          <w:b/>
          <w:color w:val="231F20"/>
          <w:sz w:val="36"/>
        </w:rPr>
        <w:t>UNITED STATES</w:t>
      </w:r>
    </w:p>
    <w:p>
      <w:pPr>
        <w:pStyle w:val="TextBody"/>
        <w:bidi w:val="0"/>
        <w:spacing w:before="0" w:after="0"/>
        <w:jc w:val="center"/>
        <w:rPr>
          <w:rFonts w:ascii="Times New Roman" w:hAnsi="Times New Roman"/>
          <w:b/>
          <w:color w:val="231F20"/>
          <w:sz w:val="36"/>
        </w:rPr>
      </w:pPr>
      <w:r>
        <w:rPr>
          <w:rFonts w:ascii="Times New Roman" w:hAnsi="Times New Roman"/>
          <w:b/>
          <w:color w:val="231F20"/>
          <w:sz w:val="36"/>
        </w:rPr>
        <w:t>SECURITIES AND EXCHANGE COMMISSION</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WASHINGTON, D.C. 20549</w:t>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POST-EFFECTIVE AMENDMENT NO. 1 TO:</w:t>
      </w:r>
    </w:p>
    <w:p>
      <w:pPr>
        <w:pStyle w:val="TextBody"/>
        <w:bidi w:val="0"/>
        <w:spacing w:before="0" w:after="0"/>
        <w:jc w:val="center"/>
        <w:rPr>
          <w:rFonts w:ascii="Times New Roman" w:hAnsi="Times New Roman"/>
          <w:b/>
          <w:smallCaps/>
          <w:color w:val="000000"/>
          <w:sz w:val="36"/>
        </w:rPr>
      </w:pPr>
      <w:r>
        <w:rPr>
          <w:rFonts w:ascii="Times New Roman" w:hAnsi="Times New Roman"/>
          <w:b/>
          <w:smallCaps/>
          <w:color w:val="000000"/>
          <w:sz w:val="36"/>
        </w:rPr>
        <w:t>Form F-3</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REGISTRATION STATEMENT NO. 188817</w:t>
      </w:r>
    </w:p>
    <w:p>
      <w:pPr>
        <w:pStyle w:val="TextBody"/>
        <w:bidi w:val="0"/>
        <w:spacing w:before="0" w:after="0"/>
        <w:jc w:val="left"/>
        <w:rPr/>
      </w:pPr>
      <w:r>
        <w:rPr/>
      </w:r>
    </w:p>
    <w:p>
      <w:pPr>
        <w:pStyle w:val="TextBody"/>
        <w:bidi w:val="0"/>
        <w:spacing w:before="0" w:after="0"/>
        <w:jc w:val="center"/>
        <w:rPr>
          <w:rFonts w:ascii="Times New Roman" w:hAnsi="Times New Roman"/>
          <w:b/>
          <w:smallCaps/>
          <w:color w:val="000000"/>
          <w:sz w:val="36"/>
        </w:rPr>
      </w:pPr>
      <w:r>
        <w:rPr>
          <w:rFonts w:ascii="Times New Roman" w:hAnsi="Times New Roman"/>
          <w:b/>
          <w:smallCaps/>
          <w:color w:val="000000"/>
          <w:sz w:val="36"/>
        </w:rPr>
        <w:t>Form F-3</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REGISTRATION STATEMENT NO. 194894</w:t>
      </w:r>
    </w:p>
    <w:p>
      <w:pPr>
        <w:pStyle w:val="TextBody"/>
        <w:bidi w:val="0"/>
        <w:spacing w:before="0" w:after="0"/>
        <w:jc w:val="left"/>
        <w:rPr/>
      </w:pPr>
      <w:r>
        <w:rPr/>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UNDER</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THE SECURITIES ACT OF 1933</w:t>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color w:val="231F20"/>
          <w:sz w:val="48"/>
        </w:rPr>
      </w:pPr>
      <w:r>
        <w:rPr>
          <w:rFonts w:ascii="Times New Roman" w:hAnsi="Times New Roman"/>
          <w:b/>
          <w:color w:val="231F20"/>
          <w:sz w:val="48"/>
        </w:rPr>
        <w:t>GasLog Ltd.</w:t>
      </w:r>
    </w:p>
    <w:p>
      <w:pPr>
        <w:pStyle w:val="TextBody"/>
        <w:bidi w:val="0"/>
        <w:spacing w:before="0" w:after="0"/>
        <w:jc w:val="center"/>
        <w:rPr>
          <w:rFonts w:ascii="Times New Roman" w:hAnsi="Times New Roman"/>
          <w:b/>
          <w:color w:val="231F20"/>
          <w:sz w:val="16"/>
        </w:rPr>
      </w:pPr>
      <w:r>
        <w:rPr>
          <w:rFonts w:ascii="Times New Roman" w:hAnsi="Times New Roman"/>
          <w:b/>
          <w:color w:val="231F20"/>
          <w:sz w:val="16"/>
        </w:rPr>
        <w:t>(Exact Name of Registrant as Specified in its Charter)</w:t>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Not Applicable</w:t>
      </w:r>
    </w:p>
    <w:p>
      <w:pPr>
        <w:pStyle w:val="TextBody"/>
        <w:bidi w:val="0"/>
        <w:spacing w:before="0" w:after="0"/>
        <w:jc w:val="center"/>
        <w:rPr>
          <w:rFonts w:ascii="Times New Roman" w:hAnsi="Times New Roman"/>
          <w:b/>
          <w:color w:val="231F20"/>
          <w:sz w:val="16"/>
        </w:rPr>
      </w:pPr>
      <w:r>
        <w:rPr>
          <w:rFonts w:ascii="Times New Roman" w:hAnsi="Times New Roman"/>
          <w:b/>
          <w:color w:val="231F20"/>
          <w:sz w:val="16"/>
        </w:rPr>
        <w:t>(Translation of Registrant’s Name into English)</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zf4c8ac2e33c64de3a57cc46947b036c8"/>
      <w:bookmarkStart w:id="3" w:name="zf4c8ac2e33c64de3a57cc46947b036c8"/>
      <w:bookmarkEnd w:id="3"/>
    </w:p>
    <w:tbl>
      <w:tblPr>
        <w:tblW w:w="4705" w:type="dxa"/>
        <w:jc w:val="left"/>
        <w:tblInd w:w="0" w:type="dxa"/>
        <w:tblLayout w:type="fixed"/>
        <w:tblCellMar>
          <w:top w:w="0" w:type="dxa"/>
          <w:left w:w="0" w:type="dxa"/>
          <w:bottom w:w="0" w:type="dxa"/>
          <w:right w:w="0" w:type="dxa"/>
        </w:tblCellMar>
      </w:tblPr>
      <w:tblGrid>
        <w:gridCol w:w="2930"/>
        <w:gridCol w:w="1775"/>
      </w:tblGrid>
      <w:tr>
        <w:trPr/>
        <w:tc>
          <w:tcPr>
            <w:tcW w:w="2930" w:type="dxa"/>
            <w:tcBorders/>
            <w:vAlign w:val="center"/>
          </w:tcPr>
          <w:p>
            <w:pPr>
              <w:pStyle w:val="TableContents"/>
              <w:bidi w:val="0"/>
              <w:spacing w:before="0" w:after="0"/>
              <w:jc w:val="center"/>
              <w:rPr>
                <w:b/>
                <w:color w:val="231F20"/>
              </w:rPr>
            </w:pPr>
            <w:r>
              <w:rPr>
                <w:b/>
                <w:color w:val="231F20"/>
              </w:rPr>
              <w:t>Bermuda</w:t>
            </w:r>
          </w:p>
          <w:p>
            <w:pPr>
              <w:pStyle w:val="TableContents"/>
              <w:bidi w:val="0"/>
              <w:spacing w:before="0" w:after="0"/>
              <w:jc w:val="center"/>
              <w:rPr>
                <w:color w:val="231F20"/>
              </w:rPr>
            </w:pPr>
            <w:r>
              <w:rPr>
                <w:color w:val="231F20"/>
              </w:rPr>
              <w:t>(State or other Jurisdiction of</w:t>
            </w:r>
          </w:p>
          <w:p>
            <w:pPr>
              <w:pStyle w:val="TableContents"/>
              <w:bidi w:val="0"/>
              <w:spacing w:before="0" w:after="0"/>
              <w:jc w:val="center"/>
              <w:rPr>
                <w:color w:val="231F20"/>
              </w:rPr>
            </w:pPr>
            <w:r>
              <w:rPr>
                <w:color w:val="231F20"/>
              </w:rPr>
              <w:t>Incorporation or Organization)</w:t>
            </w:r>
          </w:p>
        </w:tc>
        <w:tc>
          <w:tcPr>
            <w:tcW w:w="1775" w:type="dxa"/>
            <w:tcBorders/>
            <w:vAlign w:val="center"/>
          </w:tcPr>
          <w:p>
            <w:pPr>
              <w:pStyle w:val="TableContents"/>
              <w:bidi w:val="0"/>
              <w:spacing w:before="0" w:after="0"/>
              <w:jc w:val="center"/>
              <w:rPr>
                <w:b/>
                <w:color w:val="231F20"/>
              </w:rPr>
            </w:pPr>
            <w:r>
              <w:rPr>
                <w:b/>
                <w:color w:val="231F20"/>
              </w:rPr>
              <w:t>N/A</w:t>
            </w:r>
          </w:p>
          <w:p>
            <w:pPr>
              <w:pStyle w:val="TableContents"/>
              <w:bidi w:val="0"/>
              <w:spacing w:before="0" w:after="0"/>
              <w:jc w:val="center"/>
              <w:rPr>
                <w:color w:val="231F20"/>
              </w:rPr>
            </w:pPr>
            <w:r>
              <w:rPr>
                <w:color w:val="231F20"/>
              </w:rPr>
              <w:t>(I.R.S. Employer</w:t>
            </w:r>
          </w:p>
          <w:p>
            <w:pPr>
              <w:pStyle w:val="TableContents"/>
              <w:bidi w:val="0"/>
              <w:spacing w:before="0" w:after="0"/>
              <w:jc w:val="center"/>
              <w:rPr>
                <w:color w:val="231F20"/>
              </w:rPr>
            </w:pPr>
            <w:r>
              <w:rPr>
                <w:color w:val="231F20"/>
              </w:rPr>
              <w:t>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GasLog Ltd.</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c/o GasLog LNG Services Ltd</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69 Akti Miaouli</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18537 Piraeus Greece</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+30 210 459 1000</w:t>
      </w:r>
    </w:p>
    <w:p>
      <w:pPr>
        <w:pStyle w:val="TextBody"/>
        <w:bidi w:val="0"/>
        <w:spacing w:before="0" w:after="0"/>
        <w:jc w:val="center"/>
        <w:rPr>
          <w:rFonts w:ascii="Times New Roman" w:hAnsi="Times New Roman"/>
          <w:b/>
          <w:color w:val="231F20"/>
          <w:sz w:val="16"/>
        </w:rPr>
      </w:pPr>
      <w:r>
        <w:rPr>
          <w:rFonts w:ascii="Times New Roman" w:hAnsi="Times New Roman"/>
          <w:b/>
          <w:color w:val="231F20"/>
          <w:sz w:val="16"/>
        </w:rPr>
        <w:t>(Address and telephone number of Registrant’s principal executive offices)</w:t>
      </w:r>
    </w:p>
    <w:p>
      <w:pPr>
        <w:pStyle w:val="TextBody"/>
        <w:bidi w:val="0"/>
        <w:spacing w:before="0" w:after="0"/>
        <w:jc w:val="left"/>
        <w:rPr/>
      </w:pPr>
      <w:r>
        <w:rPr/>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Puglisi &amp; Associates</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850 Library Avenue, Suite 204</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Newark, Delaware 19711</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(302) 738-6680</w:t>
      </w:r>
    </w:p>
    <w:p>
      <w:pPr>
        <w:pStyle w:val="TextBody"/>
        <w:bidi w:val="0"/>
        <w:spacing w:before="0" w:after="0"/>
        <w:jc w:val="center"/>
        <w:rPr>
          <w:rFonts w:ascii="Times New Roman" w:hAnsi="Times New Roman"/>
          <w:b/>
          <w:color w:val="231F20"/>
          <w:sz w:val="16"/>
        </w:rPr>
      </w:pPr>
      <w:r>
        <w:rPr>
          <w:rFonts w:ascii="Times New Roman" w:hAnsi="Times New Roman"/>
          <w:b/>
          <w:color w:val="231F20"/>
          <w:sz w:val="16"/>
        </w:rPr>
        <w:t>(Name, address and telephone number of agent for service)</w:t>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i/>
          <w:color w:val="231F20"/>
          <w:sz w:val="20"/>
        </w:rPr>
      </w:pPr>
      <w:r>
        <w:rPr>
          <w:rFonts w:ascii="Times New Roman" w:hAnsi="Times New Roman"/>
          <w:b/>
          <w:i/>
          <w:color w:val="231F20"/>
          <w:sz w:val="20"/>
        </w:rPr>
        <w:t>With copies to:</w:t>
      </w:r>
    </w:p>
    <w:p>
      <w:pPr>
        <w:pStyle w:val="TextBody"/>
        <w:bidi w:val="0"/>
        <w:spacing w:before="0" w:after="0"/>
        <w:jc w:val="left"/>
        <w:rPr/>
      </w:pPr>
      <w:r>
        <w:rPr/>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D. Scott Bennett, Esq.</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Cravath, Swaine &amp; Moore LLP</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Worldwide Plaza</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825 Eighth Avenue</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New York, New York 10019</w:t>
      </w:r>
    </w:p>
    <w:p>
      <w:pPr>
        <w:pStyle w:val="TextBody"/>
        <w:bidi w:val="0"/>
        <w:spacing w:before="0" w:after="0"/>
        <w:jc w:val="center"/>
        <w:rPr>
          <w:rFonts w:ascii="Times New Roman" w:hAnsi="Times New Roman"/>
          <w:b/>
          <w:color w:val="231F20"/>
          <w:sz w:val="20"/>
        </w:rPr>
      </w:pPr>
      <w:r>
        <w:rPr>
          <w:rFonts w:ascii="Times New Roman" w:hAnsi="Times New Roman"/>
          <w:b/>
          <w:color w:val="231F20"/>
          <w:sz w:val="20"/>
        </w:rPr>
        <w:t>(212) 474-1000</w:t>
      </w:r>
    </w:p>
    <w:p>
      <w:pPr>
        <w:pStyle w:val="HorizontalLine"/>
        <w:pBdr>
          <w:bottom w:val="single" w:sz="12" w:space="0" w:color="808080"/>
        </w:pBdr>
        <w:bidi w:val="0"/>
        <w:jc w:val="left"/>
        <w:rPr/>
      </w:pPr>
      <w:r>
        <w:rPr/>
      </w:r>
    </w:p>
    <w:p>
      <w:pPr>
        <w:pStyle w:val="TextBody"/>
        <w:bidi w:val="0"/>
        <w:spacing w:before="0" w:after="0"/>
        <w:ind w:left="0" w:right="0" w:firstLine="360"/>
        <w:jc w:val="left"/>
        <w:rPr>
          <w:rFonts w:ascii="Times New Roman" w:hAnsi="Times New Roman"/>
          <w:color w:val="231F20"/>
          <w:sz w:val="20"/>
        </w:rPr>
      </w:pPr>
      <w:r>
        <w:rPr>
          <w:rFonts w:ascii="Times New Roman" w:hAnsi="Times New Roman"/>
          <w:i/>
          <w:color w:val="231F20"/>
          <w:sz w:val="20"/>
        </w:rPr>
        <w:t xml:space="preserve">Approximate Date of Commencement of Proposed Sale of the Securities to the Public: </w:t>
      </w:r>
      <w:r>
        <w:rPr>
          <w:rFonts w:ascii="Times New Roman" w:hAnsi="Times New Roman"/>
          <w:color w:val="231F20"/>
          <w:sz w:val="20"/>
        </w:rPr>
        <w:t>Not Applicable</w:t>
      </w:r>
    </w:p>
    <w:p>
      <w:pPr>
        <w:pStyle w:val="TextBody"/>
        <w:bidi w:val="0"/>
        <w:spacing w:before="0" w:after="0"/>
        <w:jc w:val="left"/>
        <w:rPr>
          <w:sz w:val="12"/>
        </w:rPr>
      </w:pPr>
      <w:r>
        <w:rPr>
          <w:sz w:val="12"/>
        </w:rPr>
      </w:r>
    </w:p>
    <w:p>
      <w:pPr>
        <w:pStyle w:val="TextBody"/>
        <w:bidi w:val="0"/>
        <w:spacing w:before="0" w:after="0"/>
        <w:ind w:left="0" w:right="0" w:firstLine="360"/>
        <w:jc w:val="left"/>
        <w:rPr>
          <w:rFonts w:ascii="Times New Roman" w:hAnsi="Times New Roman"/>
          <w:color w:val="231F20"/>
          <w:sz w:val="20"/>
        </w:rPr>
      </w:pPr>
      <w:r>
        <w:rPr>
          <w:rFonts w:ascii="Times New Roman" w:hAnsi="Times New Roman"/>
          <w:color w:val="231F20"/>
          <w:sz w:val="20"/>
        </w:rPr>
        <w:t>If only securities being registered on this Form are being offered pursuant to dividend or interest reinvestment plans, please check the following box. ☐</w:t>
      </w:r>
    </w:p>
    <w:p>
      <w:pPr>
        <w:pStyle w:val="TextBody"/>
        <w:bidi w:val="0"/>
        <w:spacing w:before="0" w:after="0"/>
        <w:jc w:val="left"/>
        <w:rPr>
          <w:sz w:val="12"/>
        </w:rPr>
      </w:pPr>
      <w:r>
        <w:rPr>
          <w:sz w:val="12"/>
        </w:rPr>
      </w:r>
    </w:p>
    <w:p>
      <w:pPr>
        <w:pStyle w:val="TextBody"/>
        <w:bidi w:val="0"/>
        <w:spacing w:before="0" w:after="0"/>
        <w:ind w:left="0" w:right="0" w:firstLine="360"/>
        <w:jc w:val="left"/>
        <w:rPr>
          <w:rFonts w:ascii="Times New Roman" w:hAnsi="Times New Roman"/>
          <w:color w:val="231F20"/>
          <w:sz w:val="20"/>
        </w:rPr>
      </w:pPr>
      <w:r>
        <w:rPr>
          <w:rFonts w:ascii="Times New Roman" w:hAnsi="Times New Roman"/>
          <w:color w:val="231F20"/>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jc w:val="left"/>
        <w:rPr>
          <w:sz w:val="12"/>
        </w:rPr>
      </w:pPr>
      <w:r>
        <w:rPr>
          <w:sz w:val="12"/>
        </w:rPr>
      </w:r>
    </w:p>
    <w:p>
      <w:pPr>
        <w:pStyle w:val="TextBody"/>
        <w:bidi w:val="0"/>
        <w:spacing w:before="0" w:after="0"/>
        <w:ind w:left="0" w:right="0" w:firstLine="360"/>
        <w:jc w:val="left"/>
        <w:rPr>
          <w:rFonts w:ascii="Times New Roman" w:hAnsi="Times New Roman"/>
          <w:color w:val="231F20"/>
          <w:sz w:val="20"/>
        </w:rPr>
      </w:pPr>
      <w:r>
        <w:rPr>
          <w:rFonts w:ascii="Times New Roman" w:hAnsi="Times New Roman"/>
          <w:color w:val="231F20"/>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jc w:val="left"/>
        <w:rPr>
          <w:sz w:val="12"/>
        </w:rPr>
      </w:pPr>
      <w:r>
        <w:rPr>
          <w:sz w:val="12"/>
        </w:rPr>
      </w:r>
    </w:p>
    <w:p>
      <w:pPr>
        <w:pStyle w:val="TextBody"/>
        <w:bidi w:val="0"/>
        <w:spacing w:before="0" w:after="0"/>
        <w:ind w:left="0" w:right="0" w:firstLine="360"/>
        <w:jc w:val="left"/>
        <w:rPr>
          <w:rFonts w:ascii="Times New Roman" w:hAnsi="Times New Roman"/>
          <w:color w:val="231F20"/>
          <w:sz w:val="20"/>
        </w:rPr>
      </w:pPr>
      <w:r>
        <w:rPr>
          <w:rFonts w:ascii="Times New Roman" w:hAnsi="Times New Roman"/>
          <w:color w:val="231F20"/>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jc w:val="left"/>
        <w:rPr>
          <w:sz w:val="12"/>
        </w:rPr>
      </w:pPr>
      <w:r>
        <w:rPr>
          <w:sz w:val="12"/>
        </w:rPr>
      </w:r>
    </w:p>
    <w:p>
      <w:pPr>
        <w:pStyle w:val="TextBody"/>
        <w:bidi w:val="0"/>
        <w:spacing w:before="0" w:after="0"/>
        <w:ind w:left="0" w:right="0" w:firstLine="360"/>
        <w:jc w:val="left"/>
        <w:rPr>
          <w:rFonts w:ascii="Times New Roman" w:hAnsi="Times New Roman"/>
          <w:color w:val="231F20"/>
          <w:sz w:val="20"/>
        </w:rPr>
      </w:pPr>
      <w:r>
        <w:rPr>
          <w:rFonts w:ascii="Times New Roman" w:hAnsi="Times New Roman"/>
          <w:color w:val="231F20"/>
          <w:sz w:val="20"/>
        </w:rPr>
        <w:t>If this Form is a registration statement pursuant to General Instruction I.C. or a post-effective amendment thereto that shall become effective upon filing with the Commission pursuant to Rule 462(e) under the Securities Act, check the following box. ☐</w:t>
      </w:r>
    </w:p>
    <w:p>
      <w:pPr>
        <w:pStyle w:val="TextBody"/>
        <w:bidi w:val="0"/>
        <w:spacing w:before="0" w:after="0"/>
        <w:jc w:val="left"/>
        <w:rPr>
          <w:sz w:val="12"/>
        </w:rPr>
      </w:pPr>
      <w:r>
        <w:rPr>
          <w:sz w:val="12"/>
        </w:rPr>
      </w:r>
    </w:p>
    <w:p>
      <w:pPr>
        <w:pStyle w:val="TextBody"/>
        <w:bidi w:val="0"/>
        <w:spacing w:before="0" w:after="0"/>
        <w:ind w:left="0" w:right="0" w:firstLine="360"/>
        <w:jc w:val="left"/>
        <w:rPr>
          <w:rFonts w:ascii="Times New Roman" w:hAnsi="Times New Roman"/>
          <w:color w:val="000000"/>
          <w:sz w:val="20"/>
        </w:rPr>
      </w:pPr>
      <w:r>
        <w:rPr>
          <w:rFonts w:ascii="Times New Roman" w:hAnsi="Times New Roman"/>
          <w:color w:val="231F20"/>
          <w:sz w:val="20"/>
        </w:rPr>
        <w:t>If this Form is a post-effective amendment to a registration statement filed pursuant to General Instruction</w:t>
      </w:r>
      <w:r>
        <w:rPr>
          <w:rFonts w:ascii="Times New Roman" w:hAnsi="Times New Roman"/>
          <w:color w:val="000000"/>
          <w:sz w:val="20"/>
        </w:rPr>
        <w:t> </w:t>
      </w:r>
      <w:r>
        <w:rPr>
          <w:rFonts w:ascii="Times New Roman" w:hAnsi="Times New Roman"/>
          <w:color w:val="231F20"/>
          <w:sz w:val="20"/>
        </w:rPr>
        <w:t>I.C. filed to register additional securities or additional classes of securities pursuant to Rule 413(b) under the Securities Act, check the following box. ☐</w:t>
      </w:r>
    </w:p>
    <w:p>
      <w:pPr>
        <w:pStyle w:val="TextBody"/>
        <w:bidi w:val="0"/>
        <w:spacing w:before="0" w:after="0"/>
        <w:jc w:val="left"/>
        <w:rPr>
          <w:sz w:val="12"/>
        </w:rPr>
      </w:pPr>
      <w:r>
        <w:rPr>
          <w:sz w:val="12"/>
        </w:rPr>
      </w:r>
    </w:p>
    <w:p>
      <w:pPr>
        <w:pStyle w:val="TextBody"/>
        <w:bidi w:val="0"/>
        <w:spacing w:before="0" w:after="0"/>
        <w:ind w:left="0" w:right="0" w:firstLine="360"/>
        <w:jc w:val="left"/>
        <w:rPr>
          <w:rFonts w:ascii="Times New Roman" w:hAnsi="Times New Roman"/>
          <w:color w:val="231F20"/>
          <w:sz w:val="20"/>
        </w:rPr>
      </w:pPr>
      <w:r>
        <w:rPr>
          <w:rFonts w:ascii="Times New Roman" w:hAnsi="Times New Roman"/>
          <w:color w:val="231F20"/>
          <w:sz w:val="20"/>
        </w:rPr>
        <w:t>Indicate by check mark whether the registrant is an emerging growth company as defined in Rule 405 of the Securities Act of 1933.</w:t>
      </w:r>
    </w:p>
    <w:p>
      <w:pPr>
        <w:pStyle w:val="TextBody"/>
        <w:bidi w:val="0"/>
        <w:spacing w:before="0" w:after="0"/>
        <w:jc w:val="left"/>
        <w:rPr>
          <w:sz w:val="12"/>
        </w:rPr>
      </w:pPr>
      <w:r>
        <w:rPr>
          <w:sz w:val="12"/>
        </w:rPr>
      </w:r>
    </w:p>
    <w:p>
      <w:pPr>
        <w:pStyle w:val="TextBody"/>
        <w:bidi w:val="0"/>
        <w:spacing w:before="0" w:after="0"/>
        <w:ind w:left="0" w:right="0" w:firstLine="360"/>
        <w:jc w:val="right"/>
        <w:rPr>
          <w:rFonts w:ascii="Times New Roman" w:hAnsi="Times New Roman"/>
          <w:color w:val="231F20"/>
          <w:sz w:val="20"/>
        </w:rPr>
      </w:pPr>
      <w:r>
        <w:rPr>
          <w:rFonts w:ascii="Times New Roman" w:hAnsi="Times New Roman"/>
          <w:color w:val="231F20"/>
          <w:sz w:val="20"/>
        </w:rPr>
        <w:t>Emerging growth company ☐</w:t>
      </w:r>
    </w:p>
    <w:p>
      <w:pPr>
        <w:pStyle w:val="TextBody"/>
        <w:bidi w:val="0"/>
        <w:spacing w:before="0" w:after="0"/>
        <w:jc w:val="left"/>
        <w:rPr>
          <w:sz w:val="12"/>
        </w:rPr>
      </w:pPr>
      <w:r>
        <w:rPr>
          <w:sz w:val="12"/>
        </w:rPr>
      </w:r>
    </w:p>
    <w:p>
      <w:pPr>
        <w:pStyle w:val="TextBody"/>
        <w:bidi w:val="0"/>
        <w:spacing w:before="0" w:after="0"/>
        <w:ind w:left="0" w:right="0" w:firstLine="360"/>
        <w:jc w:val="left"/>
        <w:rPr>
          <w:rFonts w:ascii="Times New Roman" w:hAnsi="Times New Roman"/>
          <w:color w:val="231F20"/>
          <w:sz w:val="20"/>
        </w:rPr>
      </w:pPr>
      <w:r>
        <w:rPr>
          <w:rFonts w:ascii="Times New Roman" w:hAnsi="Times New Roman"/>
          <w:color w:val="231F20"/>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sz w:val="12"/>
        </w:rPr>
      </w:pPr>
      <w:r>
        <w:rPr>
          <w:sz w:val="12"/>
        </w:rPr>
      </w:r>
    </w:p>
    <w:p>
      <w:pPr>
        <w:pStyle w:val="TextBody"/>
        <w:bidi w:val="0"/>
        <w:spacing w:before="0" w:after="0"/>
        <w:ind w:left="0" w:right="0" w:firstLine="360"/>
        <w:jc w:val="left"/>
        <w:rPr>
          <w:color w:val="000000"/>
        </w:rPr>
      </w:pPr>
      <w:r>
        <w:rPr>
          <w:color w:val="000000"/>
        </w:rPr>
        <w:t>†</w:t>
      </w:r>
      <w:r>
        <w:rPr>
          <w:rFonts w:ascii="Times New Roman" w:hAnsi="Times New Roman"/>
          <w:color w:val="000000"/>
          <w:sz w:val="20"/>
        </w:rPr>
        <w:t>The term “new or revised financial accounting standard” refers to any updated issued by the Financial Accounting Standards Board to its Accounting Standards Codification after April 5, 2012.</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This Post-Effective Amendment No. 1 relates to the following registration statements on Form F-3 (each, a “Registration Statement” and collectively, the “Registration Statements”):</w:t>
      </w:r>
    </w:p>
    <w:p>
      <w:pPr>
        <w:pStyle w:val="TextBody"/>
        <w:bidi w:val="0"/>
        <w:spacing w:before="0" w:after="0"/>
        <w:jc w:val="left"/>
        <w:rPr/>
      </w:pPr>
      <w:r>
        <w:rPr/>
      </w:r>
    </w:p>
    <w:p>
      <w:pPr>
        <w:pStyle w:val="Normal"/>
        <w:bidi w:val="0"/>
        <w:spacing w:before="0" w:after="0"/>
        <w:ind w:left="720" w:right="0" w:hanging="0"/>
        <w:jc w:val="left"/>
        <w:rPr>
          <w:sz w:val="4"/>
          <w:szCs w:val="4"/>
        </w:rPr>
      </w:pPr>
      <w:r>
        <w:rPr>
          <w:sz w:val="4"/>
          <w:szCs w:val="4"/>
        </w:rPr>
      </w:r>
      <w:bookmarkStart w:id="4" w:name="z56d8a2a156f84f488a8a7b24beb68b54"/>
      <w:bookmarkStart w:id="5" w:name="z56d8a2a156f84f488a8a7b24beb68b54"/>
      <w:bookmarkEnd w:id="5"/>
    </w:p>
    <w:tbl>
      <w:tblPr>
        <w:tblW w:w="9485" w:type="dxa"/>
        <w:jc w:val="left"/>
        <w:tblInd w:w="720" w:type="dxa"/>
        <w:tblLayout w:type="fixed"/>
        <w:tblCellMar>
          <w:top w:w="0" w:type="dxa"/>
          <w:left w:w="0" w:type="dxa"/>
          <w:bottom w:w="0" w:type="dxa"/>
          <w:right w:w="0" w:type="dxa"/>
        </w:tblCellMar>
      </w:tblPr>
      <w:tblGrid>
        <w:gridCol w:w="223"/>
        <w:gridCol w:w="9262"/>
      </w:tblGrid>
      <w:tr>
        <w:trPr/>
        <w:tc>
          <w:tcPr>
            <w:tcW w:w="223" w:type="dxa"/>
            <w:tcBorders/>
            <w:vAlign w:val="center"/>
          </w:tcPr>
          <w:p>
            <w:pPr>
              <w:pStyle w:val="TableContents"/>
              <w:bidi w:val="0"/>
              <w:spacing w:before="0" w:after="0"/>
              <w:jc w:val="both"/>
              <w:rPr/>
            </w:pPr>
            <w:r>
              <w:rPr/>
              <w:t>(1)</w:t>
            </w:r>
          </w:p>
        </w:tc>
        <w:tc>
          <w:tcPr>
            <w:tcW w:w="9262" w:type="dxa"/>
            <w:tcBorders/>
            <w:vAlign w:val="center"/>
          </w:tcPr>
          <w:p>
            <w:pPr>
              <w:pStyle w:val="TableContents"/>
              <w:bidi w:val="0"/>
              <w:spacing w:before="0" w:after="0"/>
              <w:jc w:val="both"/>
              <w:rPr/>
            </w:pPr>
            <w:r>
              <w:rPr/>
              <w:t>Registration Statement on Form F-3 (Registration No. 333-</w:t>
            </w:r>
            <w:r>
              <w:rPr>
                <w:color w:val="231F20"/>
              </w:rPr>
              <w:t>188817</w:t>
            </w:r>
            <w:r>
              <w:rPr/>
              <w:t>) filed by GasLog Ltd. (the “Registrant”) with the Securities and Exchange Commission (the “SEC”) on May 24, 2013, as amended by pre-effective amendments No. 1 and No. 2 to the Registration Statement on Form F-3, filed with the SEC on July 2, 2013 and on August 2, 2013, respectively, registering (a) an indeterminate number of common shares, preference shares, debt securities, warrants, rights and units up to an aggregate public offering price of $500,000,000 of any combination of the securities of the Registrant and (b) 36,717,774 common shares to be sold from time to time by the selling shareholders to be named in a prospectus supplement; and</w:t>
            </w:r>
          </w:p>
        </w:tc>
      </w:tr>
      <w:tr>
        <w:trPr/>
        <w:tc>
          <w:tcPr>
            <w:tcW w:w="223" w:type="dxa"/>
            <w:tcBorders/>
            <w:vAlign w:val="center"/>
          </w:tcPr>
          <w:p>
            <w:pPr>
              <w:pStyle w:val="TableContents"/>
              <w:bidi w:val="0"/>
              <w:spacing w:before="0" w:after="283"/>
              <w:jc w:val="left"/>
              <w:rPr/>
            </w:pPr>
            <w:r>
              <w:rPr/>
              <w:t> </w:t>
            </w:r>
          </w:p>
        </w:tc>
        <w:tc>
          <w:tcPr>
            <w:tcW w:w="9262" w:type="dxa"/>
            <w:tcBorders/>
            <w:vAlign w:val="center"/>
          </w:tcPr>
          <w:p>
            <w:pPr>
              <w:pStyle w:val="TableContents"/>
              <w:bidi w:val="0"/>
              <w:spacing w:before="0" w:after="283"/>
              <w:jc w:val="left"/>
              <w:rPr/>
            </w:pPr>
            <w:r>
              <w:rPr/>
              <w:t> </w:t>
            </w:r>
          </w:p>
        </w:tc>
      </w:tr>
      <w:tr>
        <w:trPr/>
        <w:tc>
          <w:tcPr>
            <w:tcW w:w="223" w:type="dxa"/>
            <w:tcBorders/>
            <w:vAlign w:val="center"/>
          </w:tcPr>
          <w:p>
            <w:pPr>
              <w:pStyle w:val="TableContents"/>
              <w:bidi w:val="0"/>
              <w:spacing w:before="0" w:after="0"/>
              <w:jc w:val="both"/>
              <w:rPr/>
            </w:pPr>
            <w:r>
              <w:rPr/>
              <w:t>(2)</w:t>
            </w:r>
          </w:p>
        </w:tc>
        <w:tc>
          <w:tcPr>
            <w:tcW w:w="9262" w:type="dxa"/>
            <w:tcBorders/>
            <w:vAlign w:val="center"/>
          </w:tcPr>
          <w:p>
            <w:pPr>
              <w:pStyle w:val="TableContents"/>
              <w:bidi w:val="0"/>
              <w:spacing w:before="0" w:after="0"/>
              <w:jc w:val="both"/>
              <w:rPr/>
            </w:pPr>
            <w:r>
              <w:rPr/>
              <w:t>Registration Statement on Form F-3 (Registration No. 333-</w:t>
            </w:r>
            <w:r>
              <w:rPr>
                <w:color w:val="231F20"/>
              </w:rPr>
              <w:t>194894</w:t>
            </w:r>
            <w:r>
              <w:rPr/>
              <w:t>) filed by the Registrant with the SEC on March 28, 2014, registering 39,459,598 common shares of the Registrant to be sold from time to time by the selling shareholders to be named in a prospectus supplement.</w:t>
            </w:r>
          </w:p>
        </w:tc>
      </w:tr>
    </w:tbl>
    <w:p>
      <w:pPr>
        <w:pStyle w:val="TextBody"/>
        <w:bidi w:val="0"/>
        <w:spacing w:before="0" w:after="0"/>
        <w:ind w:left="720" w:right="0" w:hanging="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Registrant is filing this Post-Effective Amendment No. 1 to the Registration Statements to terminate the offerings and remove from registration the securities that have not been sold pursuant to the prospectus contained in the Registration Statements.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accordance with an undertaking in the Registration Statements to remove from registration by means of a post-effective amendment any of the securities which had been registered under the Registration Statements but remain unsold at the termination of the offerings, the Registrant hereby removes from registration any and all securities of the Registrant which have been registered for issuance under the Registration Statements but remain unsold. The Registration Statements are hereby amended to reflect the termination of the offerings and the removal from registration of  any and all securities of the Registrant which have been registered for issuance under the Registration Statements but remain unsold as of the date of this Post-Effective Amendment No. 1.</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Act of 1933, the undersigned Registrant certifies that it has reasonable grounds to believe that it meets all of the requirements for filing on Form F-3 and has duly caused this Post-Effective Amendment No. 1 to the Registration Statements to be signed on its behalf by the undersigned, thereunto duly authorized, in the City of New York, State of New York, on December 8, 2023.</w:t>
      </w:r>
    </w:p>
    <w:p>
      <w:pPr>
        <w:pStyle w:val="TextBody"/>
        <w:bidi w:val="0"/>
        <w:spacing w:before="0" w:after="0"/>
        <w:jc w:val="left"/>
        <w:rPr/>
      </w:pPr>
      <w:r>
        <w:rPr/>
      </w:r>
    </w:p>
    <w:p>
      <w:pPr>
        <w:pStyle w:val="TextBody"/>
        <w:bidi w:val="0"/>
        <w:spacing w:before="0" w:after="0"/>
        <w:jc w:val="left"/>
        <w:rPr/>
      </w:pPr>
      <w:r>
        <w:rPr/>
      </w:r>
    </w:p>
    <w:tbl>
      <w:tblPr>
        <w:tblW w:w="3480" w:type="dxa"/>
        <w:jc w:val="left"/>
        <w:tblInd w:w="0" w:type="dxa"/>
        <w:tblLayout w:type="fixed"/>
        <w:tblCellMar>
          <w:top w:w="0" w:type="dxa"/>
          <w:left w:w="0" w:type="dxa"/>
          <w:bottom w:w="0" w:type="dxa"/>
          <w:right w:w="0" w:type="dxa"/>
        </w:tblCellMar>
      </w:tblPr>
      <w:tblGrid>
        <w:gridCol w:w="60"/>
        <w:gridCol w:w="425"/>
        <w:gridCol w:w="650"/>
        <w:gridCol w:w="2285"/>
        <w:gridCol w:w="60"/>
      </w:tblGrid>
      <w:tr>
        <w:trPr/>
        <w:tc>
          <w:tcPr>
            <w:tcW w:w="60" w:type="dxa"/>
            <w:tcBorders/>
          </w:tcPr>
          <w:p>
            <w:pPr>
              <w:pStyle w:val="TableContents"/>
              <w:bidi w:val="0"/>
              <w:spacing w:before="0" w:after="283"/>
              <w:jc w:val="left"/>
              <w:rPr/>
            </w:pPr>
            <w:r>
              <w:rPr/>
              <w:t> </w:t>
            </w:r>
          </w:p>
        </w:tc>
        <w:tc>
          <w:tcPr>
            <w:tcW w:w="3360" w:type="dxa"/>
            <w:gridSpan w:val="3"/>
            <w:tcBorders/>
          </w:tcPr>
          <w:p>
            <w:pPr>
              <w:pStyle w:val="TableContents"/>
              <w:bidi w:val="0"/>
              <w:spacing w:before="0" w:after="283"/>
              <w:jc w:val="left"/>
              <w:rPr/>
            </w:pPr>
            <w:r>
              <w:rPr/>
              <w:t>GASLOG LTD.</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2935"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0"/>
              <w:ind w:left="0" w:right="0" w:hanging="0"/>
              <w:jc w:val="left"/>
              <w:rPr/>
            </w:pPr>
            <w:r>
              <w:rPr/>
            </w:r>
          </w:p>
        </w:tc>
        <w:tc>
          <w:tcPr>
            <w:tcW w:w="425" w:type="dxa"/>
            <w:tcBorders/>
          </w:tcPr>
          <w:p>
            <w:pPr>
              <w:pStyle w:val="TableContents"/>
              <w:bidi w:val="0"/>
              <w:spacing w:before="0" w:after="0"/>
              <w:ind w:left="0" w:right="0" w:hanging="0"/>
              <w:jc w:val="left"/>
              <w:rPr/>
            </w:pPr>
            <w:r>
              <w:rPr/>
              <w:t xml:space="preserve">By: </w:t>
            </w:r>
          </w:p>
        </w:tc>
        <w:tc>
          <w:tcPr>
            <w:tcW w:w="2935" w:type="dxa"/>
            <w:gridSpan w:val="2"/>
            <w:tcBorders>
              <w:bottom w:val="single" w:sz="12" w:space="0" w:color="000000"/>
            </w:tcBorders>
            <w:tcMar>
              <w:bottom w:w="28" w:type="dxa"/>
            </w:tcMar>
          </w:tcPr>
          <w:p>
            <w:pPr>
              <w:pStyle w:val="TableContents"/>
              <w:bidi w:val="0"/>
              <w:spacing w:before="0" w:after="283"/>
              <w:jc w:val="left"/>
              <w:rPr/>
            </w:pPr>
            <w:r>
              <w:rPr/>
              <w:t>/s/ Paolo Enoizi</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650" w:type="dxa"/>
            <w:tcBorders/>
            <w:vAlign w:val="bottom"/>
          </w:tcPr>
          <w:p>
            <w:pPr>
              <w:pStyle w:val="TableContents"/>
              <w:bidi w:val="0"/>
              <w:spacing w:before="0" w:after="283"/>
              <w:jc w:val="left"/>
              <w:rPr/>
            </w:pPr>
            <w:r>
              <w:rPr/>
              <w:t>Name:</w:t>
            </w:r>
          </w:p>
        </w:tc>
        <w:tc>
          <w:tcPr>
            <w:tcW w:w="2285" w:type="dxa"/>
            <w:tcBorders/>
            <w:vAlign w:val="bottom"/>
          </w:tcPr>
          <w:p>
            <w:pPr>
              <w:pStyle w:val="TableContents"/>
              <w:bidi w:val="0"/>
              <w:spacing w:before="0" w:after="283"/>
              <w:jc w:val="left"/>
              <w:rPr/>
            </w:pPr>
            <w:r>
              <w:rPr/>
              <w:t>Paolo Enoizi</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650" w:type="dxa"/>
            <w:tcBorders/>
          </w:tcPr>
          <w:p>
            <w:pPr>
              <w:pStyle w:val="TableContents"/>
              <w:bidi w:val="0"/>
              <w:spacing w:before="0" w:after="283"/>
              <w:jc w:val="left"/>
              <w:rPr/>
            </w:pPr>
            <w:r>
              <w:rPr/>
              <w:t>Title:</w:t>
            </w:r>
          </w:p>
        </w:tc>
        <w:tc>
          <w:tcPr>
            <w:tcW w:w="2285" w:type="dxa"/>
            <w:tcBorders/>
          </w:tcPr>
          <w:p>
            <w:pPr>
              <w:pStyle w:val="TableContents"/>
              <w:bidi w:val="0"/>
              <w:spacing w:before="0" w:after="283"/>
              <w:jc w:val="left"/>
              <w:rPr/>
            </w:pPr>
            <w:r>
              <w:rPr/>
              <w:t>Chief Executive Officer</w:t>
            </w:r>
          </w:p>
        </w:tc>
        <w:tc>
          <w:tcPr>
            <w:tcW w:w="60" w:type="dxa"/>
            <w:tcBorders/>
          </w:tcPr>
          <w:p>
            <w:pPr>
              <w:pStyle w:val="TableContents"/>
              <w:bidi w:val="0"/>
              <w:spacing w:before="0" w:after="283"/>
              <w:jc w:val="left"/>
              <w:rPr/>
            </w:pPr>
            <w:r>
              <w:rPr/>
              <w:t> </w:t>
            </w:r>
          </w:p>
        </w:tc>
      </w:tr>
      <w:tr>
        <w:trPr/>
        <w:tc>
          <w:tcPr>
            <w:tcW w:w="60" w:type="dxa"/>
            <w:tcBorders/>
          </w:tcPr>
          <w:p>
            <w:pPr>
              <w:pStyle w:val="TableContents"/>
              <w:bidi w:val="0"/>
              <w:spacing w:before="0" w:after="283"/>
              <w:jc w:val="left"/>
              <w:rPr/>
            </w:pPr>
            <w:r>
              <w:rPr/>
              <w:t> </w:t>
            </w:r>
          </w:p>
        </w:tc>
        <w:tc>
          <w:tcPr>
            <w:tcW w:w="425" w:type="dxa"/>
            <w:tcBorders/>
          </w:tcPr>
          <w:p>
            <w:pPr>
              <w:pStyle w:val="TableContents"/>
              <w:bidi w:val="0"/>
              <w:spacing w:before="0" w:after="283"/>
              <w:jc w:val="left"/>
              <w:rPr/>
            </w:pPr>
            <w:r>
              <w:rPr/>
              <w:t> </w:t>
            </w:r>
          </w:p>
        </w:tc>
        <w:tc>
          <w:tcPr>
            <w:tcW w:w="2935" w:type="dxa"/>
            <w:gridSpan w:val="2"/>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5045</Characters>
  <CharactersWithSpaces>5918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