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4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7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March 2018</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001-35466</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GasLog Ltd</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Gildo Pastor Center</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MC 98000, Monaco</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spacing w:after="0"/>
        <w:tabs>
          <w:tab w:leader="none" w:pos="116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7"/>
          <w:szCs w:val="17"/>
          <w:color w:val="auto"/>
        </w:rPr>
        <w:t>Form 40-F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right="420" w:firstLine="376"/>
        <w:spacing w:after="0" w:line="277" w:lineRule="auto"/>
        <w:rPr>
          <w:sz w:val="20"/>
          <w:szCs w:val="20"/>
          <w:color w:val="auto"/>
        </w:rPr>
      </w:pPr>
      <w:r>
        <w:rPr>
          <w:rFonts w:ascii="Arial" w:cs="Arial" w:eastAsia="Arial" w:hAnsi="Arial"/>
          <w:sz w:val="18"/>
          <w:szCs w:val="18"/>
          <w:color w:val="auto"/>
        </w:rPr>
        <w:t>The press release issued by GasLog Ltd on March 12, 2018 announcing the placing of a newbuilding order at Samsung Heavy Industries is attached hereto as Exhibit 99.1.</w:t>
      </w:r>
    </w:p>
    <w:p>
      <w:pPr>
        <w:spacing w:after="0" w:line="17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4"/>
          <w:szCs w:val="24"/>
          <w:color w:val="auto"/>
        </w:rPr>
      </w:pPr>
    </w:p>
    <w:p>
      <w:pPr>
        <w:ind w:right="260" w:firstLine="772"/>
        <w:spacing w:after="0" w:line="276"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statements on Form F-3 (File Nos. 333-188817, 333-194894 and 333-194894),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jc w:val="center"/>
              <w:ind w:right="1419"/>
              <w:spacing w:after="0"/>
              <w:rPr>
                <w:sz w:val="20"/>
                <w:szCs w:val="20"/>
                <w:color w:val="auto"/>
              </w:rPr>
            </w:pPr>
            <w:r>
              <w:rPr>
                <w:rFonts w:ascii="Arial" w:cs="Arial" w:eastAsia="Arial" w:hAnsi="Arial"/>
                <w:sz w:val="18"/>
                <w:szCs w:val="18"/>
                <w:color w:val="auto"/>
              </w:rPr>
              <w:t>EXHIBIT LIST</w:t>
            </w:r>
          </w:p>
        </w:tc>
        <w:tc>
          <w:tcPr>
            <w:tcW w:w="40" w:type="dxa"/>
            <w:vAlign w:val="bottom"/>
          </w:tcPr>
          <w:p>
            <w:pPr>
              <w:spacing w:after="0"/>
              <w:rPr>
                <w:sz w:val="20"/>
                <w:szCs w:val="20"/>
                <w:color w:val="auto"/>
              </w:rPr>
            </w:pPr>
          </w:p>
        </w:tc>
      </w:tr>
      <w:tr>
        <w:trPr>
          <w:trHeight w:val="36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Press Release Dated March 12, 2018</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4"/>
          <w:szCs w:val="24"/>
          <w:color w:val="auto"/>
        </w:rPr>
      </w:pPr>
    </w:p>
    <w:p>
      <w:pPr>
        <w:ind w:right="80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Date: March 12, 2018</w:t>
      </w:r>
    </w:p>
    <w:p>
      <w:pPr>
        <w:spacing w:after="0" w:line="225"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GASLOG LTD</w:t>
      </w:r>
    </w:p>
    <w:p>
      <w:pPr>
        <w:spacing w:after="0" w:line="225" w:lineRule="exact"/>
        <w:rPr>
          <w:sz w:val="24"/>
          <w:szCs w:val="24"/>
          <w:color w:val="auto"/>
        </w:rPr>
      </w:pPr>
    </w:p>
    <w:p>
      <w:pPr>
        <w:ind w:left="6020"/>
        <w:spacing w:after="0"/>
        <w:tabs>
          <w:tab w:leader="none" w:pos="6380" w:val="left"/>
        </w:tabs>
        <w:rPr>
          <w:sz w:val="20"/>
          <w:szCs w:val="20"/>
          <w:color w:val="auto"/>
        </w:rPr>
      </w:pPr>
      <w:r>
        <w:rPr>
          <w:rFonts w:ascii="Arial" w:cs="Arial" w:eastAsia="Arial" w:hAnsi="Arial"/>
          <w:sz w:val="18"/>
          <w:szCs w:val="18"/>
          <w:color w:val="auto"/>
        </w:rPr>
        <w:t>by</w:t>
        <w:tab/>
        <w:t>Paul A. Wogan</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Paul A. Wogan</w:t>
            </w:r>
          </w:p>
        </w:tc>
        <w:tc>
          <w:tcPr>
            <w:tcW w:w="40" w:type="dxa"/>
            <w:vAlign w:val="bottom"/>
          </w:tcPr>
          <w:p>
            <w:pPr>
              <w:spacing w:after="0"/>
              <w:rPr>
                <w:sz w:val="16"/>
                <w:szCs w:val="16"/>
                <w:color w:val="auto"/>
              </w:rPr>
            </w:pPr>
          </w:p>
        </w:tc>
      </w:tr>
      <w:tr>
        <w:trPr>
          <w:trHeight w:val="230"/>
        </w:trPr>
        <w:tc>
          <w:tcPr>
            <w:tcW w:w="64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432"/>
        </w:trPr>
        <w:tc>
          <w:tcPr>
            <w:tcW w:w="6400" w:type="dxa"/>
            <w:vAlign w:val="bottom"/>
          </w:tcPr>
          <w:p>
            <w:pPr>
              <w:jc w:val="right"/>
              <w:ind w:right="55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4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0"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Orders a Newbuild LNG Carrier from Samsung Heavy Industries</w:t>
      </w:r>
    </w:p>
    <w:p>
      <w:pPr>
        <w:spacing w:after="0" w:line="22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 xml:space="preserve">MONACO — March 12, 2018 — </w:t>
      </w:r>
      <w:r>
        <w:rPr>
          <w:rFonts w:ascii="Arial" w:cs="Arial" w:eastAsia="Arial" w:hAnsi="Arial"/>
          <w:sz w:val="18"/>
          <w:szCs w:val="18"/>
          <w:color w:val="auto"/>
        </w:rPr>
        <w:t>GasLog Ltd. (“GasLog” or “the Company”) (NYSE:GLOG), an international owner, operator and manager of liquefied</w:t>
      </w:r>
      <w:r>
        <w:rPr>
          <w:rFonts w:ascii="Arial" w:cs="Arial" w:eastAsia="Arial" w:hAnsi="Arial"/>
          <w:sz w:val="18"/>
          <w:szCs w:val="18"/>
          <w:b w:val="1"/>
          <w:bCs w:val="1"/>
          <w:color w:val="auto"/>
        </w:rPr>
        <w:t xml:space="preserve"> </w:t>
      </w:r>
      <w:r>
        <w:rPr>
          <w:rFonts w:ascii="Arial" w:cs="Arial" w:eastAsia="Arial" w:hAnsi="Arial"/>
          <w:sz w:val="18"/>
          <w:szCs w:val="18"/>
          <w:color w:val="auto"/>
        </w:rPr>
        <w:t>natural gas (“LNG”) carriers, is pleased to announce the order of a newbuild 180,000 cubic meter Flex Plus vessel with XDF propulsion from Samsung Heavy Industries (“Samsung”). The newbuild vessel, Hull No. 2274, is scheduled to deliver in the second quarter of 2020 and is currently unchartered. The Company has also agreed options with Samsung for additional newbuild vessels.</w:t>
      </w:r>
    </w:p>
    <w:p>
      <w:pPr>
        <w:spacing w:after="0" w:line="18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Paul Wogan, Chief Executive Officer of GasLog, commented, “Given that the outlook for LNG shipping demand remains robust, and with increasing evidence that newbuild prices are starting to rise, we have moved to lock in a very attractive price for our second newbuild order in 2018. We remain confident that the unit freight cost advantage offered by the latest generation vessels will make this ship highly attractive to customers looking for the most competitive solution to their LNG shipping requirements.”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GasLog</w:t>
      </w:r>
    </w:p>
    <w:p>
      <w:pPr>
        <w:spacing w:after="0" w:line="229"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GasLog is an international owner, operator and manager of LNG carriers. GasLog’s fully-owned fleet includes 29 LNG carriers (including 23 ships in operation and six LNG carriers on order). GasLog also has an additional LNG carrier which was sold to a subsidiary of Mitsui Co., Ltd. and leased back under a long-term bareboat charter. GasLog’s consolidated fleet includes 12 LNG carriers in operation owned by GasLog’s subsidiary, GasLog Partners. GasLog’s principal executive offices are at Gildo Pastor Center, 7 Rue du Gabian, MC 98000, Monaco. GasLog’s website is http://www.gaslogltd.com.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940" w:hanging="284"/>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980" w:right="280"/>
        <w:spacing w:after="0" w:line="277" w:lineRule="auto"/>
        <w:rPr>
          <w:sz w:val="20"/>
          <w:szCs w:val="20"/>
          <w:color w:val="auto"/>
        </w:rPr>
      </w:pPr>
      <w:r>
        <w:rPr>
          <w:rFonts w:ascii="Arial" w:cs="Arial" w:eastAsia="Arial" w:hAnsi="Arial"/>
          <w:sz w:val="18"/>
          <w:szCs w:val="18"/>
          <w:color w:val="auto"/>
        </w:rPr>
        <w:t>affecting supply and demand of LNG and LNG shipping, technological advancements and opportunities for the profitable operations of LNG carriers;</w:t>
      </w:r>
    </w:p>
    <w:p>
      <w:pPr>
        <w:spacing w:after="0" w:line="170" w:lineRule="exact"/>
        <w:rPr>
          <w:sz w:val="20"/>
          <w:szCs w:val="20"/>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spot and long-term charter hire rates and vessel values;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225" w:lineRule="exact"/>
        <w:rPr>
          <w:rFonts w:ascii="Arial" w:cs="Arial" w:eastAsia="Arial" w:hAnsi="Arial"/>
          <w:sz w:val="18"/>
          <w:szCs w:val="18"/>
          <w:color w:val="auto"/>
        </w:rPr>
      </w:pPr>
    </w:p>
    <w:p>
      <w:pPr>
        <w:ind w:left="980" w:right="60" w:hanging="324"/>
        <w:spacing w:after="0" w:line="264"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no longer under long-term time charter commitments, including the risk that certain of our vessels may no longer have the latest technology which may impact the rate at which we can charter such vessels;</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long term relationships and enter into time charters with new and existing customers;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exposure to the spot market and fluctuations in spot charter rates;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 including LNG;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ectPr>
          <w:pgSz w:w="11900" w:h="16838" w:orient="portrait"/>
          <w:cols w:equalWidth="0" w:num="1">
            <w:col w:w="11420"/>
          </w:cols>
          <w:pgMar w:left="240" w:top="121" w:right="239" w:bottom="0" w:gutter="0" w:footer="0" w:header="0"/>
        </w:sectPr>
      </w:pPr>
    </w:p>
    <w:bookmarkStart w:id="2" w:name="page3"/>
    <w:bookmarkEnd w:id="2"/>
    <w:p>
      <w:pPr>
        <w:ind w:left="600" w:hanging="284"/>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25" w:lineRule="exact"/>
        <w:rPr>
          <w:rFonts w:ascii="Arial" w:cs="Arial" w:eastAsia="Arial" w:hAnsi="Arial"/>
          <w:sz w:val="18"/>
          <w:szCs w:val="18"/>
          <w:color w:val="auto"/>
        </w:rPr>
      </w:pPr>
    </w:p>
    <w:p>
      <w:pPr>
        <w:ind w:left="600" w:hanging="284"/>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performance and expenses, financial condition, liquidity and cash available for dividends and distributions;</w:t>
      </w:r>
    </w:p>
    <w:p>
      <w:pPr>
        <w:spacing w:after="0" w:line="225" w:lineRule="exact"/>
        <w:rPr>
          <w:rFonts w:ascii="Arial" w:cs="Arial" w:eastAsia="Arial" w:hAnsi="Arial"/>
          <w:sz w:val="18"/>
          <w:szCs w:val="18"/>
          <w:color w:val="auto"/>
        </w:rPr>
      </w:pPr>
    </w:p>
    <w:p>
      <w:pPr>
        <w:ind w:left="640" w:right="560" w:hanging="324"/>
        <w:spacing w:after="0" w:line="277" w:lineRule="auto"/>
        <w:tabs>
          <w:tab w:leader="none" w:pos="60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spacing w:after="0" w:line="170" w:lineRule="exact"/>
        <w:rPr>
          <w:rFonts w:ascii="Arial" w:cs="Arial" w:eastAsia="Arial" w:hAnsi="Arial"/>
          <w:sz w:val="18"/>
          <w:szCs w:val="18"/>
          <w:color w:val="auto"/>
        </w:rPr>
      </w:pPr>
    </w:p>
    <w:p>
      <w:pPr>
        <w:ind w:left="640" w:right="240" w:hanging="324"/>
        <w:spacing w:after="0" w:line="277" w:lineRule="auto"/>
        <w:tabs>
          <w:tab w:leader="none" w:pos="604"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w:t>
      </w:r>
    </w:p>
    <w:p>
      <w:pPr>
        <w:spacing w:after="0" w:line="170" w:lineRule="exact"/>
        <w:rPr>
          <w:rFonts w:ascii="Arial" w:cs="Arial" w:eastAsia="Arial" w:hAnsi="Arial"/>
          <w:sz w:val="18"/>
          <w:szCs w:val="18"/>
          <w:color w:val="auto"/>
        </w:rPr>
      </w:pPr>
    </w:p>
    <w:p>
      <w:pPr>
        <w:ind w:left="600" w:hanging="284"/>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225" w:lineRule="exact"/>
        <w:rPr>
          <w:rFonts w:ascii="Arial" w:cs="Arial" w:eastAsia="Arial" w:hAnsi="Arial"/>
          <w:sz w:val="18"/>
          <w:szCs w:val="18"/>
          <w:color w:val="auto"/>
        </w:rPr>
      </w:pPr>
    </w:p>
    <w:p>
      <w:pPr>
        <w:ind w:left="600" w:hanging="284"/>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225" w:lineRule="exact"/>
        <w:rPr>
          <w:rFonts w:ascii="Arial" w:cs="Arial" w:eastAsia="Arial" w:hAnsi="Arial"/>
          <w:sz w:val="18"/>
          <w:szCs w:val="18"/>
          <w:color w:val="auto"/>
        </w:rPr>
      </w:pPr>
    </w:p>
    <w:p>
      <w:pPr>
        <w:ind w:left="640" w:right="120" w:hanging="324"/>
        <w:spacing w:after="0" w:line="264" w:lineRule="auto"/>
        <w:tabs>
          <w:tab w:leader="none" w:pos="60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181" w:lineRule="exact"/>
        <w:rPr>
          <w:rFonts w:ascii="Arial" w:cs="Arial" w:eastAsia="Arial" w:hAnsi="Arial"/>
          <w:sz w:val="18"/>
          <w:szCs w:val="18"/>
          <w:color w:val="auto"/>
        </w:rPr>
      </w:pPr>
    </w:p>
    <w:p>
      <w:pPr>
        <w:ind w:left="600" w:hanging="284"/>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25" w:lineRule="exact"/>
        <w:rPr>
          <w:rFonts w:ascii="Arial" w:cs="Arial" w:eastAsia="Arial" w:hAnsi="Arial"/>
          <w:sz w:val="18"/>
          <w:szCs w:val="18"/>
          <w:color w:val="auto"/>
        </w:rPr>
      </w:pPr>
    </w:p>
    <w:p>
      <w:pPr>
        <w:ind w:left="600" w:hanging="284"/>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labor, ship crews and management;</w:t>
      </w:r>
    </w:p>
    <w:p>
      <w:pPr>
        <w:spacing w:after="0" w:line="225" w:lineRule="exact"/>
        <w:rPr>
          <w:rFonts w:ascii="Arial" w:cs="Arial" w:eastAsia="Arial" w:hAnsi="Arial"/>
          <w:sz w:val="18"/>
          <w:szCs w:val="18"/>
          <w:color w:val="auto"/>
        </w:rPr>
      </w:pPr>
    </w:p>
    <w:p>
      <w:pPr>
        <w:ind w:left="600" w:hanging="284"/>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25" w:lineRule="exact"/>
        <w:rPr>
          <w:rFonts w:ascii="Arial" w:cs="Arial" w:eastAsia="Arial" w:hAnsi="Arial"/>
          <w:sz w:val="18"/>
          <w:szCs w:val="18"/>
          <w:color w:val="auto"/>
        </w:rPr>
      </w:pPr>
    </w:p>
    <w:p>
      <w:pPr>
        <w:ind w:left="600" w:hanging="284"/>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25" w:lineRule="exact"/>
        <w:rPr>
          <w:rFonts w:ascii="Arial" w:cs="Arial" w:eastAsia="Arial" w:hAnsi="Arial"/>
          <w:sz w:val="18"/>
          <w:szCs w:val="18"/>
          <w:color w:val="auto"/>
        </w:rPr>
      </w:pPr>
    </w:p>
    <w:p>
      <w:pPr>
        <w:ind w:left="640" w:right="800" w:hanging="324"/>
        <w:spacing w:after="0" w:line="277" w:lineRule="auto"/>
        <w:tabs>
          <w:tab w:leader="none" w:pos="604"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170" w:lineRule="exact"/>
        <w:rPr>
          <w:rFonts w:ascii="Arial" w:cs="Arial" w:eastAsia="Arial" w:hAnsi="Arial"/>
          <w:sz w:val="18"/>
          <w:szCs w:val="18"/>
          <w:color w:val="auto"/>
        </w:rPr>
      </w:pPr>
    </w:p>
    <w:p>
      <w:pPr>
        <w:ind w:left="640" w:right="60" w:hanging="324"/>
        <w:spacing w:after="0" w:line="277" w:lineRule="auto"/>
        <w:tabs>
          <w:tab w:leader="none" w:pos="604"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described in the Company’s Annual Report on Form 20-F filed with the SEC on February 28, 2018 and available at http://www.sec.gov.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184150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190500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040"/>
      </w:cols>
      <w:pgMar w:left="580" w:top="34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2019-12-08T01:59:36Z</dcterms:created>
  <dcterms:modified xsi:type="dcterms:W3CDTF">2019-12-08T01:59:36Z</dcterms:modified>
</cp:coreProperties>
</file>