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UNITED STATES</w:t>
      </w:r>
    </w:p>
    <w:p>
      <w:pPr>
        <w:spacing w:after="0" w:line="1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74" w:lineRule="exact"/>
        <w:rPr>
          <w:sz w:val="24"/>
          <w:szCs w:val="24"/>
          <w:color w:val="auto"/>
        </w:rPr>
      </w:pPr>
    </w:p>
    <w:p>
      <w:pPr>
        <w:ind w:left="5320"/>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0"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March 2017</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19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GasLog Ltd.</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176"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 GasLog Monaco S.A.M.</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Gildo Pastor Center</w:t>
      </w:r>
    </w:p>
    <w:p>
      <w:pPr>
        <w:jc w:val="center"/>
        <w:ind w:right="-1220"/>
        <w:spacing w:after="0" w:line="234" w:lineRule="auto"/>
        <w:rPr>
          <w:sz w:val="20"/>
          <w:szCs w:val="20"/>
          <w:color w:val="auto"/>
        </w:rPr>
      </w:pPr>
      <w:r>
        <w:rPr>
          <w:rFonts w:ascii="Arial" w:cs="Arial" w:eastAsia="Arial" w:hAnsi="Arial"/>
          <w:sz w:val="18"/>
          <w:szCs w:val="18"/>
          <w:color w:val="auto"/>
        </w:rPr>
        <w:t>7 Rue du Gabian</w:t>
      </w:r>
    </w:p>
    <w:p>
      <w:pPr>
        <w:jc w:val="center"/>
        <w:ind w:right="-1220"/>
        <w:spacing w:after="0" w:line="235" w:lineRule="auto"/>
        <w:rPr>
          <w:sz w:val="20"/>
          <w:szCs w:val="20"/>
          <w:color w:val="auto"/>
        </w:rPr>
      </w:pPr>
      <w:r>
        <w:rPr>
          <w:rFonts w:ascii="Arial" w:cs="Arial" w:eastAsia="Arial" w:hAnsi="Arial"/>
          <w:sz w:val="18"/>
          <w:szCs w:val="18"/>
          <w:color w:val="auto"/>
        </w:rPr>
        <w:t>MC 98000, Monaco</w:t>
      </w:r>
    </w:p>
    <w:p>
      <w:pPr>
        <w:spacing w:after="0" w:line="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176" w:lineRule="exact"/>
        <w:rPr>
          <w:sz w:val="24"/>
          <w:szCs w:val="24"/>
          <w:color w:val="auto"/>
        </w:rPr>
      </w:pPr>
    </w:p>
    <w:p>
      <w:pPr>
        <w:ind w:right="999"/>
        <w:spacing w:after="0" w:line="484" w:lineRule="auto"/>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Times New Roman" w:cs="Times New Roman" w:eastAsia="Times New Roman" w:hAnsi="Times New Roman"/>
          <w:sz w:val="18"/>
          <w:szCs w:val="18"/>
          <w:color w:val="auto"/>
        </w:rPr>
        <w:t>þ</w:t>
      </w:r>
      <w:r>
        <w:rPr>
          <w:rFonts w:ascii="Arial" w:cs="Arial" w:eastAsia="Arial" w:hAnsi="Arial"/>
          <w:sz w:val="18"/>
          <w:szCs w:val="18"/>
          <w:color w:val="auto"/>
        </w:rPr>
        <w:t xml:space="preserve"> Form 40-F </w:t>
      </w:r>
      <w:r>
        <w:rPr>
          <w:rFonts w:ascii="Times New Roman" w:cs="Times New Roman" w:eastAsia="Times New Roman" w:hAnsi="Times New Roman"/>
          <w:sz w:val="18"/>
          <w:szCs w:val="18"/>
          <w:color w:val="auto"/>
        </w:rPr>
        <w:t>o</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Times New Roman" w:cs="Times New Roman" w:eastAsia="Times New Roman" w:hAnsi="Times New Roman"/>
          <w:sz w:val="18"/>
          <w:szCs w:val="18"/>
          <w:color w:val="auto"/>
        </w:rPr>
        <w:t>o</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223" w:right="1440" w:bottom="1440" w:gutter="0" w:footer="0" w:header="0"/>
        </w:sectPr>
      </w:pPr>
    </w:p>
    <w:bookmarkStart w:id="1" w:name="page2"/>
    <w:bookmarkEnd w:id="1"/>
    <w:p>
      <w:pPr>
        <w:ind w:firstLine="648"/>
        <w:spacing w:after="0" w:line="276" w:lineRule="auto"/>
        <w:rPr>
          <w:sz w:val="20"/>
          <w:szCs w:val="20"/>
          <w:color w:val="auto"/>
        </w:rPr>
      </w:pPr>
      <w:r>
        <w:rPr>
          <w:rFonts w:ascii="Arial" w:cs="Arial" w:eastAsia="Arial" w:hAnsi="Arial"/>
          <w:sz w:val="18"/>
          <w:szCs w:val="18"/>
          <w:color w:val="auto"/>
        </w:rPr>
        <w:t>The press release issued by GasLog Ltd. on March 17, 2017 relating to the pricing of its public offering of senior unsecured notes due 2022 is included as Exhibit 99.1 and is incorporated herein by reference.</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EXHIBIT LIST</w:t>
      </w:r>
    </w:p>
    <w:p>
      <w:pPr>
        <w:spacing w:after="0" w:line="19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12"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dated March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616" w:right="3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2017</w:t>
      </w:r>
    </w:p>
    <w:p>
      <w:pPr>
        <w:spacing w:after="0" w:line="3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GASLOG LTD.,</w:t>
      </w:r>
    </w:p>
    <w:p>
      <w:pPr>
        <w:spacing w:after="0" w:line="20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20320</wp:posOffset>
            </wp:positionV>
            <wp:extent cx="31045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Paul Wogan</w:t>
      </w:r>
    </w:p>
    <w:p>
      <w:pPr>
        <w:spacing w:after="0" w:line="18" w:lineRule="exact"/>
        <w:rPr>
          <w:sz w:val="20"/>
          <w:szCs w:val="20"/>
          <w:color w:val="auto"/>
        </w:rPr>
      </w:pPr>
    </w:p>
    <w:p>
      <w:pPr>
        <w:ind w:left="658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240" w:top="398"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Pricing of Public Offering of 8.875% Senior Notes Due 2022</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MONACO — March 17, 2017 — </w:t>
      </w:r>
      <w:r>
        <w:rPr>
          <w:rFonts w:ascii="Arial" w:cs="Arial" w:eastAsia="Arial" w:hAnsi="Arial"/>
          <w:sz w:val="18"/>
          <w:szCs w:val="18"/>
          <w:color w:val="auto"/>
        </w:rPr>
        <w:t>GasLog Ltd. (“GasLog” or the “Company”) (NYSE:GLOG), an international owner, operator and manager of</w:t>
      </w:r>
      <w:r>
        <w:rPr>
          <w:rFonts w:ascii="Arial" w:cs="Arial" w:eastAsia="Arial" w:hAnsi="Arial"/>
          <w:sz w:val="18"/>
          <w:szCs w:val="18"/>
          <w:b w:val="1"/>
          <w:bCs w:val="1"/>
          <w:color w:val="auto"/>
        </w:rPr>
        <w:t xml:space="preserve"> </w:t>
      </w:r>
      <w:r>
        <w:rPr>
          <w:rFonts w:ascii="Arial" w:cs="Arial" w:eastAsia="Arial" w:hAnsi="Arial"/>
          <w:sz w:val="18"/>
          <w:szCs w:val="18"/>
          <w:color w:val="auto"/>
        </w:rPr>
        <w:t>liquefied natural gas (“LNG”) carriers, announced today that it priced its public offering of $250.0 million aggregate principal amount of 8.875% Senior Notes due 2022 (the “Notes”) at a price to the public of 100% of the principal amount. The Notes will mature on March 22, 2022 and will bear interest at a rate of 8.875% per annum, payable quarterly in arrears on March 30, June 30, September 30 and December 30 of each year, beginning on June 30, 2017.</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net proceeds from the offering after deducting the underwriting discount and estimated offering expenses are expected to be approximately $245,280,750. The Company plans to use the net proceeds from the offering for repayment of debt and general corporate purposes, including working capital.</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Stifel, Nicolaus &amp; Company, Incorporated and DNB Markets, Inc. are acting as joint book-running managers and structuring agents of the offering. Arctic Securities LLC, DVB Capital Markets LLC and Pareto Securities Inc. are acting as co-managers of the offering.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offering is expected to close on or about March 22, 2017.</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Alastair Maxwell, CFO of GasLog, commented, “We are delighted with the results of this offering which marks GasLog’s entry to the US debt capital markets. The proceeds of the offering will further diversify our sources of funding and will enable us to manage proactively our upcoming debt maturities.”</w:t>
      </w:r>
    </w:p>
    <w:p>
      <w:pPr>
        <w:spacing w:after="0" w:line="15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offering is being made only by means of a prospectus supplement and accompanying base prospectus. When available, the prospectus supplement and accompanying base prospectus relating to the offering may be obtained from Stifel, Nicolaus &amp; Company, Incorporated, Attention: Syndicate Department, One South Street, 15th Floor, Baltimore, MD 21202, telephone: (855) 300-7136, email: syndprospectus@stifel.com or DNB Markets, Inc., 200 Park Ave, Floor 31, New York, NY 10166, telephone: (212) 681-3800.</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GasLog’s consolidated fleet now includes nine LNG carriers in operation owned by GasLog’s subsidiary, GasLog Partners. GasLog’s principal executive offices are at Gildo Pastor Center, 7 Rue du Gabian, MC 98000, Monaco.</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Jamie Buckland - Head of Investor Relations</w:t>
      </w:r>
    </w:p>
    <w:p>
      <w:pPr>
        <w:spacing w:after="0" w:line="234" w:lineRule="auto"/>
        <w:rPr>
          <w:sz w:val="20"/>
          <w:szCs w:val="20"/>
          <w:color w:val="auto"/>
        </w:rPr>
      </w:pPr>
      <w:r>
        <w:rPr>
          <w:rFonts w:ascii="Arial" w:cs="Arial" w:eastAsia="Arial" w:hAnsi="Arial"/>
          <w:sz w:val="18"/>
          <w:szCs w:val="18"/>
          <w:color w:val="auto"/>
        </w:rPr>
        <w:t>Phone: +44-203-388-3116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198" w:lineRule="exact"/>
        <w:rPr>
          <w:sz w:val="20"/>
          <w:szCs w:val="20"/>
          <w:color w:val="auto"/>
        </w:rPr>
      </w:pPr>
    </w:p>
    <w:p>
      <w:pPr>
        <w:ind w:left="660" w:right="20" w:hanging="328"/>
        <w:spacing w:after="0" w:line="261" w:lineRule="auto"/>
        <w:tabs>
          <w:tab w:leader="none" w:pos="660" w:val="left"/>
        </w:tabs>
        <w:numPr>
          <w:ilvl w:val="0"/>
          <w:numId w:val="1"/>
        </w:numPr>
        <w:rPr>
          <w:rFonts w:ascii="Times New Roman" w:cs="Times New Roman" w:eastAsia="Times New Roman" w:hAnsi="Times New Roman"/>
          <w:sz w:val="17"/>
          <w:szCs w:val="17"/>
          <w:color w:val="auto"/>
        </w:rPr>
      </w:pPr>
      <w:r>
        <w:rPr>
          <w:rFonts w:ascii="Arial" w:cs="Arial" w:eastAsia="Arial" w:hAnsi="Arial"/>
          <w:sz w:val="17"/>
          <w:szCs w:val="17"/>
          <w:color w:val="auto"/>
        </w:rPr>
        <w:t>general LNG shipping market conditions and trends, including spot and long-term charter rates, ship values, factors affecting supply and demand of LNG and LNG shipping and technological advancements and opportunities for the profitable operation of LNG carriers;</w:t>
      </w:r>
    </w:p>
    <w:p>
      <w:pPr>
        <w:spacing w:after="0" w:line="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continued low prices for crude oil and petroleum products and volatility in gas prices;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enter into time charters with new and existing customers;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exposure to spot market and fluctuations in spot charter rates;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ownership of our charterers;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8"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right="64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number of off-hire days, dry-docking requirements and insurance costs;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currencies and interest rates;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long-term relationships with major energy companies;</w:t>
      </w:r>
    </w:p>
    <w:p>
      <w:pPr>
        <w:spacing w:after="0" w:line="8" w:lineRule="exact"/>
        <w:rPr>
          <w:rFonts w:ascii="Times New Roman" w:cs="Times New Roman" w:eastAsia="Times New Roman" w:hAnsi="Times New Roman"/>
          <w:sz w:val="18"/>
          <w:szCs w:val="18"/>
          <w:color w:val="auto"/>
        </w:rPr>
      </w:pPr>
    </w:p>
    <w:p>
      <w:pPr>
        <w:ind w:left="660" w:right="104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 including the risk that our vessels may no longer have the latest technology at such time;</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8" w:lineRule="exact"/>
        <w:rPr>
          <w:rFonts w:ascii="Times New Roman" w:cs="Times New Roman" w:eastAsia="Times New Roman" w:hAnsi="Times New Roman"/>
          <w:sz w:val="18"/>
          <w:szCs w:val="18"/>
          <w:color w:val="auto"/>
        </w:rPr>
      </w:pPr>
    </w:p>
    <w:p>
      <w:pPr>
        <w:ind w:left="660" w:right="3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risks inherent in ship operation, including the discharge of pollutants;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retain key employees and the availability of skilled labor, ship crews and management;</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liability from future litigation;</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strategy and other plans and objectives for future operations;</w:t>
      </w:r>
    </w:p>
    <w:p>
      <w:pPr>
        <w:spacing w:after="0" w:line="8" w:lineRule="exact"/>
        <w:rPr>
          <w:rFonts w:ascii="Times New Roman" w:cs="Times New Roman" w:eastAsia="Times New Roman" w:hAnsi="Times New Roman"/>
          <w:sz w:val="18"/>
          <w:szCs w:val="18"/>
          <w:color w:val="auto"/>
        </w:rPr>
      </w:pPr>
    </w:p>
    <w:p>
      <w:pPr>
        <w:ind w:left="660" w:right="18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58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described in the Company’s Annual Report on Form 20-F filed with the SEC on March 1, 2017 and available at http://www.sec.gov.</w:t>
      </w:r>
    </w:p>
    <w:p>
      <w:pPr>
        <w:spacing w:after="0" w:line="15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59"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360"/>
      </w:cols>
      <w:pgMar w:left="240" w:top="60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2019-12-07T16:44:57Z</dcterms:created>
  <dcterms:modified xsi:type="dcterms:W3CDTF">2019-12-07T16:44:57Z</dcterms:modified>
</cp:coreProperties>
</file>