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Services LNG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8"/>
        </w:trPr>
        <w:tc>
          <w:tcPr>
            <w:tcW w:w="9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7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6"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on March 9, 2022 announcing the availability of its Annual Report on Form 20-F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80"/>
        <w:spacing w:after="0"/>
        <w:tabs>
          <w:tab w:leader="none" w:pos="63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Hamilton, Bermuda, March 9, 2022 </w:t>
      </w:r>
      <w:r>
        <w:rPr>
          <w:rFonts w:ascii="Arial" w:cs="Arial" w:eastAsia="Arial" w:hAnsi="Arial"/>
          <w:sz w:val="18"/>
          <w:szCs w:val="18"/>
          <w:color w:val="auto"/>
        </w:rPr>
        <w:t>- GasLog Ltd. (GasLog) (NYSE: GLOG), an international owner, operator and manager of liquefied natural gas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(“LNG”) carriers, announced today that its Annual Report on Form 20-F for the fiscal year ended December 31, 2021 (the “Annual Report”) has been filed with the U.S. Securities and Exchange Commission and can be accessed on the Company’s website, </w:t>
      </w:r>
      <w:r>
        <w:rPr>
          <w:rFonts w:ascii="Arial" w:cs="Arial" w:eastAsia="Arial" w:hAnsi="Arial"/>
          <w:sz w:val="18"/>
          <w:szCs w:val="18"/>
          <w:u w:val="single" w:color="auto"/>
          <w:color w:val="auto"/>
        </w:rPr>
        <w:t>http://www.gaslogltd.com</w:t>
      </w:r>
      <w:r>
        <w:rPr>
          <w:rFonts w:ascii="Arial" w:cs="Arial" w:eastAsia="Arial" w:hAnsi="Arial"/>
          <w:sz w:val="18"/>
          <w:szCs w:val="18"/>
          <w:color w:val="auto"/>
        </w:rPr>
        <w:t>, in the “Investor Relations” section under “SEC Filings”.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2021 audited financial statements, free of charge by contacting: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39 LNG carriers (35 on the water plus 4 under construction). Of these vessels, 20 are owned by GasLog, four have been sold and leased back by GasLog under long-term bareboat charters and of the remaining 15 LNG carriers, 14 are owned by the Company’s subsidiary, GasLog Partners LP, and one has been sold and leased back by GasLog Partners 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2022-03-09T16:06:44Z</dcterms:created>
  <dcterms:modified xsi:type="dcterms:W3CDTF">2022-03-09T16:06:44Z</dcterms:modified>
</cp:coreProperties>
</file>