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For the month of February 2017</w:t>
            </w:r>
          </w:p>
        </w:tc>
        <w:tc>
          <w:tcPr>
            <w:tcW w:w="1340" w:type="dxa"/>
            <w:vAlign w:val="bottom"/>
          </w:tcPr>
          <w:p>
            <w:pPr>
              <w:spacing w:after="0"/>
              <w:rPr>
                <w:sz w:val="20"/>
                <w:szCs w:val="20"/>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340" w:type="dxa"/>
            <w:vAlign w:val="bottom"/>
          </w:tcPr>
          <w:p>
            <w:pPr>
              <w:spacing w:after="0"/>
              <w:rPr>
                <w:sz w:val="24"/>
                <w:szCs w:val="24"/>
                <w:color w:val="auto"/>
              </w:rPr>
            </w:pPr>
          </w:p>
        </w:tc>
      </w:tr>
      <w:tr>
        <w:trPr>
          <w:trHeight w:val="418"/>
        </w:trPr>
        <w:tc>
          <w:tcPr>
            <w:tcW w:w="10080" w:type="dxa"/>
            <w:vAlign w:val="bottom"/>
          </w:tcPr>
          <w:p>
            <w:pPr>
              <w:jc w:val="center"/>
              <w:ind w:left="1250"/>
              <w:spacing w:after="0"/>
              <w:rPr>
                <w:sz w:val="20"/>
                <w:szCs w:val="20"/>
                <w:color w:val="auto"/>
              </w:rPr>
            </w:pPr>
            <w:r>
              <w:rPr>
                <w:rFonts w:ascii="Arial" w:cs="Arial" w:eastAsia="Arial" w:hAnsi="Arial"/>
                <w:sz w:val="18"/>
                <w:szCs w:val="18"/>
                <w:b w:val="1"/>
                <w:bCs w:val="1"/>
                <w:color w:val="auto"/>
                <w:w w:val="93"/>
              </w:rPr>
              <w:t>GasLog Ltd.</w:t>
            </w:r>
          </w:p>
        </w:tc>
        <w:tc>
          <w:tcPr>
            <w:tcW w:w="1340" w:type="dxa"/>
            <w:vAlign w:val="bottom"/>
          </w:tcPr>
          <w:p>
            <w:pPr>
              <w:spacing w:after="0"/>
              <w:rPr>
                <w:sz w:val="24"/>
                <w:szCs w:val="24"/>
                <w:color w:val="auto"/>
              </w:rPr>
            </w:pPr>
          </w:p>
        </w:tc>
      </w:tr>
      <w:tr>
        <w:trPr>
          <w:trHeight w:val="230"/>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1"/>
              </w:rPr>
              <w:t>(Translation of registrant’s name into English)</w:t>
            </w:r>
          </w:p>
        </w:tc>
        <w:tc>
          <w:tcPr>
            <w:tcW w:w="1340" w:type="dxa"/>
            <w:vAlign w:val="bottom"/>
          </w:tcPr>
          <w:p>
            <w:pPr>
              <w:spacing w:after="0"/>
              <w:rPr>
                <w:sz w:val="20"/>
                <w:szCs w:val="20"/>
                <w:color w:val="auto"/>
              </w:rPr>
            </w:pPr>
          </w:p>
        </w:tc>
      </w:tr>
      <w:tr>
        <w:trPr>
          <w:trHeight w:val="418"/>
        </w:trPr>
        <w:tc>
          <w:tcPr>
            <w:tcW w:w="10080" w:type="dxa"/>
            <w:vAlign w:val="bottom"/>
          </w:tcPr>
          <w:p>
            <w:pPr>
              <w:jc w:val="center"/>
              <w:ind w:left="1270"/>
              <w:spacing w:after="0"/>
              <w:rPr>
                <w:sz w:val="20"/>
                <w:szCs w:val="20"/>
                <w:color w:val="auto"/>
              </w:rPr>
            </w:pPr>
            <w:r>
              <w:rPr>
                <w:rFonts w:ascii="Arial" w:cs="Arial" w:eastAsia="Arial" w:hAnsi="Arial"/>
                <w:sz w:val="18"/>
                <w:szCs w:val="18"/>
                <w:color w:val="auto"/>
                <w:w w:val="92"/>
              </w:rPr>
              <w:t>c/o GasLog Monaco S.A.M.</w:t>
            </w:r>
          </w:p>
        </w:tc>
        <w:tc>
          <w:tcPr>
            <w:tcW w:w="1340" w:type="dxa"/>
            <w:vAlign w:val="bottom"/>
          </w:tcPr>
          <w:p>
            <w:pPr>
              <w:spacing w:after="0"/>
              <w:rPr>
                <w:sz w:val="24"/>
                <w:szCs w:val="24"/>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89"/>
              </w:rPr>
              <w:t>Gildo Pastor Center</w:t>
            </w:r>
          </w:p>
        </w:tc>
        <w:tc>
          <w:tcPr>
            <w:tcW w:w="1340" w:type="dxa"/>
            <w:vAlign w:val="bottom"/>
          </w:tcPr>
          <w:p>
            <w:pPr>
              <w:spacing w:after="0"/>
              <w:rPr>
                <w:sz w:val="18"/>
                <w:szCs w:val="18"/>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89"/>
              </w:rPr>
              <w:t>7 Rue du Gabian</w:t>
            </w:r>
          </w:p>
        </w:tc>
        <w:tc>
          <w:tcPr>
            <w:tcW w:w="1340" w:type="dxa"/>
            <w:vAlign w:val="bottom"/>
          </w:tcPr>
          <w:p>
            <w:pPr>
              <w:spacing w:after="0"/>
              <w:rPr>
                <w:sz w:val="18"/>
                <w:szCs w:val="18"/>
                <w:color w:val="auto"/>
              </w:rPr>
            </w:pPr>
          </w:p>
        </w:tc>
      </w:tr>
      <w:tr>
        <w:trPr>
          <w:trHeight w:val="216"/>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2"/>
              </w:rPr>
              <w:t>MC 98000, Monaco</w:t>
            </w:r>
          </w:p>
        </w:tc>
        <w:tc>
          <w:tcPr>
            <w:tcW w:w="1340" w:type="dxa"/>
            <w:vAlign w:val="bottom"/>
          </w:tcPr>
          <w:p>
            <w:pPr>
              <w:spacing w:after="0"/>
              <w:rPr>
                <w:sz w:val="18"/>
                <w:szCs w:val="18"/>
                <w:color w:val="auto"/>
              </w:rPr>
            </w:pPr>
          </w:p>
        </w:tc>
      </w:tr>
      <w:tr>
        <w:trPr>
          <w:trHeight w:val="230"/>
        </w:trPr>
        <w:tc>
          <w:tcPr>
            <w:tcW w:w="10080" w:type="dxa"/>
            <w:vAlign w:val="bottom"/>
          </w:tcPr>
          <w:p>
            <w:pPr>
              <w:jc w:val="center"/>
              <w:ind w:left="1250"/>
              <w:spacing w:after="0"/>
              <w:rPr>
                <w:sz w:val="20"/>
                <w:szCs w:val="20"/>
                <w:color w:val="auto"/>
              </w:rPr>
            </w:pPr>
            <w:r>
              <w:rPr>
                <w:rFonts w:ascii="Arial" w:cs="Arial" w:eastAsia="Arial" w:hAnsi="Arial"/>
                <w:sz w:val="18"/>
                <w:szCs w:val="18"/>
                <w:color w:val="auto"/>
                <w:w w:val="92"/>
              </w:rPr>
              <w:t>(Address of principal executive office)</w:t>
            </w:r>
          </w:p>
        </w:tc>
        <w:tc>
          <w:tcPr>
            <w:tcW w:w="1340" w:type="dxa"/>
            <w:vAlign w:val="bottom"/>
          </w:tcPr>
          <w:p>
            <w:pPr>
              <w:spacing w:after="0"/>
              <w:rPr>
                <w:sz w:val="20"/>
                <w:szCs w:val="20"/>
                <w:color w:val="auto"/>
              </w:rPr>
            </w:pP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340" w:type="dxa"/>
            <w:vAlign w:val="bottom"/>
          </w:tcPr>
          <w:p>
            <w:pPr>
              <w:spacing w:after="0"/>
              <w:rPr>
                <w:sz w:val="24"/>
                <w:szCs w:val="24"/>
                <w:color w:val="auto"/>
              </w:rPr>
            </w:pPr>
          </w:p>
        </w:tc>
      </w:tr>
      <w:tr>
        <w:trPr>
          <w:trHeight w:val="452"/>
        </w:trPr>
        <w:tc>
          <w:tcPr>
            <w:tcW w:w="100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340" w:type="dxa"/>
            <w:vAlign w:val="bottom"/>
          </w:tcPr>
          <w:p>
            <w:pPr>
              <w:spacing w:after="0"/>
              <w:rPr>
                <w:sz w:val="24"/>
                <w:szCs w:val="24"/>
                <w:color w:val="auto"/>
              </w:rPr>
            </w:pPr>
          </w:p>
        </w:tc>
      </w:tr>
      <w:tr>
        <w:trPr>
          <w:trHeight w:val="41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40" w:type="dxa"/>
            <w:vAlign w:val="bottom"/>
          </w:tcPr>
          <w:p>
            <w:pPr>
              <w:ind w:left="1120"/>
              <w:spacing w:after="0"/>
              <w:rPr>
                <w:sz w:val="20"/>
                <w:szCs w:val="20"/>
                <w:color w:val="auto"/>
              </w:rPr>
            </w:pPr>
            <w:r>
              <w:rPr>
                <w:rFonts w:ascii="Arial" w:cs="Arial" w:eastAsia="Arial" w:hAnsi="Arial"/>
                <w:sz w:val="18"/>
                <w:szCs w:val="18"/>
                <w:color w:val="auto"/>
              </w:rPr>
              <w:t>o</w:t>
            </w:r>
          </w:p>
        </w:tc>
      </w:tr>
      <w:tr>
        <w:trPr>
          <w:trHeight w:val="432"/>
        </w:trPr>
        <w:tc>
          <w:tcPr>
            <w:tcW w:w="1008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40" w:type="dxa"/>
            <w:vAlign w:val="bottom"/>
          </w:tcPr>
          <w:p>
            <w:pPr>
              <w:ind w:left="1120"/>
              <w:spacing w:after="0"/>
              <w:rPr>
                <w:sz w:val="20"/>
                <w:szCs w:val="20"/>
                <w:color w:val="auto"/>
              </w:rPr>
            </w:pPr>
            <w:r>
              <w:rPr>
                <w:rFonts w:ascii="Arial" w:cs="Arial" w:eastAsia="Arial" w:hAnsi="Arial"/>
                <w:sz w:val="18"/>
                <w:szCs w:val="18"/>
                <w:color w:val="auto"/>
              </w:rPr>
              <w:t>o</w:t>
            </w:r>
          </w:p>
        </w:tc>
      </w:tr>
      <w:tr>
        <w:trPr>
          <w:trHeight w:val="277"/>
        </w:trPr>
        <w:tc>
          <w:tcPr>
            <w:tcW w:w="10080" w:type="dxa"/>
            <w:vAlign w:val="bottom"/>
            <w:tcBorders>
              <w:bottom w:val="single" w:sz="8" w:color="C0C0C0"/>
            </w:tcBorders>
          </w:tcPr>
          <w:p>
            <w:pPr>
              <w:spacing w:after="0"/>
              <w:rPr>
                <w:sz w:val="24"/>
                <w:szCs w:val="24"/>
                <w:color w:val="auto"/>
              </w:rPr>
            </w:pPr>
          </w:p>
        </w:tc>
        <w:tc>
          <w:tcPr>
            <w:tcW w:w="13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firstLine="356"/>
        <w:spacing w:after="0" w:line="277" w:lineRule="auto"/>
        <w:rPr>
          <w:sz w:val="20"/>
          <w:szCs w:val="20"/>
          <w:color w:val="auto"/>
        </w:rPr>
      </w:pPr>
      <w:r>
        <w:rPr>
          <w:rFonts w:ascii="Arial" w:cs="Arial" w:eastAsia="Arial" w:hAnsi="Arial"/>
          <w:sz w:val="18"/>
          <w:szCs w:val="18"/>
          <w:color w:val="auto"/>
        </w:rPr>
        <w:t>The press release issued by GasLog Ltd. on February 17, 2017 relating to its results for the quarter and the year ended December 31, 2016 is attached hereto as Exhibit 99.1 and is incorporated herein by reference.</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17, 2017</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20"/>
          </w:cols>
          <w:pgMar w:left="240" w:top="409" w:right="539" w:bottom="1440" w:gutter="0" w:footer="0" w:header="0"/>
        </w:sectPr>
      </w:pPr>
    </w:p>
    <w:bookmarkStart w:id="2" w:name="page3"/>
    <w:bookmarkEnd w:id="2"/>
    <w:p>
      <w:pPr>
        <w:jc w:val="center"/>
        <w:ind w:right="-7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2017</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Paul Wogan</w:t>
      </w:r>
    </w:p>
    <w:p>
      <w:pPr>
        <w:spacing w:after="0" w:line="23"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640"/>
        <w:spacing w:after="0"/>
        <w:tabs>
          <w:tab w:leader="none" w:pos="7240" w:val="left"/>
        </w:tabs>
        <w:rPr>
          <w:sz w:val="20"/>
          <w:szCs w:val="20"/>
          <w:color w:val="auto"/>
        </w:rPr>
      </w:pPr>
      <w:r>
        <w:rPr>
          <w:rFonts w:ascii="Arial" w:cs="Arial" w:eastAsia="Arial" w:hAnsi="Arial"/>
          <w:sz w:val="18"/>
          <w:szCs w:val="18"/>
          <w:color w:val="auto"/>
        </w:rPr>
        <w:t>Title:</w:t>
        <w:tab/>
        <w:t>Chief Executive Officer</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40"/>
          </w:cols>
          <w:pgMar w:left="240" w:top="409" w:right="10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Reports Financial Results for the Quarter and the Year Ended December 31, 2016</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Monaco, February 17, 2017, GasLog Ltd. and its subsidiaries (“GasLog” or “Group” or “Company”) (NYSE: GLOG)</w:t>
      </w:r>
      <w:r>
        <w:rPr>
          <w:rFonts w:ascii="Arial" w:cs="Arial" w:eastAsia="Arial" w:hAnsi="Arial"/>
          <w:sz w:val="18"/>
          <w:szCs w:val="18"/>
          <w:color w:val="auto"/>
        </w:rPr>
        <w:t>, an international owner,</w:t>
      </w:r>
      <w:r>
        <w:rPr>
          <w:rFonts w:ascii="Arial" w:cs="Arial" w:eastAsia="Arial" w:hAnsi="Arial"/>
          <w:sz w:val="18"/>
          <w:szCs w:val="18"/>
          <w:b w:val="1"/>
          <w:bCs w:val="1"/>
          <w:color w:val="auto"/>
        </w:rPr>
        <w:t xml:space="preserve"> </w:t>
      </w:r>
      <w:r>
        <w:rPr>
          <w:rFonts w:ascii="Arial" w:cs="Arial" w:eastAsia="Arial" w:hAnsi="Arial"/>
          <w:sz w:val="18"/>
          <w:szCs w:val="18"/>
          <w:color w:val="auto"/>
        </w:rPr>
        <w:t>operator and manager of liquefied natural gas (“LNG”) carriers, today reported its unaudited financial results for the quarter and the year ended December 31,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w:t>
      </w:r>
    </w:p>
    <w:p>
      <w:pPr>
        <w:spacing w:after="0" w:line="233" w:lineRule="exact"/>
        <w:rPr>
          <w:sz w:val="20"/>
          <w:szCs w:val="20"/>
          <w:color w:val="auto"/>
        </w:rPr>
      </w:pPr>
    </w:p>
    <w:p>
      <w:pPr>
        <w:ind w:left="460" w:right="340" w:hanging="452"/>
        <w:spacing w:after="0" w:line="202" w:lineRule="auto"/>
        <w:tabs>
          <w:tab w:leader="none" w:pos="46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GasLog was awarded a seven-year charter by a subsidiary of Centrica plc</w:t>
      </w:r>
      <w:r>
        <w:rPr>
          <w:rFonts w:ascii="Arial" w:cs="Arial" w:eastAsia="Arial" w:hAnsi="Arial"/>
          <w:sz w:val="30"/>
          <w:szCs w:val="30"/>
          <w:color w:val="auto"/>
          <w:vertAlign w:val="superscript"/>
        </w:rPr>
        <w:t>(1)</w:t>
      </w:r>
      <w:r>
        <w:rPr>
          <w:rFonts w:ascii="Arial" w:cs="Arial" w:eastAsia="Arial" w:hAnsi="Arial"/>
          <w:sz w:val="18"/>
          <w:szCs w:val="18"/>
          <w:color w:val="auto"/>
        </w:rPr>
        <w:t>, commencing in 2019 and entered into a contract with Samsung Heavy Industries Co. Ltd. (“Samsung”) for the purchase of one 180,000 cubic meters capacity (“cbm”) newbuilding from the shipyard for delivery in the second quarter of 2019.</w:t>
      </w:r>
    </w:p>
    <w:p>
      <w:pPr>
        <w:spacing w:after="0" w:line="204" w:lineRule="exact"/>
        <w:rPr>
          <w:rFonts w:ascii="Arial" w:cs="Arial" w:eastAsia="Arial" w:hAnsi="Arial"/>
          <w:sz w:val="36"/>
          <w:szCs w:val="36"/>
          <w:color w:val="auto"/>
          <w:vertAlign w:val="superscript"/>
        </w:rPr>
      </w:pPr>
    </w:p>
    <w:p>
      <w:pPr>
        <w:ind w:left="460" w:right="36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Delivery of the </w:t>
      </w:r>
      <w:r>
        <w:rPr>
          <w:rFonts w:ascii="Arial" w:cs="Arial" w:eastAsia="Arial" w:hAnsi="Arial"/>
          <w:sz w:val="18"/>
          <w:szCs w:val="18"/>
          <w:i w:val="1"/>
          <w:iCs w:val="1"/>
          <w:color w:val="auto"/>
        </w:rPr>
        <w:t>GasLog Gibraltar</w:t>
      </w:r>
      <w:r>
        <w:rPr>
          <w:rFonts w:ascii="Arial" w:cs="Arial" w:eastAsia="Arial" w:hAnsi="Arial"/>
          <w:sz w:val="18"/>
          <w:szCs w:val="18"/>
          <w:color w:val="auto"/>
        </w:rPr>
        <w:t xml:space="preserve"> on October 31, 2016, on time and on budget. The vessel has commenced its seven-year charter to a subsidiary of Royal Dutch Shell plc (“Shell”).</w:t>
      </w:r>
    </w:p>
    <w:p>
      <w:pPr>
        <w:spacing w:after="0" w:line="129"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December 2016, GasLog entered into a sale and purchase agreement (“SPA”) to acquire a twenty percent (20%) shareholding in Gastrade S.A. (“Gastrade”), a private limited company licensed to develop an independent natural gas system offshore Alexandroupolis in Northern Greece utilizing a floating storage and regasification unit (“FSRU”) along with other fixed infrastructure. The acquisition closed on February 9, 2017.</w:t>
      </w:r>
    </w:p>
    <w:p>
      <w:pPr>
        <w:spacing w:after="0" w:line="165" w:lineRule="exact"/>
        <w:rPr>
          <w:rFonts w:ascii="Arial" w:cs="Arial" w:eastAsia="Arial" w:hAnsi="Arial"/>
          <w:sz w:val="17"/>
          <w:szCs w:val="17"/>
          <w:color w:val="auto"/>
        </w:rPr>
      </w:pPr>
    </w:p>
    <w:p>
      <w:pPr>
        <w:ind w:left="460" w:right="4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Keppel Shipyard Limited (“Keppel”) has begun ordering long lead items (“LLIs”) required for the conversion of a GasLog or GasLog Partners LP (“GasLog Partners” or the “Partnership”) LNG carrier to a FSRU.</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Completed the dropdown of the </w:t>
      </w:r>
      <w:r>
        <w:rPr>
          <w:rFonts w:ascii="Arial" w:cs="Arial" w:eastAsia="Arial" w:hAnsi="Arial"/>
          <w:sz w:val="18"/>
          <w:szCs w:val="18"/>
          <w:i w:val="1"/>
          <w:iCs w:val="1"/>
          <w:color w:val="auto"/>
        </w:rPr>
        <w:t>GasLog Seattle</w:t>
      </w:r>
      <w:r>
        <w:rPr>
          <w:rFonts w:ascii="Arial" w:cs="Arial" w:eastAsia="Arial" w:hAnsi="Arial"/>
          <w:sz w:val="18"/>
          <w:szCs w:val="18"/>
          <w:color w:val="auto"/>
        </w:rPr>
        <w:t xml:space="preserve"> to GasLog Partners for $189.0 million.</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Post quarter end, GasLog Partners successfully completed an equity offering of 3,750,000 common units raising net proceeds of $75.5 million.</w:t>
      </w:r>
    </w:p>
    <w:p>
      <w:pPr>
        <w:spacing w:after="0" w:line="199" w:lineRule="exact"/>
        <w:rPr>
          <w:rFonts w:ascii="Arial" w:cs="Arial" w:eastAsia="Arial" w:hAnsi="Arial"/>
          <w:sz w:val="17"/>
          <w:szCs w:val="17"/>
          <w:color w:val="auto"/>
        </w:rPr>
      </w:pPr>
    </w:p>
    <w:p>
      <w:pPr>
        <w:ind w:left="460" w:right="160" w:hanging="452"/>
        <w:spacing w:after="0" w:line="186" w:lineRule="auto"/>
        <w:tabs>
          <w:tab w:leader="none" w:pos="46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Revenues of $126.5 million (Q4 2015: $107.5 million), Profit of $46.4 million (Q4 2015: $18.2 million) and Earnings per share</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of $0.36 (Q4 2015: $0.04), for the quarter ended December 31, 2016.</w:t>
      </w:r>
    </w:p>
    <w:p>
      <w:pPr>
        <w:spacing w:after="0" w:line="85" w:lineRule="exact"/>
        <w:rPr>
          <w:rFonts w:ascii="Arial" w:cs="Arial" w:eastAsia="Arial" w:hAnsi="Arial"/>
          <w:sz w:val="36"/>
          <w:szCs w:val="36"/>
          <w:color w:val="auto"/>
          <w:vertAlign w:val="superscript"/>
        </w:rPr>
      </w:pPr>
    </w:p>
    <w:p>
      <w:pPr>
        <w:ind w:left="460" w:hanging="452"/>
        <w:spacing w:after="0"/>
        <w:tabs>
          <w:tab w:leader="none" w:pos="46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Adjusted Profit</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of $18.9 million (Q4 2015: $14.0 million), EBITDA</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of $84.8 million (Q4 2015: $68.0 million), Adjusted EBITDA</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of $85.4</w:t>
      </w:r>
    </w:p>
    <w:p>
      <w:pPr>
        <w:ind w:left="460" w:right="380"/>
        <w:spacing w:after="0" w:line="204" w:lineRule="auto"/>
        <w:rPr>
          <w:rFonts w:ascii="Arial" w:cs="Arial" w:eastAsia="Arial" w:hAnsi="Arial"/>
          <w:sz w:val="34"/>
          <w:szCs w:val="34"/>
          <w:color w:val="auto"/>
          <w:vertAlign w:val="superscript"/>
        </w:rPr>
      </w:pPr>
      <w:r>
        <w:rPr>
          <w:rFonts w:ascii="Arial" w:cs="Arial" w:eastAsia="Arial" w:hAnsi="Arial"/>
          <w:sz w:val="18"/>
          <w:szCs w:val="18"/>
          <w:color w:val="auto"/>
        </w:rPr>
        <w:t>million (Q4 2015: $69.2 million) and Adjusted Earnings per share</w:t>
      </w:r>
      <w:r>
        <w:rPr>
          <w:rFonts w:ascii="Arial" w:cs="Arial" w:eastAsia="Arial" w:hAnsi="Arial"/>
          <w:sz w:val="30"/>
          <w:szCs w:val="30"/>
          <w:color w:val="auto"/>
          <w:vertAlign w:val="superscript"/>
        </w:rPr>
        <w:t>(2)(3)</w:t>
      </w:r>
      <w:r>
        <w:rPr>
          <w:rFonts w:ascii="Arial" w:cs="Arial" w:eastAsia="Arial" w:hAnsi="Arial"/>
          <w:sz w:val="18"/>
          <w:szCs w:val="18"/>
          <w:color w:val="auto"/>
        </w:rPr>
        <w:t xml:space="preserve"> of $0.02 (Q4 2015: Adjusted Loss per share of $0.02) for the quarter ended December 31, 2016.</w:t>
      </w:r>
    </w:p>
    <w:p>
      <w:pPr>
        <w:spacing w:after="0" w:line="203" w:lineRule="exact"/>
        <w:rPr>
          <w:rFonts w:ascii="Arial" w:cs="Arial" w:eastAsia="Arial" w:hAnsi="Arial"/>
          <w:sz w:val="34"/>
          <w:szCs w:val="34"/>
          <w:color w:val="auto"/>
          <w:vertAlign w:val="superscript"/>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dividend of $0.14 per common share payable on March 16, 2017.</w:t>
      </w:r>
    </w:p>
    <w:p>
      <w:pPr>
        <w:spacing w:after="0" w:line="221"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2"/>
          <w:szCs w:val="12"/>
          <w:color w:val="auto"/>
        </w:rPr>
      </w:pPr>
      <w:r>
        <w:rPr>
          <w:rFonts w:ascii="Arial" w:cs="Arial" w:eastAsia="Arial" w:hAnsi="Arial"/>
          <w:sz w:val="14"/>
          <w:szCs w:val="14"/>
          <w:color w:val="auto"/>
        </w:rPr>
        <w:t>Pioneer Shipping Limited, a wholly owned subsidiary of Centrica plc (“Centrica”).</w:t>
      </w:r>
    </w:p>
    <w:p>
      <w:pPr>
        <w:spacing w:after="0" w:line="149" w:lineRule="exact"/>
        <w:rPr>
          <w:rFonts w:ascii="Arial" w:cs="Arial" w:eastAsia="Arial" w:hAnsi="Arial"/>
          <w:sz w:val="12"/>
          <w:szCs w:val="12"/>
          <w:color w:val="auto"/>
        </w:rPr>
      </w:pPr>
    </w:p>
    <w:p>
      <w:pPr>
        <w:ind w:left="240" w:right="180" w:hanging="232"/>
        <w:spacing w:after="0" w:line="253" w:lineRule="auto"/>
        <w:tabs>
          <w:tab w:leader="none" w:pos="240" w:val="left"/>
        </w:tabs>
        <w:numPr>
          <w:ilvl w:val="0"/>
          <w:numId w:val="2"/>
        </w:numPr>
        <w:rPr>
          <w:rFonts w:ascii="Arial" w:cs="Arial" w:eastAsia="Arial" w:hAnsi="Arial"/>
          <w:sz w:val="12"/>
          <w:szCs w:val="12"/>
          <w:color w:val="auto"/>
        </w:rPr>
      </w:pPr>
      <w:r>
        <w:rPr>
          <w:rFonts w:ascii="Arial" w:cs="Arial" w:eastAsia="Arial" w:hAnsi="Arial"/>
          <w:sz w:val="14"/>
          <w:szCs w:val="14"/>
          <w:color w:val="auto"/>
        </w:rPr>
        <w:t>Earnings/Loss per share (“EPS”) and Adjusted EPS are negatively affected by the profit attributable to the non-controlling interest of $15.1 million and the dividend on preferred stock of $2.5 million for the quarter ended December 31, 2016 ($12.7 million and $2.5 million, respectively, for the quarter ended December 31, 2015).</w:t>
      </w:r>
    </w:p>
    <w:p>
      <w:pPr>
        <w:spacing w:after="0" w:line="106" w:lineRule="exact"/>
        <w:rPr>
          <w:rFonts w:ascii="Arial" w:cs="Arial" w:eastAsia="Arial" w:hAnsi="Arial"/>
          <w:sz w:val="12"/>
          <w:szCs w:val="12"/>
          <w:color w:val="auto"/>
        </w:rPr>
      </w:pPr>
    </w:p>
    <w:p>
      <w:pPr>
        <w:ind w:left="240" w:right="40" w:hanging="232"/>
        <w:spacing w:after="0" w:line="238" w:lineRule="auto"/>
        <w:tabs>
          <w:tab w:leader="none" w:pos="240" w:val="left"/>
        </w:tabs>
        <w:numPr>
          <w:ilvl w:val="0"/>
          <w:numId w:val="2"/>
        </w:numPr>
        <w:rPr>
          <w:rFonts w:ascii="Arial" w:cs="Arial" w:eastAsia="Arial" w:hAnsi="Arial"/>
          <w:sz w:val="12"/>
          <w:szCs w:val="12"/>
          <w:color w:val="auto"/>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definition and reconciliation of these measures to the most directly comparable financial measures calculated and presented in accordance with IFRS, please refer to Exhibit II at the end of this press release.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Statement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Paul Wogan, Chief Executive Officer, stated: “GasLog had a strong final quarter of the year and despite the market volatility in 2016, continued to execute on its strategy throughout the year.</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We signed a seven-year charter with Centrica, a leading European energy company and a new customer for GasLog. We made encouraging progress on our FSRU strategy both through signing a SPA to acquire a 20% interest in Gastrade, a company that is developing a FSRU project in Northern Greece, and securing long-lead items for a FSRU vessel conversion. We took delivery of the </w:t>
      </w:r>
      <w:r>
        <w:rPr>
          <w:rFonts w:ascii="Arial" w:cs="Arial" w:eastAsia="Arial" w:hAnsi="Arial"/>
          <w:sz w:val="17"/>
          <w:szCs w:val="17"/>
          <w:i w:val="1"/>
          <w:iCs w:val="1"/>
          <w:color w:val="auto"/>
        </w:rPr>
        <w:t>GasLog Gibraltar</w:t>
      </w:r>
      <w:r>
        <w:rPr>
          <w:rFonts w:ascii="Arial" w:cs="Arial" w:eastAsia="Arial" w:hAnsi="Arial"/>
          <w:sz w:val="17"/>
          <w:szCs w:val="17"/>
          <w:color w:val="auto"/>
        </w:rPr>
        <w:t xml:space="preserve"> on time and on budget and it immediately commenced a seven-year charter to Shell. Finally, we announced and completed the dropdown of the </w:t>
      </w:r>
      <w:r>
        <w:rPr>
          <w:rFonts w:ascii="Arial" w:cs="Arial" w:eastAsia="Arial" w:hAnsi="Arial"/>
          <w:sz w:val="17"/>
          <w:szCs w:val="17"/>
          <w:i w:val="1"/>
          <w:iCs w:val="1"/>
          <w:color w:val="auto"/>
        </w:rPr>
        <w:t>GasLog Seattle</w:t>
      </w:r>
      <w:r>
        <w:rPr>
          <w:rFonts w:ascii="Arial" w:cs="Arial" w:eastAsia="Arial" w:hAnsi="Arial"/>
          <w:sz w:val="17"/>
          <w:szCs w:val="17"/>
          <w:color w:val="auto"/>
        </w:rPr>
        <w:t xml:space="preserve"> to GasLog Partners, demonstrating the effectiveness of our master limited partnership (“MLP”) as a cost-efficient funding vehicle for GasLog.</w:t>
      </w:r>
    </w:p>
    <w:p>
      <w:pPr>
        <w:spacing w:after="0" w:line="17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Looking forward, we expect to drop down another vessel into GasLog Partners in the first half of 2017, providing GasLog with additional capital. This, along with all the achievements of 2016, places the Company in a strong position to take advantage of opportunities we expect to arise as the LNG shipping market supply and demand balance continues to tighten. We remain confident that 2017 will be a productive year for GasLog and its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Charter Party Agreement with Centrica and Newbuilding Order</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October 2016, GasLog entered into a time charter party agreement with a subsidiary of Centrica for a period of seven years, commencing in 2019. In conjunction with this new charter award, GAS-twenty eight Ltd. entered into a shipbuilding contract with Samsung for the construction of one LNG carrier (180,000 cbm). The vessel is expected to be delivered in the second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 xml:space="preserve">Delivery of the </w:t>
      </w:r>
      <w:r>
        <w:rPr>
          <w:rFonts w:ascii="Arial" w:cs="Arial" w:eastAsia="Arial" w:hAnsi="Arial"/>
          <w:sz w:val="18"/>
          <w:szCs w:val="18"/>
          <w:b w:val="1"/>
          <w:bCs w:val="1"/>
          <w:i w:val="1"/>
          <w:iCs w:val="1"/>
          <w:u w:val="single" w:color="auto"/>
          <w:color w:val="auto"/>
        </w:rPr>
        <w:t>GasLog Gibraltar</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 xml:space="preserve">On October 31, 2016, GasLog took delivery of the </w:t>
      </w:r>
      <w:r>
        <w:rPr>
          <w:rFonts w:ascii="Arial" w:cs="Arial" w:eastAsia="Arial" w:hAnsi="Arial"/>
          <w:sz w:val="16"/>
          <w:szCs w:val="16"/>
          <w:i w:val="1"/>
          <w:iCs w:val="1"/>
          <w:color w:val="auto"/>
        </w:rPr>
        <w:t>GasLog Gibraltar</w:t>
      </w:r>
      <w:r>
        <w:rPr>
          <w:rFonts w:ascii="Arial" w:cs="Arial" w:eastAsia="Arial" w:hAnsi="Arial"/>
          <w:sz w:val="16"/>
          <w:szCs w:val="16"/>
          <w:color w:val="auto"/>
        </w:rPr>
        <w:t>, a LNG carrier of 174,000 cbm with tri-fuel diesel electric (“TFDE”) propulsion constructed by Samsung. The vessel is chartered out to Methane Services Limited (“MSL”), a subsidiary of Shell, from delivery until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 for a FSRU Project with Gastrade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December 2016, GasLog entered into a SPA to acquire a twenty percent (20%) shareholding in Gastrade, a private limited company licensed to develop an independent natural gas system offshore Alexandroupolis in Northern Greece utilizing a FSRU along with other fixed infrastructure. GasLog, as well as being a shareholder, will provide operations and maintenance (“O&amp;M”) services for the FSRU through an O&amp;M agreement. Gastrade is currently in discussions with a number of additional potential investors, including DEPA, the Greek state owned gas company, Bulgarian Energy Holding (“BEH”), the holding company of the Bulgarian Ministry of Energy and major gas suppliers and targets to take final investment decision (“FID”) by the end of 2017 with the FSRU scheduled to be operational by the end of 2019. The acquisition closed on February 9,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Order of FSRU LLIs for LNG Carrier Conversion</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Keppel, the world’s leading shipyard for FSRU conversions, has begun ordering LLIs required for the FSRU conversion of a GasLog or GasLog Partners LNG carrier. The LLIs will take approximately 12 months to deliver at a total cost of around $16 million. Ordering the LLIs reduces the time necessary to convert an LNG carrier from between 18-20 months to 6-8 months once the LLIs are delivered.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Dropdown of the </w:t>
      </w:r>
      <w:r>
        <w:rPr>
          <w:rFonts w:ascii="Arial" w:cs="Arial" w:eastAsia="Arial" w:hAnsi="Arial"/>
          <w:sz w:val="18"/>
          <w:szCs w:val="18"/>
          <w:b w:val="1"/>
          <w:bCs w:val="1"/>
          <w:i w:val="1"/>
          <w:iCs w:val="1"/>
          <w:u w:val="single" w:color="auto"/>
          <w:color w:val="auto"/>
        </w:rPr>
        <w:t>GasLog Seattle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On November 1, 2016, GasLog Partners acquired from GasLog 100% of the ownership interest in GAS-seven Ltd., the entity that owns the </w:t>
      </w:r>
      <w:r>
        <w:rPr>
          <w:rFonts w:ascii="Arial" w:cs="Arial" w:eastAsia="Arial" w:hAnsi="Arial"/>
          <w:sz w:val="18"/>
          <w:szCs w:val="18"/>
          <w:i w:val="1"/>
          <w:iCs w:val="1"/>
          <w:color w:val="auto"/>
        </w:rPr>
        <w:t>GasLog Seattle</w:t>
      </w:r>
      <w:r>
        <w:rPr>
          <w:rFonts w:ascii="Arial" w:cs="Arial" w:eastAsia="Arial" w:hAnsi="Arial"/>
          <w:sz w:val="18"/>
          <w:szCs w:val="18"/>
          <w:color w:val="auto"/>
        </w:rPr>
        <w:t>, for an aggregate purchase price of $189.0 million, including $1.0 million of positive net working capital. The acquisition was partially financed with proceeds from the public offering completed by GasLog Partners in August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GasLog Partners Equity Offering</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January 27, 2017, GasLog Partners completed an equity offering of 3,750,000 common units at a price to the public of $20.50 per common unit. The Partnership plans to use the net proceeds from the public offering for general partnership purposes, which may include future acquisitions, debt repayment, capital expenditures and additions to working capital. We estimate that the net proceeds from this offering will be $75.5 million (excluding $1.6 million from the sale of general partner units to GasLog to maintain its 2.0% interest in the Partnership).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Chief Financial Officer Transition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2017, Simon Crowe, GasLog and GasLog Partners’ Chief Financial Officer (“CFO”) informed the board of directors of his intention to step down from the position of CFO in March 2017. As GasLog’s CFO for four years and GasLog Partners’ CFO since its inception, Mr. Crowe has been instrumental in supporting the Company’s growth, with a focus on the balance sheet and capital structure. His numerous successful financing activities have put GasLog and GasLog Partners in a strong financial position.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February 1, 2017, GasLog and GasLog Partners announced that the board of directors had appointed Alastair Maxwell as CFO with an expected effective date in early March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Declaration</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November 17, 2016, the board of directors declared a dividend on the Series A Preference Shares of $0.546875 per share, or $2.5 million in the aggregate, payable on January 3, 2017 to holders of record as of December 30, 2016. GasLog paid the declared dividend to the transfer agent on December 30, 2016.</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February 16, 2017, the board of directors declared a quarterly cash dividend of $0.14 per common share payable on March 16, 2017 to shareholders of record as of March 6,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Financial Summary</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154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0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For the three months ended</w:t>
            </w:r>
          </w:p>
        </w:tc>
        <w:tc>
          <w:tcPr>
            <w:tcW w:w="28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For the year ended</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of U.S. dollars, except per share data</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December 31,</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December 31,</w:t>
            </w: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1540" w:type="dxa"/>
            <w:vAlign w:val="bottom"/>
            <w:tcBorders>
              <w:bottom w:val="single" w:sz="8" w:color="E5FFFF"/>
            </w:tcBorders>
          </w:tcPr>
          <w:p>
            <w:pPr>
              <w:spacing w:after="0"/>
              <w:rPr>
                <w:sz w:val="20"/>
                <w:szCs w:val="20"/>
                <w:color w:val="auto"/>
              </w:rPr>
            </w:pPr>
          </w:p>
        </w:tc>
        <w:tc>
          <w:tcPr>
            <w:tcW w:w="408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r>
      <w:tr>
        <w:trPr>
          <w:trHeight w:val="210"/>
        </w:trPr>
        <w:tc>
          <w:tcPr>
            <w:tcW w:w="56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107,521</w:t>
            </w:r>
          </w:p>
        </w:tc>
        <w:tc>
          <w:tcPr>
            <w:tcW w:w="24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126,481</w:t>
            </w:r>
          </w:p>
        </w:tc>
        <w:tc>
          <w:tcPr>
            <w:tcW w:w="24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415,078</w:t>
            </w:r>
          </w:p>
        </w:tc>
        <w:tc>
          <w:tcPr>
            <w:tcW w:w="20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466,059</w:t>
            </w:r>
          </w:p>
        </w:tc>
        <w:tc>
          <w:tcPr>
            <w:tcW w:w="100" w:type="dxa"/>
            <w:vAlign w:val="bottom"/>
            <w:shd w:val="clear" w:color="auto" w:fill="E5FF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Profit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18,235</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46,426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53,668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28,051</w:t>
            </w:r>
          </w:p>
        </w:tc>
      </w:tr>
      <w:tr>
        <w:trPr>
          <w:trHeight w:val="257"/>
        </w:trPr>
        <w:tc>
          <w:tcPr>
            <w:tcW w:w="56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Profit</w:t>
            </w:r>
            <w:r>
              <w:rPr>
                <w:rFonts w:ascii="Arial" w:cs="Arial" w:eastAsia="Arial" w:hAnsi="Arial"/>
                <w:sz w:val="29"/>
                <w:szCs w:val="29"/>
                <w:color w:val="auto"/>
                <w:vertAlign w:val="superscript"/>
              </w:rPr>
              <w:t>(1)</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13,979</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18,853</w:t>
            </w:r>
          </w:p>
        </w:tc>
        <w:tc>
          <w:tcPr>
            <w:tcW w:w="14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55,895</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57,495</w:t>
            </w:r>
          </w:p>
        </w:tc>
      </w:tr>
      <w:tr>
        <w:trPr>
          <w:trHeight w:val="257"/>
        </w:trPr>
        <w:tc>
          <w:tcPr>
            <w:tcW w:w="5620" w:type="dxa"/>
            <w:vAlign w:val="bottom"/>
            <w:gridSpan w:val="2"/>
          </w:tcPr>
          <w:p>
            <w:pPr>
              <w:spacing w:after="0" w:line="256"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68,009</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84,756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262,170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301,023</w:t>
            </w:r>
          </w:p>
        </w:tc>
      </w:tr>
      <w:tr>
        <w:trPr>
          <w:trHeight w:val="257"/>
        </w:trPr>
        <w:tc>
          <w:tcPr>
            <w:tcW w:w="5620" w:type="dxa"/>
            <w:vAlign w:val="bottom"/>
            <w:gridSpan w:val="2"/>
            <w:shd w:val="clear" w:color="auto" w:fill="E5FFFF"/>
          </w:tcPr>
          <w:p>
            <w:pPr>
              <w:spacing w:after="0" w:line="256"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69,212</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85,406</w:t>
            </w:r>
          </w:p>
        </w:tc>
        <w:tc>
          <w:tcPr>
            <w:tcW w:w="14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262,969</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302,386</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Profit/(loss) attributable to the owners of GasLog</w:t>
            </w:r>
          </w:p>
        </w:tc>
        <w:tc>
          <w:tcPr>
            <w:tcW w:w="1260" w:type="dxa"/>
            <w:vAlign w:val="bottom"/>
          </w:tcPr>
          <w:p>
            <w:pPr>
              <w:jc w:val="right"/>
              <w:spacing w:after="0"/>
              <w:rPr>
                <w:sz w:val="20"/>
                <w:szCs w:val="20"/>
                <w:color w:val="auto"/>
              </w:rPr>
            </w:pPr>
            <w:r>
              <w:rPr>
                <w:rFonts w:ascii="Arial" w:cs="Arial" w:eastAsia="Arial" w:hAnsi="Arial"/>
                <w:sz w:val="18"/>
                <w:szCs w:val="18"/>
                <w:color w:val="auto"/>
              </w:rPr>
              <w:t>5,526</w:t>
            </w:r>
          </w:p>
        </w:tc>
        <w:tc>
          <w:tcPr>
            <w:tcW w:w="2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31,322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10,829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(21,486)</w:t>
            </w:r>
          </w:p>
        </w:tc>
      </w:tr>
      <w:tr>
        <w:trPr>
          <w:trHeight w:val="216"/>
        </w:trPr>
        <w:tc>
          <w:tcPr>
            <w:tcW w:w="562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EPS, basic</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0.04</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0.36</w:t>
            </w:r>
          </w:p>
        </w:tc>
        <w:tc>
          <w:tcPr>
            <w:tcW w:w="144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0.04</w:t>
            </w:r>
          </w:p>
        </w:tc>
        <w:tc>
          <w:tcPr>
            <w:tcW w:w="136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(0.39)</w:t>
            </w:r>
          </w:p>
        </w:tc>
      </w:tr>
      <w:tr>
        <w:trPr>
          <w:trHeight w:val="390"/>
        </w:trPr>
        <w:tc>
          <w:tcPr>
            <w:tcW w:w="5620" w:type="dxa"/>
            <w:vAlign w:val="bottom"/>
            <w:gridSpan w:val="2"/>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bl>
    <w:p>
      <w:pPr>
        <w:spacing w:after="0" w:line="41" w:lineRule="exact"/>
        <w:rPr>
          <w:sz w:val="20"/>
          <w:szCs w:val="20"/>
          <w:color w:val="auto"/>
        </w:rPr>
      </w:pPr>
    </w:p>
    <w:p>
      <w:pPr>
        <w:sectPr>
          <w:pgSz w:w="11900" w:h="16838" w:orient="portrait"/>
          <w:cols w:equalWidth="0" w:num="1">
            <w:col w:w="11420"/>
          </w:cols>
          <w:pgMar w:left="240" w:top="405" w:right="239" w:bottom="1440" w:gutter="0" w:footer="0" w:header="0"/>
        </w:sect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5" w:name="page6"/>
    <w:bookmarkEnd w:id="5"/>
    <w:p>
      <w:pPr>
        <w:jc w:val="both"/>
        <w:ind w:left="240" w:right="40" w:hanging="232"/>
        <w:spacing w:after="0" w:line="238" w:lineRule="auto"/>
        <w:tabs>
          <w:tab w:leader="none" w:pos="240" w:val="left"/>
        </w:tabs>
        <w:numPr>
          <w:ilvl w:val="0"/>
          <w:numId w:val="3"/>
        </w:numPr>
        <w:rPr>
          <w:rFonts w:ascii="Arial" w:cs="Arial" w:eastAsia="Arial" w:hAnsi="Arial"/>
          <w:sz w:val="12"/>
          <w:szCs w:val="12"/>
          <w:color w:val="auto"/>
        </w:rPr>
      </w:pPr>
      <w:r>
        <w:rPr>
          <w:rFonts w:ascii="Arial" w:cs="Arial" w:eastAsia="Arial" w:hAnsi="Arial"/>
          <w:sz w:val="14"/>
          <w:szCs w:val="14"/>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There were 2,078 and 7,439 operating days for the quarter and the year ended December 31, 2016, respectively, as compared to 1,701 and 6,097 operating days for the quarter and the year ended December 31, 2015, respectively. The increase in operating days resulted mainly from the acquisitions of the </w:t>
      </w:r>
      <w:r>
        <w:rPr>
          <w:rFonts w:ascii="Arial" w:cs="Arial" w:eastAsia="Arial" w:hAnsi="Arial"/>
          <w:sz w:val="18"/>
          <w:szCs w:val="18"/>
          <w:i w:val="1"/>
          <w:iCs w:val="1"/>
          <w:color w:val="auto"/>
        </w:rPr>
        <w:t>Methane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Becki Anne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Methane Julia Louise </w:t>
      </w:r>
      <w:r>
        <w:rPr>
          <w:rFonts w:ascii="Arial" w:cs="Arial" w:eastAsia="Arial" w:hAnsi="Arial"/>
          <w:sz w:val="18"/>
          <w:szCs w:val="18"/>
          <w:color w:val="auto"/>
        </w:rPr>
        <w:t>on March 31, 2015 and the deliveries of the</w:t>
      </w:r>
      <w:r>
        <w:rPr>
          <w:rFonts w:ascii="Arial" w:cs="Arial" w:eastAsia="Arial" w:hAnsi="Arial"/>
          <w:sz w:val="18"/>
          <w:szCs w:val="18"/>
          <w:i w:val="1"/>
          <w:iCs w:val="1"/>
          <w:color w:val="auto"/>
        </w:rPr>
        <w:t xml:space="preserve"> GasLog Salem</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Greece</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Glasgow</w:t>
      </w:r>
      <w:r>
        <w:rPr>
          <w:rFonts w:ascii="Arial" w:cs="Arial" w:eastAsia="Arial" w:hAnsi="Arial"/>
          <w:sz w:val="18"/>
          <w:szCs w:val="18"/>
          <w:color w:val="auto"/>
        </w:rPr>
        <w:t>, the</w:t>
      </w:r>
      <w:r>
        <w:rPr>
          <w:rFonts w:ascii="Arial" w:cs="Arial" w:eastAsia="Arial" w:hAnsi="Arial"/>
          <w:sz w:val="18"/>
          <w:szCs w:val="18"/>
          <w:i w:val="1"/>
          <w:iCs w:val="1"/>
          <w:color w:val="auto"/>
        </w:rPr>
        <w:t xml:space="preserve"> GasLog Geneva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GasLog Gibraltar </w:t>
      </w:r>
      <w:r>
        <w:rPr>
          <w:rFonts w:ascii="Arial" w:cs="Arial" w:eastAsia="Arial" w:hAnsi="Arial"/>
          <w:sz w:val="18"/>
          <w:szCs w:val="18"/>
          <w:color w:val="auto"/>
        </w:rPr>
        <w:t>on April 30, 2015, March 29, 2016, June 30, 2016, September 30, 2016 and October 31, 2016, respectively, combined with</w:t>
      </w:r>
      <w:r>
        <w:rPr>
          <w:rFonts w:ascii="Arial" w:cs="Arial" w:eastAsia="Arial" w:hAnsi="Arial"/>
          <w:sz w:val="18"/>
          <w:szCs w:val="18"/>
          <w:i w:val="1"/>
          <w:iCs w:val="1"/>
          <w:color w:val="auto"/>
        </w:rPr>
        <w:t xml:space="preserve"> </w:t>
      </w:r>
      <w:r>
        <w:rPr>
          <w:rFonts w:ascii="Arial" w:cs="Arial" w:eastAsia="Arial" w:hAnsi="Arial"/>
          <w:sz w:val="18"/>
          <w:szCs w:val="18"/>
          <w:color w:val="auto"/>
        </w:rPr>
        <w:t>fewer off-hire days due to scheduled drydockings.</w:t>
      </w:r>
    </w:p>
    <w:p>
      <w:pPr>
        <w:spacing w:after="0" w:line="18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Profit was $46.4 million and $28.1 million for the quarter and the year ended December 31, 2016, respectively ($18.2 million and $53.7 million for the quarter and the year ended December 31, 2015, respectively). The increase in profit for the quarter is mainly attributable to the increased profit from operations mainly due to the higher number of operating days, as well as increased unrealized gain from swaps’ mark to market valuations in the fourth quarter of 2016. The decrease in profit for the year is mainly attributable to the increased financial costs derived mainly from the write-off of unamortized fees associated with the six legacy facilities that were refinanced by the credit agreement entered into in July 2016 (the “Legacy Facility Refinancing”) and the recycling of accumulated loss from equity to the statement of profit or loss related to the swap agreements that were terminated in July 2016, partially offset by a net increase in profit from operations resulting mainly from the increase in operating days mitigated by a lower daily hire rate affected by the vessels operating in the spot market.</w:t>
      </w:r>
    </w:p>
    <w:p>
      <w:pPr>
        <w:spacing w:after="0" w:line="196"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Adjusted Profit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$18.9 million and $57.5 million for the quarter and the year ended December 31, 2016, respectively ($14.0 million and $55.9 million for the quarter and the year ended December 31, 2015, respectively), adjusted for the effects of the non-cash gain/(loss) on swaps, the write-off of unamortized loan fees, as well as the net foreign exchange losses.</w:t>
      </w:r>
    </w:p>
    <w:p>
      <w:pPr>
        <w:spacing w:after="0" w:line="20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Profit/(loss) attributable to the owners of GasLog was a profit of $31.3 million and a loss of $21.5 million for the quarter and the year ended December 31, 2016, respectively (profit of $5.5 million and $10.8 million for the quarter and the year ended December 31, 2015, respectively). The increase in profit attributable to the owners of GasLog for the quarter and the decrease for the year resulted mainly from the respective movements in profit mentioned above.</w:t>
      </w:r>
    </w:p>
    <w:p>
      <w:pPr>
        <w:spacing w:after="0" w:line="150" w:lineRule="exact"/>
        <w:rPr>
          <w:sz w:val="20"/>
          <w:szCs w:val="20"/>
          <w:color w:val="auto"/>
        </w:rPr>
      </w:pPr>
    </w:p>
    <w:p>
      <w:pPr>
        <w:ind w:right="200"/>
        <w:spacing w:after="0" w:line="210" w:lineRule="auto"/>
        <w:rPr>
          <w:sz w:val="20"/>
          <w:szCs w:val="20"/>
          <w:color w:val="auto"/>
        </w:rPr>
      </w:pPr>
      <w:r>
        <w:rPr>
          <w:rFonts w:ascii="Arial" w:cs="Arial" w:eastAsia="Arial" w:hAnsi="Arial"/>
          <w:sz w:val="18"/>
          <w:szCs w:val="18"/>
          <w:color w:val="auto"/>
        </w:rPr>
        <w:t>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$84.8 million and $301.0 million for the quarter and the year ended December 31, 2016, respectively ($68.0 million and $262.2 million for the quarter and the year ended December 31, 2015, respectively).</w:t>
      </w:r>
    </w:p>
    <w:p>
      <w:pPr>
        <w:spacing w:after="0" w:line="206" w:lineRule="exact"/>
        <w:rPr>
          <w:sz w:val="20"/>
          <w:szCs w:val="20"/>
          <w:color w:val="auto"/>
        </w:rPr>
      </w:pPr>
    </w:p>
    <w:p>
      <w:pPr>
        <w:ind w:right="320"/>
        <w:spacing w:after="0" w:line="210" w:lineRule="auto"/>
        <w:rPr>
          <w:sz w:val="20"/>
          <w:szCs w:val="20"/>
          <w:color w:val="auto"/>
        </w:rPr>
      </w:pPr>
      <w:r>
        <w:rPr>
          <w:rFonts w:ascii="Arial" w:cs="Arial" w:eastAsia="Arial" w:hAnsi="Arial"/>
          <w:sz w:val="18"/>
          <w:szCs w:val="18"/>
          <w:color w:val="auto"/>
        </w:rPr>
        <w:t>Adjusted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$85.4 million and $302.4 million for the quarter and the year ended December 31, 2016, respectively ($69.2 million and $263.0 million for the quarter and the year ended December 31, 2015, respectively).</w:t>
      </w:r>
    </w:p>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EPS was earnings of $0.36 and a loss of $0.39 for the quarter and the year ended December 31, 2016, respectively (earnings of $0.04 for both the quarter and the year ended December 31, 2015). The increase in earnings per share for the quarter and decrease in earnings per share for the year are mainly attributable to the respective movements in profit attributable to the owners of GasLog discussed above.</w:t>
      </w:r>
    </w:p>
    <w:p>
      <w:pPr>
        <w:spacing w:after="0" w:line="185"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Adjusted EPS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was earnings of $0.02 and a loss of $0.03 for the quarter and the year ended December 31, 2016, respectively (a loss of $0.02 and earnings of $0.07 for the quarter and the year ended December 31, 2015, respectively).</w:t>
      </w:r>
    </w:p>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Revenues were $126.5 million and $466.1 million for the quarter and the year ended December 31, 2016, respectively ($107.5 million and $415.1 million for the quarter and the year ended December 31, 2015, respectively). The increase in revenues was mainly driven by the new vessel deliveries and on-the-water vessel acquisitions during the previous periods and fewer off-hire days due to scheduled drydockings.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Vessel operating and supervision costs were $29.4 million and $112.6 million for the quarter and the year ended December 31, 2016, respectively ($24.6 million and $98.6 million for the quarter and the year ended December 31, 2015, respectively).</w:t>
      </w:r>
    </w:p>
    <w:p>
      <w:pPr>
        <w:spacing w:after="0" w:line="17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Voyage expenses and commissions were $2.5 million and $15.2 million for the quarter and the year ended December 31, 2016, respectively ($4.1 million and $14.3 million for the quarter and the year ended December 31, 2015, respectively).</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was $33.9 million and $123.0 million for the quarter and the year ended December 31, 2016, respectively ($28.5 million and $106.6 million for the quarter and the year ended December 31, 2015, respectively).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increases in vessel operating and supervision costs and depreciation were mainly attributable to the increase in ownership days from our increased fleet as discussed above.</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General and administrative expenses were $10.3 million and $38.6 million for the quarter and the year ended December 31, 2016, respectively ($10.9 million and $41.3 million for the quarter and the year ended December 31, 2015, respectively). The year-on-year decrease is mainly attributable to a decrease in legal and professional expenses partially offset by an increase in all other expenses.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Financial costs were $30.6 million and $137.3 million for the quarter and the year ended December 31, 2016, respectively ($24.7 million and $92.0 million for the quarter and the year ended December 31, 2015, respectively). An analysis of financial costs is set forth below:</w:t>
      </w:r>
    </w:p>
    <w:p>
      <w:pPr>
        <w:sectPr>
          <w:pgSz w:w="11900" w:h="16838" w:orient="portrait"/>
          <w:cols w:equalWidth="0" w:num="1">
            <w:col w:w="11420"/>
          </w:cols>
          <w:pgMar w:left="240" w:top="404"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4"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4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For the three months ended</w:t>
            </w:r>
          </w:p>
        </w:tc>
        <w:tc>
          <w:tcPr>
            <w:tcW w:w="29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For the year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7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December 31,</w:t>
            </w: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76"/>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Financial costs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Amortization and write-off of deferred loan and bond issuance</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costs and premium</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(3,188)</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(2,895)</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(11,355)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(35,141)</w:t>
            </w: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w w:val="95"/>
              </w:rPr>
              <w:t>Interest expense on loans and realized loss on cash flow hedges</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(18,391)</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(21,474)</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(68,253)</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(76,495)</w:t>
            </w:r>
          </w:p>
        </w:tc>
        <w:tc>
          <w:tcPr>
            <w:tcW w:w="0" w:type="dxa"/>
            <w:vAlign w:val="bottom"/>
          </w:tcPr>
          <w:p>
            <w:pPr>
              <w:spacing w:after="0"/>
              <w:rPr>
                <w:sz w:val="1"/>
                <w:szCs w:val="1"/>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Interest expense on bond and realized loss on cross-currency</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swaps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(2,856)</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(3,033)</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(11,331)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Finance lease charge</w:t>
            </w:r>
          </w:p>
        </w:tc>
        <w:tc>
          <w:tcPr>
            <w:tcW w:w="17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(2,795)</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(9,367)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Loss arising on bond repurchase at a premium</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Other financial costs</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(264)</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(363)</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(1,017)</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auto"/>
            </w:tcBorders>
          </w:tcPr>
          <w:p>
            <w:pPr>
              <w:spacing w:after="0"/>
              <w:rPr>
                <w:sz w:val="12"/>
                <w:szCs w:val="12"/>
                <w:color w:val="auto"/>
              </w:rPr>
            </w:pPr>
          </w:p>
        </w:tc>
        <w:tc>
          <w:tcPr>
            <w:tcW w:w="480" w:type="dxa"/>
            <w:vAlign w:val="bottom"/>
          </w:tcPr>
          <w:p>
            <w:pPr>
              <w:jc w:val="right"/>
              <w:ind w:right="340"/>
              <w:spacing w:after="0" w:line="142" w:lineRule="exact"/>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tcBorders>
          </w:tcPr>
          <w:p>
            <w:pPr>
              <w:spacing w:after="0"/>
              <w:rPr>
                <w:sz w:val="12"/>
                <w:szCs w:val="12"/>
                <w:color w:val="auto"/>
              </w:rPr>
            </w:pPr>
          </w:p>
        </w:tc>
        <w:tc>
          <w:tcPr>
            <w:tcW w:w="440" w:type="dxa"/>
            <w:vAlign w:val="bottom"/>
          </w:tcPr>
          <w:p>
            <w:pPr>
              <w:jc w:val="right"/>
              <w:ind w:right="300"/>
              <w:spacing w:after="0" w:line="142" w:lineRule="exact"/>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tcBorders>
          </w:tcPr>
          <w:p>
            <w:pPr>
              <w:spacing w:after="0"/>
              <w:rPr>
                <w:sz w:val="12"/>
                <w:szCs w:val="12"/>
                <w:color w:val="auto"/>
              </w:rPr>
            </w:pPr>
          </w:p>
        </w:tc>
        <w:tc>
          <w:tcPr>
            <w:tcW w:w="440" w:type="dxa"/>
            <w:vAlign w:val="bottom"/>
          </w:tcPr>
          <w:p>
            <w:pPr>
              <w:jc w:val="right"/>
              <w:ind w:right="300"/>
              <w:spacing w:after="0" w:line="142" w:lineRule="exact"/>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(137,316</w:t>
            </w:r>
          </w:p>
        </w:tc>
        <w:tc>
          <w:tcPr>
            <w:tcW w:w="100" w:type="dxa"/>
            <w:vAlign w:val="bottom"/>
          </w:tcPr>
          <w:p>
            <w:pPr>
              <w:jc w:val="right"/>
              <w:spacing w:after="0" w:line="142"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68"/>
        </w:trPr>
        <w:tc>
          <w:tcPr>
            <w:tcW w:w="4940" w:type="dxa"/>
            <w:vAlign w:val="bottom"/>
            <w:vMerge w:val="continue"/>
          </w:tcPr>
          <w:p>
            <w:pPr>
              <w:spacing w:after="0"/>
              <w:rPr>
                <w:sz w:val="5"/>
                <w:szCs w:val="5"/>
                <w:color w:val="auto"/>
              </w:rPr>
            </w:pPr>
          </w:p>
        </w:tc>
        <w:tc>
          <w:tcPr>
            <w:tcW w:w="1740" w:type="dxa"/>
            <w:vAlign w:val="bottom"/>
            <w:gridSpan w:val="2"/>
          </w:tcPr>
          <w:p>
            <w:pPr>
              <w:jc w:val="right"/>
              <w:ind w:right="400"/>
              <w:spacing w:after="0" w:line="68" w:lineRule="exact"/>
              <w:rPr>
                <w:sz w:val="20"/>
                <w:szCs w:val="20"/>
                <w:color w:val="auto"/>
              </w:rPr>
            </w:pPr>
            <w:r>
              <w:rPr>
                <w:rFonts w:ascii="Arial" w:cs="Arial" w:eastAsia="Arial" w:hAnsi="Arial"/>
                <w:sz w:val="7"/>
                <w:szCs w:val="7"/>
                <w:b w:val="1"/>
                <w:bCs w:val="1"/>
                <w:color w:val="auto"/>
              </w:rPr>
              <w:t>(24,699</w:t>
            </w:r>
          </w:p>
        </w:tc>
        <w:tc>
          <w:tcPr>
            <w:tcW w:w="1700" w:type="dxa"/>
            <w:vAlign w:val="bottom"/>
            <w:gridSpan w:val="2"/>
          </w:tcPr>
          <w:p>
            <w:pPr>
              <w:jc w:val="right"/>
              <w:ind w:right="360"/>
              <w:spacing w:after="0" w:line="68" w:lineRule="exact"/>
              <w:rPr>
                <w:sz w:val="20"/>
                <w:szCs w:val="20"/>
                <w:color w:val="auto"/>
              </w:rPr>
            </w:pPr>
            <w:r>
              <w:rPr>
                <w:rFonts w:ascii="Arial" w:cs="Arial" w:eastAsia="Arial" w:hAnsi="Arial"/>
                <w:sz w:val="7"/>
                <w:szCs w:val="7"/>
                <w:b w:val="1"/>
                <w:bCs w:val="1"/>
                <w:color w:val="auto"/>
              </w:rPr>
              <w:t>(30,560</w:t>
            </w:r>
          </w:p>
        </w:tc>
        <w:tc>
          <w:tcPr>
            <w:tcW w:w="1680" w:type="dxa"/>
            <w:vAlign w:val="bottom"/>
            <w:gridSpan w:val="2"/>
          </w:tcPr>
          <w:p>
            <w:pPr>
              <w:jc w:val="right"/>
              <w:ind w:right="360"/>
              <w:spacing w:after="0" w:line="68" w:lineRule="exact"/>
              <w:rPr>
                <w:sz w:val="20"/>
                <w:szCs w:val="20"/>
                <w:color w:val="auto"/>
              </w:rPr>
            </w:pPr>
            <w:r>
              <w:rPr>
                <w:rFonts w:ascii="Arial" w:cs="Arial" w:eastAsia="Arial" w:hAnsi="Arial"/>
                <w:sz w:val="7"/>
                <w:szCs w:val="7"/>
                <w:b w:val="1"/>
                <w:bCs w:val="1"/>
                <w:color w:val="auto"/>
              </w:rPr>
              <w:t>(91,956</w:t>
            </w: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For the year ended December 31, 2016, an amount of $18.2 million of unamortized loan fees associated with the six legacy facilities that were refinanced by the Legacy Facility Refinancing is included in Amortization and write-off of deferred loan and bond issuance costs and premium.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Gain on swaps was $26.0 million for the quarter ended December 31, 2016 and loss on swaps was $13.4 million for the year ended December 31, 2016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gain of $3.2 million and a loss of $10.3 million for the quarter and the year ended December 31, 2015, respectively). An analysis of gain/(loss) on swaps is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forth below. The increase in gain on swaps in the fourth quarter of 2016 as compared to the fourth quarter of 2015 is mainly attributable to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$22.4 million in gain from mark-to-market valuation of our interest rate swaps carried at fair value through profit or loss. The $28.2 million gain from mark-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to-market valuation of our interest rate swaps in the fourth quarter of 2016 derived from the fact that the London Interbank Offered Rate (“LIBOR”) yield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curve, which was used to estimate the present value of the estimated future cash flows, was higher than the agreed fixed interest rates resulting in a decrease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derivative liabilities from interest rate swaps held for trading as compared to September 30,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44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For the three months ended</w:t>
            </w:r>
          </w:p>
        </w:tc>
        <w:tc>
          <w:tcPr>
            <w:tcW w:w="29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For the year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All amounts expressed in thousands of U.S. dollars</w:t>
            </w:r>
            <w:r>
              <w:rPr>
                <w:rFonts w:ascii="Arial" w:cs="Arial" w:eastAsia="Arial" w:hAnsi="Arial"/>
                <w:sz w:val="18"/>
                <w:szCs w:val="18"/>
                <w:color w:val="auto"/>
              </w:rPr>
              <w:t>)</w:t>
            </w: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December 31,</w:t>
            </w:r>
          </w:p>
        </w:tc>
        <w:tc>
          <w:tcPr>
            <w:tcW w:w="17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December 31,</w:t>
            </w: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Gain/(loss) on swaps</w:t>
            </w:r>
          </w:p>
        </w:tc>
        <w:tc>
          <w:tcPr>
            <w:tcW w:w="126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Realized loss on interest rate swaps held for trading</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(2,222)</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(2,258)</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(8,904)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Unrealized gain/(loss) on interest rate swaps held for trading</w:t>
            </w:r>
          </w:p>
        </w:tc>
        <w:tc>
          <w:tcPr>
            <w:tcW w:w="1740" w:type="dxa"/>
            <w:vAlign w:val="bottom"/>
            <w:gridSpan w:val="2"/>
            <w:shd w:val="clear" w:color="auto" w:fill="E5FFFF"/>
          </w:tcPr>
          <w:p>
            <w:pPr>
              <w:jc w:val="right"/>
              <w:ind w:right="480"/>
              <w:spacing w:after="0"/>
              <w:rPr>
                <w:sz w:val="20"/>
                <w:szCs w:val="20"/>
                <w:color w:val="auto"/>
              </w:rPr>
            </w:pPr>
            <w:r>
              <w:rPr>
                <w:rFonts w:ascii="Arial" w:cs="Arial" w:eastAsia="Arial" w:hAnsi="Arial"/>
                <w:sz w:val="18"/>
                <w:szCs w:val="18"/>
                <w:color w:val="auto"/>
              </w:rPr>
              <w:t>5,819</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28,223</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(149)</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18,530</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w w:val="99"/>
              </w:rPr>
              <w:t>Recycled loss of cash flow hedges reclassified to profit or loss</w:t>
            </w: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in relation to derivatives no longer designated as hedges</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(359)</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(1,290)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30"/>
        </w:trPr>
        <w:tc>
          <w:tcPr>
            <w:tcW w:w="4940" w:type="dxa"/>
            <w:vAlign w:val="bottom"/>
            <w:shd w:val="clear" w:color="auto" w:fill="E5FFFF"/>
          </w:tcPr>
          <w:p>
            <w:pPr>
              <w:spacing w:after="0"/>
              <w:rPr>
                <w:sz w:val="20"/>
                <w:szCs w:val="20"/>
                <w:color w:val="auto"/>
              </w:rPr>
            </w:pPr>
            <w:r>
              <w:rPr>
                <w:rFonts w:ascii="Arial" w:cs="Arial" w:eastAsia="Arial" w:hAnsi="Arial"/>
                <w:sz w:val="18"/>
                <w:szCs w:val="18"/>
                <w:color w:val="auto"/>
              </w:rPr>
              <w:t>Ineffective portion on cash flow hedges</w:t>
            </w:r>
          </w:p>
        </w:tc>
        <w:tc>
          <w:tcPr>
            <w:tcW w:w="1740" w:type="dxa"/>
            <w:vAlign w:val="bottom"/>
            <w:gridSpan w:val="2"/>
            <w:shd w:val="clear" w:color="auto" w:fill="E5FFFF"/>
          </w:tcPr>
          <w:p>
            <w:pPr>
              <w:jc w:val="right"/>
              <w:ind w:right="420"/>
              <w:spacing w:after="0"/>
              <w:rPr>
                <w:sz w:val="20"/>
                <w:szCs w:val="20"/>
                <w:color w:val="auto"/>
              </w:rPr>
            </w:pPr>
            <w:r>
              <w:rPr>
                <w:rFonts w:ascii="Arial" w:cs="Arial" w:eastAsia="Arial" w:hAnsi="Arial"/>
                <w:sz w:val="18"/>
                <w:szCs w:val="18"/>
                <w:color w:val="auto"/>
              </w:rPr>
              <w:t>(1)</w:t>
            </w:r>
          </w:p>
        </w:tc>
        <w:tc>
          <w:tcPr>
            <w:tcW w:w="1700" w:type="dxa"/>
            <w:vAlign w:val="bottom"/>
            <w:gridSpan w:val="2"/>
            <w:shd w:val="clear" w:color="auto" w:fill="E5FFFF"/>
          </w:tcPr>
          <w:p>
            <w:pPr>
              <w:jc w:val="right"/>
              <w:ind w:right="4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11</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vMerge w:val="restart"/>
          </w:tcPr>
          <w:p>
            <w:pPr>
              <w:jc w:val="right"/>
              <w:ind w:right="300"/>
              <w:spacing w:after="0" w:line="162" w:lineRule="exact"/>
              <w:rPr>
                <w:sz w:val="20"/>
                <w:szCs w:val="20"/>
                <w:color w:val="auto"/>
              </w:rPr>
            </w:pPr>
            <w:r>
              <w:rPr>
                <w:rFonts w:ascii="Arial" w:cs="Arial" w:eastAsia="Arial" w:hAnsi="Arial"/>
                <w:sz w:val="16"/>
                <w:szCs w:val="16"/>
                <w:b w:val="1"/>
                <w:bCs w:val="1"/>
                <w:color w:val="auto"/>
                <w:w w:val="74"/>
              </w:rPr>
              <w:t>)</w:t>
            </w:r>
          </w:p>
        </w:tc>
        <w:tc>
          <w:tcPr>
            <w:tcW w:w="126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line="162"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42"/>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74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3,237</w:t>
            </w:r>
          </w:p>
        </w:tc>
        <w:tc>
          <w:tcPr>
            <w:tcW w:w="170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25,965</w:t>
            </w:r>
          </w:p>
        </w:tc>
        <w:tc>
          <w:tcPr>
            <w:tcW w:w="12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(13,419</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940" w:type="dxa"/>
            <w:vAlign w:val="bottom"/>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680" w:type="dxa"/>
            <w:vAlign w:val="bottom"/>
            <w:gridSpan w:val="2"/>
          </w:tcPr>
          <w:p>
            <w:pPr>
              <w:jc w:val="right"/>
              <w:ind w:right="360"/>
              <w:spacing w:after="0" w:line="68" w:lineRule="exact"/>
              <w:rPr>
                <w:sz w:val="20"/>
                <w:szCs w:val="20"/>
                <w:color w:val="auto"/>
              </w:rPr>
            </w:pPr>
            <w:r>
              <w:rPr>
                <w:rFonts w:ascii="Arial" w:cs="Arial" w:eastAsia="Arial" w:hAnsi="Arial"/>
                <w:sz w:val="7"/>
                <w:szCs w:val="7"/>
                <w:b w:val="1"/>
                <w:bCs w:val="1"/>
                <w:color w:val="auto"/>
              </w:rPr>
              <w:t>(10,332</w:t>
            </w:r>
          </w:p>
        </w:tc>
        <w:tc>
          <w:tcPr>
            <w:tcW w:w="12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Contracted Charter Revenues</w:t>
      </w:r>
    </w:p>
    <w:p>
      <w:pPr>
        <w:spacing w:after="0" w:line="229" w:lineRule="exact"/>
        <w:rPr>
          <w:sz w:val="20"/>
          <w:szCs w:val="20"/>
          <w:color w:val="auto"/>
        </w:rPr>
      </w:pPr>
    </w:p>
    <w:p>
      <w:pPr>
        <w:jc w:val="both"/>
        <w:ind w:right="160"/>
        <w:spacing w:after="0" w:line="319" w:lineRule="auto"/>
        <w:rPr>
          <w:sz w:val="20"/>
          <w:szCs w:val="20"/>
          <w:color w:val="auto"/>
        </w:rPr>
      </w:pPr>
      <w:r>
        <w:rPr>
          <w:rFonts w:ascii="Arial" w:cs="Arial" w:eastAsia="Arial" w:hAnsi="Arial"/>
          <w:sz w:val="16"/>
          <w:szCs w:val="16"/>
          <w:color w:val="auto"/>
        </w:rPr>
        <w:t>GasLog’s contracted charter revenues are estimated to increase from $444.5 million for the fiscal year 2016 to $486.5 million for the fiscal year 2019, based on contracts in effect as of December 31, 2016, without including any extension options. As of December 31, 2016, the total future firm contracted revenue stood at $3.57 billion</w:t>
      </w:r>
      <w:r>
        <w:rPr>
          <w:rFonts w:ascii="Arial" w:cs="Arial" w:eastAsia="Arial" w:hAnsi="Arial"/>
          <w:sz w:val="26"/>
          <w:szCs w:val="26"/>
          <w:color w:val="auto"/>
          <w:vertAlign w:val="superscript"/>
        </w:rPr>
        <w:t>(1)</w:t>
      </w:r>
      <w:r>
        <w:rPr>
          <w:rFonts w:ascii="Arial" w:cs="Arial" w:eastAsia="Arial" w:hAnsi="Arial"/>
          <w:sz w:val="16"/>
          <w:szCs w:val="16"/>
          <w:color w:val="auto"/>
        </w:rPr>
        <w:t>, including the nine vessels owned by GasLog Partners but excluding the vessels operating in the spot market.</w:t>
      </w:r>
    </w:p>
    <w:p>
      <w:pPr>
        <w:spacing w:after="0" w:line="54" w:lineRule="exact"/>
        <w:rPr>
          <w:sz w:val="20"/>
          <w:szCs w:val="20"/>
          <w:color w:val="auto"/>
        </w:rPr>
      </w:pPr>
    </w:p>
    <w:p>
      <w:pPr>
        <w:ind w:right="260" w:firstLine="8"/>
        <w:spacing w:after="0" w:line="230" w:lineRule="auto"/>
        <w:tabs>
          <w:tab w:leader="none" w:pos="17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Contracted revenue calculations assume: (a) 365 revenue days per annum, with 30 off-hire days when the ship undergoes scheduled drydocking; (b) all LNG carriers on order are delivered on schedule; and (c) no exercise of any option to extend the terms of charters.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December 31, 2016, GasLog had $227.0 million of cash and cash equivalents, of which $58.3 million was held in time deposits and the remaining balance in current accounts. Moreover, as of December 31, 2016, GasLog had $18.0 million held in time deposits with an initial duration of more than three months but less than a year that have been classified as short-term investments.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As of December 31, 2016, GasLog had an aggregate of $2.65 billion of indebtedness outstanding under its credit facilities and bond agreements, of which $147.45 million was repayable within one year, and a $220.4 million finance lease liability related to the sale and leaseback of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of which $5.9 million was repayable within one year.</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2016, there was undrawn available capacity of $88.4 million under the revolving credit facility of the Legacy Facility Refinancing entered into on July 19, 2016.</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As of December 31, 2016, GasLog’s commitments for capital expenditures are related to the five LNG carriers on order, which have a gross aggregate contract price of approximately $1.04 billion. As of December 31, 2016, the total remaining balance of the contract prices of the aforementioned newbuildings was $946.9 million that GasLog expects to be funded with the $664.0 million undrawn capacity under the financing agreement entered into on October 16, 2015, as well as cash balances, cash from operations and borrowings under new debt agreements.</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2016, GasLog’s current assets totalled $270.3 million while current liabilities totalled $262.8 million, resulting in a positive working capital position of $7.5 million.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GasLog has hedged 37.8% of its expected floating interest rate exposure on its outstanding debt (excluding the finance lease liability) at a weighted average interest rate of approximately 4.6% (including margin) as of December 31, 2016.</w:t>
      </w:r>
    </w:p>
    <w:p>
      <w:pPr>
        <w:sectPr>
          <w:pgSz w:w="11900" w:h="16838" w:orient="portrait"/>
          <w:cols w:equalWidth="0" w:num="1">
            <w:col w:w="11420"/>
          </w:cols>
          <w:pgMar w:left="240" w:top="405" w:right="239" w:bottom="692"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692"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Owned Fleet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our wholly owned vessels and their associated time charters as of February 17,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6"/>
              </w:rPr>
              <w:t>Charter</w:t>
            </w: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Optional</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ind w:left="100"/>
              <w:spacing w:after="0" w:line="181" w:lineRule="exact"/>
              <w:rPr>
                <w:sz w:val="20"/>
                <w:szCs w:val="20"/>
                <w:color w:val="auto"/>
              </w:rPr>
            </w:pPr>
            <w:r>
              <w:rPr>
                <w:rFonts w:ascii="Arial" w:cs="Arial" w:eastAsia="Arial" w:hAnsi="Arial"/>
                <w:sz w:val="18"/>
                <w:szCs w:val="18"/>
                <w:b w:val="1"/>
                <w:bCs w:val="1"/>
                <w:color w:val="auto"/>
              </w:rPr>
              <w:t>Year</w:t>
            </w:r>
          </w:p>
        </w:tc>
        <w:tc>
          <w:tcPr>
            <w:tcW w:w="116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0"/>
              </w:rPr>
              <w:t>Capacity</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Vessel Name</w:t>
            </w:r>
          </w:p>
        </w:tc>
        <w:tc>
          <w:tcPr>
            <w:tcW w:w="24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220" w:type="dxa"/>
            <w:vAlign w:val="bottom"/>
            <w:tcBorders>
              <w:bottom w:val="single" w:sz="8" w:color="E5FF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240" w:type="dxa"/>
            <w:vAlign w:val="bottom"/>
            <w:tcBorders>
              <w:bottom w:val="single" w:sz="8" w:color="E5FF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Charterer</w:t>
            </w:r>
          </w:p>
        </w:tc>
        <w:tc>
          <w:tcPr>
            <w:tcW w:w="22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200" w:type="dxa"/>
            <w:vAlign w:val="bottom"/>
            <w:tcBorders>
              <w:bottom w:val="single" w:sz="8" w:color="E5FFFF"/>
            </w:tcBorders>
          </w:tcPr>
          <w:p>
            <w:pPr>
              <w:spacing w:after="0"/>
              <w:rPr>
                <w:sz w:val="23"/>
                <w:szCs w:val="23"/>
                <w:color w:val="auto"/>
              </w:rPr>
            </w:pPr>
          </w:p>
        </w:tc>
        <w:tc>
          <w:tcPr>
            <w:tcW w:w="17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220" w:type="dxa"/>
            <w:vAlign w:val="bottom"/>
            <w:tcBorders>
              <w:bottom w:val="single" w:sz="8" w:color="E5FFFF"/>
            </w:tcBorders>
          </w:tcPr>
          <w:p>
            <w:pPr>
              <w:spacing w:after="0"/>
              <w:rPr>
                <w:sz w:val="23"/>
                <w:szCs w:val="23"/>
                <w:color w:val="auto"/>
              </w:rPr>
            </w:pPr>
          </w:p>
        </w:tc>
        <w:tc>
          <w:tcPr>
            <w:tcW w:w="11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4"/>
              </w:rPr>
              <w:t>Period</w:t>
            </w:r>
            <w:r>
              <w:rPr>
                <w:rFonts w:ascii="Arial" w:cs="Arial" w:eastAsia="Arial" w:hAnsi="Arial"/>
                <w:sz w:val="30"/>
                <w:szCs w:val="30"/>
                <w:b w:val="1"/>
                <w:bCs w:val="1"/>
                <w:color w:val="auto"/>
                <w:w w:val="84"/>
                <w:vertAlign w:val="superscript"/>
              </w:rPr>
              <w:t>(2)</w:t>
            </w:r>
          </w:p>
        </w:tc>
        <w:tc>
          <w:tcPr>
            <w:tcW w:w="0" w:type="dxa"/>
            <w:vAlign w:val="bottom"/>
          </w:tcPr>
          <w:p>
            <w:pPr>
              <w:spacing w:after="0"/>
              <w:rPr>
                <w:sz w:val="1"/>
                <w:szCs w:val="1"/>
                <w:color w:val="auto"/>
              </w:rPr>
            </w:pPr>
          </w:p>
        </w:tc>
      </w:tr>
      <w:tr>
        <w:trPr>
          <w:trHeight w:val="250"/>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18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Savannah</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shd w:val="clear" w:color="auto" w:fill="E5FFFF"/>
          </w:tcPr>
          <w:p>
            <w:pPr>
              <w:spacing w:after="0"/>
              <w:rPr>
                <w:sz w:val="21"/>
                <w:szCs w:val="21"/>
                <w:color w:val="auto"/>
              </w:rPr>
            </w:pPr>
          </w:p>
        </w:tc>
        <w:tc>
          <w:tcPr>
            <w:tcW w:w="1480" w:type="dxa"/>
            <w:vAlign w:val="bottom"/>
            <w:shd w:val="clear" w:color="auto" w:fill="E5FFFF"/>
          </w:tcPr>
          <w:p>
            <w:pPr>
              <w:jc w:val="center"/>
              <w:spacing w:after="0" w:line="250" w:lineRule="exact"/>
              <w:rPr>
                <w:sz w:val="20"/>
                <w:szCs w:val="20"/>
                <w:color w:val="auto"/>
              </w:rPr>
            </w:pPr>
            <w:r>
              <w:rPr>
                <w:rFonts w:ascii="Arial" w:cs="Arial" w:eastAsia="Arial" w:hAnsi="Arial"/>
                <w:sz w:val="17"/>
                <w:szCs w:val="17"/>
                <w:color w:val="auto"/>
                <w:w w:val="93"/>
              </w:rPr>
              <w:t xml:space="preserve">Spot Market </w:t>
            </w:r>
            <w:r>
              <w:rPr>
                <w:rFonts w:ascii="Arial" w:cs="Arial" w:eastAsia="Arial" w:hAnsi="Arial"/>
                <w:sz w:val="28"/>
                <w:szCs w:val="28"/>
                <w:color w:val="auto"/>
                <w:w w:val="93"/>
                <w:vertAlign w:val="superscript"/>
              </w:rPr>
              <w:t>(3)</w:t>
            </w:r>
          </w:p>
        </w:tc>
        <w:tc>
          <w:tcPr>
            <w:tcW w:w="22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3"/>
              </w:rPr>
              <w:t>TFDE</w:t>
            </w:r>
          </w:p>
        </w:tc>
        <w:tc>
          <w:tcPr>
            <w:tcW w:w="1700" w:type="dxa"/>
            <w:vAlign w:val="bottom"/>
            <w:shd w:val="clear" w:color="auto" w:fill="E5FFFF"/>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E5FFFF"/>
          </w:tcPr>
          <w:p>
            <w:pPr>
              <w:spacing w:after="0"/>
              <w:rPr>
                <w:sz w:val="21"/>
                <w:szCs w:val="21"/>
                <w:color w:val="auto"/>
              </w:rPr>
            </w:pP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2</w:t>
            </w:r>
          </w:p>
        </w:tc>
        <w:tc>
          <w:tcPr>
            <w:tcW w:w="318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Singapore</w:t>
            </w:r>
          </w:p>
        </w:tc>
        <w:tc>
          <w:tcPr>
            <w:tcW w:w="580" w:type="dxa"/>
            <w:vAlign w:val="bottom"/>
          </w:tcPr>
          <w:p>
            <w:pPr>
              <w:ind w:left="10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tcPr>
          <w:p>
            <w:pPr>
              <w:spacing w:after="0"/>
              <w:rPr>
                <w:sz w:val="22"/>
                <w:szCs w:val="22"/>
                <w:color w:val="auto"/>
              </w:rPr>
            </w:pPr>
          </w:p>
        </w:tc>
        <w:tc>
          <w:tcPr>
            <w:tcW w:w="1700" w:type="dxa"/>
            <w:vAlign w:val="bottom"/>
            <w:gridSpan w:val="2"/>
          </w:tcPr>
          <w:p>
            <w:pPr>
              <w:jc w:val="center"/>
              <w:ind w:right="220"/>
              <w:spacing w:after="0" w:line="256" w:lineRule="exact"/>
              <w:rPr>
                <w:sz w:val="20"/>
                <w:szCs w:val="20"/>
                <w:color w:val="auto"/>
              </w:rPr>
            </w:pPr>
            <w:r>
              <w:rPr>
                <w:rFonts w:ascii="Arial" w:cs="Arial" w:eastAsia="Arial" w:hAnsi="Arial"/>
                <w:sz w:val="18"/>
                <w:szCs w:val="18"/>
                <w:color w:val="auto"/>
                <w:w w:val="89"/>
              </w:rPr>
              <w:t xml:space="preserve">Spot Market </w:t>
            </w:r>
            <w:r>
              <w:rPr>
                <w:rFonts w:ascii="Arial" w:cs="Arial" w:eastAsia="Arial" w:hAnsi="Arial"/>
                <w:sz w:val="29"/>
                <w:szCs w:val="29"/>
                <w:color w:val="auto"/>
                <w:w w:val="89"/>
                <w:vertAlign w:val="superscript"/>
              </w:rPr>
              <w:t>(3)</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18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Skagen</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shd w:val="clear" w:color="auto" w:fill="E5FFFF"/>
          </w:tcPr>
          <w:p>
            <w:pPr>
              <w:jc w:val="center"/>
              <w:ind w:right="200"/>
              <w:spacing w:after="0" w:line="256" w:lineRule="exact"/>
              <w:rPr>
                <w:sz w:val="20"/>
                <w:szCs w:val="20"/>
                <w:color w:val="auto"/>
              </w:rPr>
            </w:pPr>
            <w:r>
              <w:rPr>
                <w:rFonts w:ascii="Arial" w:cs="Arial" w:eastAsia="Arial" w:hAnsi="Arial"/>
                <w:sz w:val="18"/>
                <w:szCs w:val="18"/>
                <w:color w:val="auto"/>
                <w:w w:val="91"/>
              </w:rPr>
              <w:t>April 2021</w:t>
            </w:r>
            <w:r>
              <w:rPr>
                <w:rFonts w:ascii="Arial" w:cs="Arial" w:eastAsia="Arial" w:hAnsi="Arial"/>
                <w:sz w:val="29"/>
                <w:szCs w:val="29"/>
                <w:color w:val="auto"/>
                <w:w w:val="91"/>
                <w:vertAlign w:val="superscript"/>
              </w:rPr>
              <w:t>(4)</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2026-2031</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318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Chelsea</w:t>
            </w:r>
          </w:p>
        </w:tc>
        <w:tc>
          <w:tcPr>
            <w:tcW w:w="580" w:type="dxa"/>
            <w:vAlign w:val="bottom"/>
          </w:tcPr>
          <w:p>
            <w:pPr>
              <w:ind w:left="10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153,600</w:t>
            </w:r>
          </w:p>
        </w:tc>
        <w:tc>
          <w:tcPr>
            <w:tcW w:w="240" w:type="dxa"/>
            <w:vAlign w:val="bottom"/>
          </w:tcPr>
          <w:p>
            <w:pPr>
              <w:spacing w:after="0"/>
              <w:rPr>
                <w:sz w:val="22"/>
                <w:szCs w:val="22"/>
                <w:color w:val="auto"/>
              </w:rPr>
            </w:pPr>
          </w:p>
        </w:tc>
        <w:tc>
          <w:tcPr>
            <w:tcW w:w="170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7"/>
              </w:rPr>
              <w:t>Spot Market</w:t>
            </w:r>
            <w:r>
              <w:rPr>
                <w:rFonts w:ascii="Arial" w:cs="Arial" w:eastAsia="Arial" w:hAnsi="Arial"/>
                <w:sz w:val="29"/>
                <w:szCs w:val="29"/>
                <w:color w:val="auto"/>
                <w:w w:val="87"/>
                <w:vertAlign w:val="superscript"/>
              </w:rPr>
              <w:t>(3)</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18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Solaris</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85"/>
              </w:rPr>
              <w:t>June 2021</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2026-2031</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318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Saratoga</w:t>
            </w:r>
          </w:p>
        </w:tc>
        <w:tc>
          <w:tcPr>
            <w:tcW w:w="580" w:type="dxa"/>
            <w:vAlign w:val="bottom"/>
          </w:tcPr>
          <w:p>
            <w:pPr>
              <w:ind w:left="10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tcPr>
          <w:p>
            <w:pPr>
              <w:spacing w:after="0"/>
              <w:rPr>
                <w:sz w:val="22"/>
                <w:szCs w:val="22"/>
                <w:color w:val="auto"/>
              </w:rPr>
            </w:pPr>
          </w:p>
        </w:tc>
        <w:tc>
          <w:tcPr>
            <w:tcW w:w="1700" w:type="dxa"/>
            <w:vAlign w:val="bottom"/>
            <w:gridSpan w:val="2"/>
          </w:tcPr>
          <w:p>
            <w:pPr>
              <w:jc w:val="center"/>
              <w:ind w:right="240"/>
              <w:spacing w:after="0" w:line="256" w:lineRule="exact"/>
              <w:rPr>
                <w:sz w:val="20"/>
                <w:szCs w:val="20"/>
                <w:color w:val="auto"/>
              </w:rPr>
            </w:pPr>
            <w:r>
              <w:rPr>
                <w:rFonts w:ascii="Arial" w:cs="Arial" w:eastAsia="Arial" w:hAnsi="Arial"/>
                <w:sz w:val="18"/>
                <w:szCs w:val="18"/>
                <w:color w:val="auto"/>
                <w:w w:val="87"/>
              </w:rPr>
              <w:t>Spot Market</w:t>
            </w:r>
            <w:r>
              <w:rPr>
                <w:rFonts w:ascii="Arial" w:cs="Arial" w:eastAsia="Arial" w:hAnsi="Arial"/>
                <w:sz w:val="29"/>
                <w:szCs w:val="29"/>
                <w:color w:val="auto"/>
                <w:w w:val="87"/>
                <w:vertAlign w:val="superscript"/>
              </w:rPr>
              <w:t>(3)</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18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Methane Lydon Volney</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145,000</w:t>
            </w:r>
          </w:p>
        </w:tc>
        <w:tc>
          <w:tcPr>
            <w:tcW w:w="2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84"/>
              </w:rPr>
              <w:t>Steam</w:t>
            </w:r>
          </w:p>
        </w:tc>
        <w:tc>
          <w:tcPr>
            <w:tcW w:w="19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1"/>
              </w:rPr>
              <w:t>October 2020</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2023-2025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8</w:t>
            </w:r>
          </w:p>
        </w:tc>
        <w:tc>
          <w:tcPr>
            <w:tcW w:w="3180" w:type="dxa"/>
            <w:vAlign w:val="bottom"/>
            <w:gridSpan w:val="2"/>
          </w:tcPr>
          <w:p>
            <w:pPr>
              <w:ind w:left="80"/>
              <w:spacing w:after="0"/>
              <w:rPr>
                <w:sz w:val="20"/>
                <w:szCs w:val="20"/>
                <w:color w:val="auto"/>
              </w:rPr>
            </w:pPr>
            <w:r>
              <w:rPr>
                <w:rFonts w:ascii="Arial" w:cs="Arial" w:eastAsia="Arial" w:hAnsi="Arial"/>
                <w:sz w:val="18"/>
                <w:szCs w:val="18"/>
                <w:i w:val="1"/>
                <w:iCs w:val="1"/>
                <w:color w:val="auto"/>
              </w:rPr>
              <w:t>Methane Becki Anne</w:t>
            </w:r>
          </w:p>
        </w:tc>
        <w:tc>
          <w:tcPr>
            <w:tcW w:w="580" w:type="dxa"/>
            <w:vAlign w:val="bottom"/>
          </w:tcPr>
          <w:p>
            <w:pPr>
              <w:ind w:left="10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170,000</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2024</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2027-2029</w:t>
            </w:r>
          </w:p>
        </w:tc>
        <w:tc>
          <w:tcPr>
            <w:tcW w:w="0" w:type="dxa"/>
            <w:vAlign w:val="bottom"/>
          </w:tcPr>
          <w:p>
            <w:pPr>
              <w:spacing w:after="0"/>
              <w:rPr>
                <w:sz w:val="1"/>
                <w:szCs w:val="1"/>
                <w:color w:val="auto"/>
              </w:rPr>
            </w:pPr>
          </w:p>
        </w:tc>
      </w:tr>
      <w:tr>
        <w:trPr>
          <w:trHeight w:val="257"/>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9</w:t>
            </w:r>
          </w:p>
        </w:tc>
        <w:tc>
          <w:tcPr>
            <w:tcW w:w="318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Salem</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center"/>
              <w:ind w:right="240"/>
              <w:spacing w:after="0" w:line="256" w:lineRule="exact"/>
              <w:rPr>
                <w:sz w:val="20"/>
                <w:szCs w:val="20"/>
                <w:color w:val="auto"/>
              </w:rPr>
            </w:pPr>
            <w:r>
              <w:rPr>
                <w:rFonts w:ascii="Arial" w:cs="Arial" w:eastAsia="Arial" w:hAnsi="Arial"/>
                <w:sz w:val="18"/>
                <w:szCs w:val="18"/>
                <w:color w:val="auto"/>
                <w:w w:val="87"/>
              </w:rPr>
              <w:t>Spot Market</w:t>
            </w:r>
            <w:r>
              <w:rPr>
                <w:rFonts w:ascii="Arial" w:cs="Arial" w:eastAsia="Arial" w:hAnsi="Arial"/>
                <w:sz w:val="29"/>
                <w:szCs w:val="29"/>
                <w:color w:val="auto"/>
                <w:w w:val="87"/>
                <w:vertAlign w:val="superscript"/>
              </w:rPr>
              <w:t>(3)</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rPr>
              <w:t>N/A</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18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Greece</w:t>
            </w:r>
          </w:p>
        </w:tc>
        <w:tc>
          <w:tcPr>
            <w:tcW w:w="580" w:type="dxa"/>
            <w:vAlign w:val="bottom"/>
          </w:tcPr>
          <w:p>
            <w:pPr>
              <w:ind w:left="10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174,000</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2026</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2031</w:t>
            </w:r>
          </w:p>
        </w:tc>
        <w:tc>
          <w:tcPr>
            <w:tcW w:w="0" w:type="dxa"/>
            <w:vAlign w:val="bottom"/>
          </w:tcPr>
          <w:p>
            <w:pPr>
              <w:spacing w:after="0"/>
              <w:rPr>
                <w:sz w:val="1"/>
                <w:szCs w:val="1"/>
                <w:color w:val="auto"/>
              </w:rPr>
            </w:pP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11</w:t>
            </w:r>
          </w:p>
        </w:tc>
        <w:tc>
          <w:tcPr>
            <w:tcW w:w="318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Glasgow</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174,000</w:t>
            </w:r>
          </w:p>
        </w:tc>
        <w:tc>
          <w:tcPr>
            <w:tcW w:w="2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85"/>
              </w:rPr>
              <w:t>June 2026</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9"/>
              </w:rPr>
              <w:t>2031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180" w:type="dxa"/>
            <w:vAlign w:val="bottom"/>
            <w:gridSpan w:val="2"/>
          </w:tcPr>
          <w:p>
            <w:pPr>
              <w:ind w:left="80"/>
              <w:spacing w:after="0"/>
              <w:rPr>
                <w:sz w:val="20"/>
                <w:szCs w:val="20"/>
                <w:color w:val="auto"/>
              </w:rPr>
            </w:pPr>
            <w:r>
              <w:rPr>
                <w:rFonts w:ascii="Arial" w:cs="Arial" w:eastAsia="Arial" w:hAnsi="Arial"/>
                <w:sz w:val="18"/>
                <w:szCs w:val="18"/>
                <w:i w:val="1"/>
                <w:iCs w:val="1"/>
                <w:color w:val="auto"/>
              </w:rPr>
              <w:t>GasLog Geneva</w:t>
            </w:r>
          </w:p>
        </w:tc>
        <w:tc>
          <w:tcPr>
            <w:tcW w:w="580" w:type="dxa"/>
            <w:vAlign w:val="bottom"/>
          </w:tcPr>
          <w:p>
            <w:pPr>
              <w:ind w:left="10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174,000</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September 2023</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2028-2031</w:t>
            </w:r>
          </w:p>
        </w:tc>
        <w:tc>
          <w:tcPr>
            <w:tcW w:w="0" w:type="dxa"/>
            <w:vAlign w:val="bottom"/>
          </w:tcPr>
          <w:p>
            <w:pPr>
              <w:spacing w:after="0"/>
              <w:rPr>
                <w:sz w:val="1"/>
                <w:szCs w:val="1"/>
                <w:color w:val="auto"/>
              </w:rPr>
            </w:pPr>
          </w:p>
        </w:tc>
      </w:tr>
      <w:tr>
        <w:trPr>
          <w:trHeight w:val="216"/>
        </w:trPr>
        <w:tc>
          <w:tcPr>
            <w:tcW w:w="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13</w:t>
            </w:r>
          </w:p>
        </w:tc>
        <w:tc>
          <w:tcPr>
            <w:tcW w:w="3180" w:type="dxa"/>
            <w:vAlign w:val="bottom"/>
            <w:gridSpan w:val="2"/>
            <w:shd w:val="clear" w:color="auto" w:fill="E5FFFF"/>
          </w:tcPr>
          <w:p>
            <w:pPr>
              <w:ind w:left="80"/>
              <w:spacing w:after="0"/>
              <w:rPr>
                <w:sz w:val="20"/>
                <w:szCs w:val="20"/>
                <w:color w:val="auto"/>
              </w:rPr>
            </w:pPr>
            <w:r>
              <w:rPr>
                <w:rFonts w:ascii="Arial" w:cs="Arial" w:eastAsia="Arial" w:hAnsi="Arial"/>
                <w:sz w:val="18"/>
                <w:szCs w:val="18"/>
                <w:i w:val="1"/>
                <w:iCs w:val="1"/>
                <w:color w:val="auto"/>
              </w:rPr>
              <w:t>GasLog Gibraltar</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174,000</w:t>
            </w:r>
          </w:p>
        </w:tc>
        <w:tc>
          <w:tcPr>
            <w:tcW w:w="2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1"/>
              </w:rPr>
              <w:t>October 2023</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2028-2031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GasLog Partners’ fleet and their associated time charters as of February 17,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6"/>
              </w:rPr>
              <w:t>Charter</w:t>
            </w:r>
          </w:p>
        </w:tc>
        <w:tc>
          <w:tcPr>
            <w:tcW w:w="11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Optional</w:t>
            </w: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ind w:left="100"/>
              <w:spacing w:after="0" w:line="181" w:lineRule="exact"/>
              <w:rPr>
                <w:sz w:val="20"/>
                <w:szCs w:val="20"/>
                <w:color w:val="auto"/>
              </w:rPr>
            </w:pPr>
            <w:r>
              <w:rPr>
                <w:rFonts w:ascii="Arial" w:cs="Arial" w:eastAsia="Arial" w:hAnsi="Arial"/>
                <w:sz w:val="18"/>
                <w:szCs w:val="18"/>
                <w:b w:val="1"/>
                <w:bCs w:val="1"/>
                <w:color w:val="auto"/>
              </w:rPr>
              <w:t>Year</w:t>
            </w:r>
          </w:p>
        </w:tc>
        <w:tc>
          <w:tcPr>
            <w:tcW w:w="116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0"/>
              </w:rPr>
              <w:t>Capacity</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3240" w:type="dxa"/>
            <w:vAlign w:val="bottom"/>
            <w:gridSpan w:val="2"/>
          </w:tcPr>
          <w:p>
            <w:pPr>
              <w:ind w:left="920"/>
              <w:spacing w:after="0"/>
              <w:rPr>
                <w:sz w:val="20"/>
                <w:szCs w:val="20"/>
                <w:color w:val="auto"/>
              </w:rPr>
            </w:pPr>
            <w:r>
              <w:rPr>
                <w:rFonts w:ascii="Arial" w:cs="Arial" w:eastAsia="Arial" w:hAnsi="Arial"/>
                <w:sz w:val="18"/>
                <w:szCs w:val="18"/>
                <w:b w:val="1"/>
                <w:bCs w:val="1"/>
                <w:color w:val="auto"/>
              </w:rPr>
              <w:t>Vessel Name</w:t>
            </w:r>
          </w:p>
        </w:tc>
        <w:tc>
          <w:tcPr>
            <w:tcW w:w="800" w:type="dxa"/>
            <w:vAlign w:val="bottom"/>
            <w:gridSpan w:val="2"/>
          </w:tcPr>
          <w:p>
            <w:pPr>
              <w:ind w:left="100"/>
              <w:spacing w:after="0"/>
              <w:rPr>
                <w:sz w:val="20"/>
                <w:szCs w:val="20"/>
                <w:color w:val="auto"/>
              </w:rPr>
            </w:pPr>
            <w:r>
              <w:rPr>
                <w:rFonts w:ascii="Arial" w:cs="Arial" w:eastAsia="Arial" w:hAnsi="Arial"/>
                <w:sz w:val="18"/>
                <w:szCs w:val="18"/>
                <w:b w:val="1"/>
                <w:bCs w:val="1"/>
                <w:color w:val="auto"/>
              </w:rPr>
              <w:t>Built</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(cbm)</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Charterer</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Propulsion</w:t>
            </w:r>
          </w:p>
        </w:tc>
        <w:tc>
          <w:tcPr>
            <w:tcW w:w="1920" w:type="dxa"/>
            <w:vAlign w:val="bottom"/>
            <w:gridSpan w:val="2"/>
          </w:tcPr>
          <w:p>
            <w:pPr>
              <w:jc w:val="center"/>
              <w:ind w:right="200"/>
              <w:spacing w:after="0" w:line="269"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1140" w:type="dxa"/>
            <w:vAlign w:val="bottom"/>
          </w:tcPr>
          <w:p>
            <w:pPr>
              <w:ind w:left="240"/>
              <w:spacing w:after="0" w:line="269"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10"/>
        </w:trPr>
        <w:tc>
          <w:tcPr>
            <w:tcW w:w="2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00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8"/>
                <w:szCs w:val="18"/>
                <w:i w:val="1"/>
                <w:iCs w:val="1"/>
                <w:color w:val="auto"/>
              </w:rPr>
              <w:t>GasLog Shanghai</w:t>
            </w:r>
          </w:p>
        </w:tc>
        <w:tc>
          <w:tcPr>
            <w:tcW w:w="240" w:type="dxa"/>
            <w:vAlign w:val="bottom"/>
            <w:tcBorders>
              <w:top w:val="single" w:sz="8" w:color="E5FFFF"/>
            </w:tcBorders>
            <w:shd w:val="clear" w:color="auto" w:fill="E5FFFF"/>
          </w:tcPr>
          <w:p>
            <w:pPr>
              <w:spacing w:after="0"/>
              <w:rPr>
                <w:sz w:val="18"/>
                <w:szCs w:val="18"/>
                <w:color w:val="auto"/>
              </w:rPr>
            </w:pPr>
          </w:p>
        </w:tc>
        <w:tc>
          <w:tcPr>
            <w:tcW w:w="580" w:type="dxa"/>
            <w:vAlign w:val="bottom"/>
            <w:tcBorders>
              <w:top w:val="single" w:sz="8" w:color="auto"/>
            </w:tcBorders>
            <w:shd w:val="clear" w:color="auto" w:fill="E5FFFF"/>
          </w:tcPr>
          <w:p>
            <w:pPr>
              <w:ind w:left="100"/>
              <w:spacing w:after="0"/>
              <w:rPr>
                <w:sz w:val="20"/>
                <w:szCs w:val="20"/>
                <w:color w:val="auto"/>
              </w:rPr>
            </w:pPr>
            <w:r>
              <w:rPr>
                <w:rFonts w:ascii="Arial" w:cs="Arial" w:eastAsia="Arial" w:hAnsi="Arial"/>
                <w:sz w:val="18"/>
                <w:szCs w:val="18"/>
                <w:color w:val="auto"/>
              </w:rPr>
              <w:t>2013</w:t>
            </w:r>
          </w:p>
        </w:tc>
        <w:tc>
          <w:tcPr>
            <w:tcW w:w="220" w:type="dxa"/>
            <w:vAlign w:val="bottom"/>
            <w:tcBorders>
              <w:top w:val="single" w:sz="8" w:color="E5FFFF"/>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4"/>
              </w:rPr>
              <w:t>Shell</w:t>
            </w:r>
          </w:p>
        </w:tc>
        <w:tc>
          <w:tcPr>
            <w:tcW w:w="22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TFDE</w:t>
            </w:r>
          </w:p>
        </w:tc>
        <w:tc>
          <w:tcPr>
            <w:tcW w:w="20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1"/>
              </w:rPr>
              <w:t>May 2018</w:t>
            </w:r>
          </w:p>
        </w:tc>
        <w:tc>
          <w:tcPr>
            <w:tcW w:w="22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3240" w:type="dxa"/>
            <w:vAlign w:val="bottom"/>
            <w:gridSpan w:val="2"/>
          </w:tcPr>
          <w:p>
            <w:pPr>
              <w:ind w:left="140"/>
              <w:spacing w:after="0"/>
              <w:rPr>
                <w:sz w:val="20"/>
                <w:szCs w:val="20"/>
                <w:color w:val="auto"/>
              </w:rPr>
            </w:pPr>
            <w:r>
              <w:rPr>
                <w:rFonts w:ascii="Arial" w:cs="Arial" w:eastAsia="Arial" w:hAnsi="Arial"/>
                <w:sz w:val="18"/>
                <w:szCs w:val="18"/>
                <w:i w:val="1"/>
                <w:iCs w:val="1"/>
                <w:color w:val="auto"/>
              </w:rPr>
              <w:t>GasLog Santiago</w:t>
            </w:r>
          </w:p>
        </w:tc>
        <w:tc>
          <w:tcPr>
            <w:tcW w:w="580" w:type="dxa"/>
            <w:vAlign w:val="bottom"/>
          </w:tcPr>
          <w:p>
            <w:pPr>
              <w:ind w:left="10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July 2018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3</w:t>
            </w:r>
          </w:p>
        </w:tc>
        <w:tc>
          <w:tcPr>
            <w:tcW w:w="324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GasLog Sydney</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E5FFFF"/>
          </w:tcPr>
          <w:p>
            <w:pPr>
              <w:spacing w:after="0"/>
              <w:rPr>
                <w:sz w:val="22"/>
                <w:szCs w:val="22"/>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shd w:val="clear" w:color="auto" w:fill="E5FFFF"/>
          </w:tcPr>
          <w:p>
            <w:pPr>
              <w:spacing w:after="0"/>
              <w:rPr>
                <w:sz w:val="22"/>
                <w:szCs w:val="22"/>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shd w:val="clear" w:color="auto" w:fill="E5FFFF"/>
          </w:tcPr>
          <w:p>
            <w:pPr>
              <w:jc w:val="center"/>
              <w:ind w:right="200"/>
              <w:spacing w:after="0" w:line="256" w:lineRule="exact"/>
              <w:rPr>
                <w:sz w:val="20"/>
                <w:szCs w:val="20"/>
                <w:color w:val="auto"/>
              </w:rPr>
            </w:pPr>
            <w:r>
              <w:rPr>
                <w:rFonts w:ascii="Arial" w:cs="Arial" w:eastAsia="Arial" w:hAnsi="Arial"/>
                <w:sz w:val="18"/>
                <w:szCs w:val="18"/>
                <w:color w:val="auto"/>
                <w:w w:val="86"/>
              </w:rPr>
              <w:t>September 2018</w:t>
            </w:r>
            <w:r>
              <w:rPr>
                <w:rFonts w:ascii="Arial" w:cs="Arial" w:eastAsia="Arial" w:hAnsi="Arial"/>
                <w:sz w:val="29"/>
                <w:szCs w:val="29"/>
                <w:color w:val="auto"/>
                <w:w w:val="86"/>
                <w:vertAlign w:val="superscript"/>
              </w:rPr>
              <w:t>(5)</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2021-2026</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rPr>
              <w:t>4</w:t>
            </w:r>
          </w:p>
        </w:tc>
        <w:tc>
          <w:tcPr>
            <w:tcW w:w="3240" w:type="dxa"/>
            <w:vAlign w:val="bottom"/>
            <w:gridSpan w:val="2"/>
          </w:tcPr>
          <w:p>
            <w:pPr>
              <w:ind w:left="140"/>
              <w:spacing w:after="0"/>
              <w:rPr>
                <w:sz w:val="20"/>
                <w:szCs w:val="20"/>
                <w:color w:val="auto"/>
              </w:rPr>
            </w:pPr>
            <w:r>
              <w:rPr>
                <w:rFonts w:ascii="Arial" w:cs="Arial" w:eastAsia="Arial" w:hAnsi="Arial"/>
                <w:sz w:val="18"/>
                <w:szCs w:val="18"/>
                <w:i w:val="1"/>
                <w:iCs w:val="1"/>
                <w:color w:val="auto"/>
              </w:rPr>
              <w:t>GasLog Seattle</w:t>
            </w:r>
          </w:p>
        </w:tc>
        <w:tc>
          <w:tcPr>
            <w:tcW w:w="580" w:type="dxa"/>
            <w:vAlign w:val="bottom"/>
          </w:tcPr>
          <w:p>
            <w:pPr>
              <w:ind w:left="10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155,000</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2020</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2025-2030</w:t>
            </w:r>
          </w:p>
        </w:tc>
        <w:tc>
          <w:tcPr>
            <w:tcW w:w="0" w:type="dxa"/>
            <w:vAlign w:val="bottom"/>
          </w:tcPr>
          <w:p>
            <w:pPr>
              <w:spacing w:after="0"/>
              <w:rPr>
                <w:sz w:val="1"/>
                <w:szCs w:val="1"/>
                <w:color w:val="auto"/>
              </w:rPr>
            </w:pPr>
          </w:p>
        </w:tc>
      </w:tr>
      <w:tr>
        <w:trPr>
          <w:trHeight w:val="216"/>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5</w:t>
            </w:r>
          </w:p>
        </w:tc>
        <w:tc>
          <w:tcPr>
            <w:tcW w:w="324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Rita Andrea</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2006</w:t>
            </w: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145,000</w:t>
            </w:r>
          </w:p>
        </w:tc>
        <w:tc>
          <w:tcPr>
            <w:tcW w:w="2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84"/>
              </w:rPr>
              <w:t>Steam</w:t>
            </w:r>
          </w:p>
        </w:tc>
        <w:tc>
          <w:tcPr>
            <w:tcW w:w="19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8"/>
              </w:rPr>
              <w:t>April 2020</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2023-2025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324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Jane Elizabeth</w:t>
            </w:r>
          </w:p>
        </w:tc>
        <w:tc>
          <w:tcPr>
            <w:tcW w:w="580" w:type="dxa"/>
            <w:vAlign w:val="bottom"/>
          </w:tcPr>
          <w:p>
            <w:pPr>
              <w:ind w:left="10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145,000</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Steam</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October 2019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2022-2024</w:t>
            </w:r>
          </w:p>
        </w:tc>
        <w:tc>
          <w:tcPr>
            <w:tcW w:w="0" w:type="dxa"/>
            <w:vAlign w:val="bottom"/>
          </w:tcPr>
          <w:p>
            <w:pPr>
              <w:spacing w:after="0"/>
              <w:rPr>
                <w:sz w:val="1"/>
                <w:szCs w:val="1"/>
                <w:color w:val="auto"/>
              </w:rPr>
            </w:pPr>
          </w:p>
        </w:tc>
      </w:tr>
      <w:tr>
        <w:trPr>
          <w:trHeight w:val="216"/>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7</w:t>
            </w:r>
          </w:p>
        </w:tc>
        <w:tc>
          <w:tcPr>
            <w:tcW w:w="324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Shirley Elisabeth</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145,000</w:t>
            </w:r>
          </w:p>
        </w:tc>
        <w:tc>
          <w:tcPr>
            <w:tcW w:w="2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84"/>
              </w:rPr>
              <w:t>Steam</w:t>
            </w:r>
          </w:p>
        </w:tc>
        <w:tc>
          <w:tcPr>
            <w:tcW w:w="19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85"/>
              </w:rPr>
              <w:t>June 2020</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2023-2025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b w:val="1"/>
                <w:bCs w:val="1"/>
                <w:color w:val="auto"/>
              </w:rPr>
              <w:t>8</w:t>
            </w:r>
          </w:p>
        </w:tc>
        <w:tc>
          <w:tcPr>
            <w:tcW w:w="3240" w:type="dxa"/>
            <w:vAlign w:val="bottom"/>
            <w:gridSpan w:val="2"/>
          </w:tcPr>
          <w:p>
            <w:pPr>
              <w:ind w:left="140"/>
              <w:spacing w:after="0"/>
              <w:rPr>
                <w:sz w:val="20"/>
                <w:szCs w:val="20"/>
                <w:color w:val="auto"/>
              </w:rPr>
            </w:pPr>
            <w:r>
              <w:rPr>
                <w:rFonts w:ascii="Arial" w:cs="Arial" w:eastAsia="Arial" w:hAnsi="Arial"/>
                <w:sz w:val="18"/>
                <w:szCs w:val="18"/>
                <w:i w:val="1"/>
                <w:iCs w:val="1"/>
                <w:color w:val="auto"/>
              </w:rPr>
              <w:t>Methane Alison Victoria</w:t>
            </w:r>
          </w:p>
        </w:tc>
        <w:tc>
          <w:tcPr>
            <w:tcW w:w="580" w:type="dxa"/>
            <w:vAlign w:val="bottom"/>
          </w:tcPr>
          <w:p>
            <w:pPr>
              <w:ind w:left="10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145,000</w:t>
            </w:r>
          </w:p>
        </w:tc>
        <w:tc>
          <w:tcPr>
            <w:tcW w:w="24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Steam</w:t>
            </w:r>
          </w:p>
        </w:tc>
        <w:tc>
          <w:tcPr>
            <w:tcW w:w="19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December 2019</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2022-2024</w:t>
            </w:r>
          </w:p>
        </w:tc>
        <w:tc>
          <w:tcPr>
            <w:tcW w:w="0" w:type="dxa"/>
            <w:vAlign w:val="bottom"/>
          </w:tcPr>
          <w:p>
            <w:pPr>
              <w:spacing w:after="0"/>
              <w:rPr>
                <w:sz w:val="1"/>
                <w:szCs w:val="1"/>
                <w:color w:val="auto"/>
              </w:rPr>
            </w:pPr>
          </w:p>
        </w:tc>
      </w:tr>
      <w:tr>
        <w:trPr>
          <w:trHeight w:val="216"/>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9</w:t>
            </w:r>
          </w:p>
        </w:tc>
        <w:tc>
          <w:tcPr>
            <w:tcW w:w="3240" w:type="dxa"/>
            <w:vAlign w:val="bottom"/>
            <w:gridSpan w:val="2"/>
            <w:shd w:val="clear" w:color="auto" w:fill="E5FFFF"/>
          </w:tcPr>
          <w:p>
            <w:pPr>
              <w:ind w:left="140"/>
              <w:spacing w:after="0"/>
              <w:rPr>
                <w:sz w:val="20"/>
                <w:szCs w:val="20"/>
                <w:color w:val="auto"/>
              </w:rPr>
            </w:pPr>
            <w:r>
              <w:rPr>
                <w:rFonts w:ascii="Arial" w:cs="Arial" w:eastAsia="Arial" w:hAnsi="Arial"/>
                <w:sz w:val="18"/>
                <w:szCs w:val="18"/>
                <w:i w:val="1"/>
                <w:iCs w:val="1"/>
                <w:color w:val="auto"/>
              </w:rPr>
              <w:t>Methane Heather Sally</w:t>
            </w: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E5FFFF"/>
          </w:tcPr>
          <w:p>
            <w:pPr>
              <w:spacing w:after="0"/>
              <w:rPr>
                <w:sz w:val="18"/>
                <w:szCs w:val="18"/>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145,000</w:t>
            </w:r>
          </w:p>
        </w:tc>
        <w:tc>
          <w:tcPr>
            <w:tcW w:w="24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84"/>
              </w:rPr>
              <w:t>Steam</w:t>
            </w:r>
          </w:p>
        </w:tc>
        <w:tc>
          <w:tcPr>
            <w:tcW w:w="19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0"/>
              </w:rPr>
              <w:t>December 2020</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2023-2025</w:t>
            </w:r>
          </w:p>
        </w:tc>
        <w:tc>
          <w:tcPr>
            <w:tcW w:w="0" w:type="dxa"/>
            <w:vAlign w:val="bottom"/>
          </w:tcPr>
          <w:p>
            <w:pPr>
              <w:spacing w:after="0"/>
              <w:rPr>
                <w:sz w:val="1"/>
                <w:szCs w:val="1"/>
                <w:color w:val="auto"/>
              </w:rPr>
            </w:pPr>
          </w:p>
        </w:tc>
      </w:tr>
      <w:tr>
        <w:trPr>
          <w:trHeight w:val="432"/>
        </w:trPr>
        <w:tc>
          <w:tcPr>
            <w:tcW w:w="3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Bareboat Vessel</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Cargo</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6"/>
              </w:rPr>
              <w:t>Charter</w:t>
            </w:r>
          </w:p>
        </w:tc>
        <w:tc>
          <w:tcPr>
            <w:tcW w:w="11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Optional</w:t>
            </w: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ind w:left="100"/>
              <w:spacing w:after="0" w:line="181" w:lineRule="exact"/>
              <w:rPr>
                <w:sz w:val="20"/>
                <w:szCs w:val="20"/>
                <w:color w:val="auto"/>
              </w:rPr>
            </w:pPr>
            <w:r>
              <w:rPr>
                <w:rFonts w:ascii="Arial" w:cs="Arial" w:eastAsia="Arial" w:hAnsi="Arial"/>
                <w:sz w:val="18"/>
                <w:szCs w:val="18"/>
                <w:b w:val="1"/>
                <w:bCs w:val="1"/>
                <w:color w:val="auto"/>
              </w:rPr>
              <w:t>Year</w:t>
            </w:r>
          </w:p>
        </w:tc>
        <w:tc>
          <w:tcPr>
            <w:tcW w:w="1160" w:type="dxa"/>
            <w:vAlign w:val="bottom"/>
            <w:gridSpan w:val="2"/>
          </w:tcPr>
          <w:p>
            <w:pPr>
              <w:jc w:val="center"/>
              <w:ind w:right="240"/>
              <w:spacing w:after="0" w:line="181" w:lineRule="exact"/>
              <w:rPr>
                <w:sz w:val="20"/>
                <w:szCs w:val="20"/>
                <w:color w:val="auto"/>
              </w:rPr>
            </w:pPr>
            <w:r>
              <w:rPr>
                <w:rFonts w:ascii="Arial" w:cs="Arial" w:eastAsia="Arial" w:hAnsi="Arial"/>
                <w:sz w:val="18"/>
                <w:szCs w:val="18"/>
                <w:b w:val="1"/>
                <w:bCs w:val="1"/>
                <w:color w:val="auto"/>
                <w:w w:val="90"/>
              </w:rPr>
              <w:t>Capacity</w:t>
            </w: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2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Vessel Name</w:t>
            </w:r>
          </w:p>
        </w:tc>
        <w:tc>
          <w:tcPr>
            <w:tcW w:w="240" w:type="dxa"/>
            <w:vAlign w:val="bottom"/>
            <w:tcBorders>
              <w:bottom w:val="single" w:sz="8" w:color="E5FFFF"/>
            </w:tcBorders>
          </w:tcPr>
          <w:p>
            <w:pPr>
              <w:spacing w:after="0"/>
              <w:rPr>
                <w:sz w:val="23"/>
                <w:szCs w:val="23"/>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Built</w:t>
            </w:r>
          </w:p>
        </w:tc>
        <w:tc>
          <w:tcPr>
            <w:tcW w:w="220" w:type="dxa"/>
            <w:vAlign w:val="bottom"/>
            <w:tcBorders>
              <w:bottom w:val="single" w:sz="8" w:color="E5FFFF"/>
            </w:tcBorders>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(cbm)</w:t>
            </w:r>
          </w:p>
        </w:tc>
        <w:tc>
          <w:tcPr>
            <w:tcW w:w="240" w:type="dxa"/>
            <w:vAlign w:val="bottom"/>
            <w:tcBorders>
              <w:bottom w:val="single" w:sz="8" w:color="E5FFFF"/>
            </w:tcBorders>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Charterer</w:t>
            </w:r>
          </w:p>
        </w:tc>
        <w:tc>
          <w:tcPr>
            <w:tcW w:w="220" w:type="dxa"/>
            <w:vAlign w:val="bottom"/>
            <w:tcBorders>
              <w:bottom w:val="single" w:sz="8" w:color="E5FFFF"/>
            </w:tcBorders>
          </w:tcPr>
          <w:p>
            <w:pPr>
              <w:spacing w:after="0"/>
              <w:rPr>
                <w:sz w:val="23"/>
                <w:szCs w:val="2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Propulsion</w:t>
            </w:r>
          </w:p>
        </w:tc>
        <w:tc>
          <w:tcPr>
            <w:tcW w:w="200" w:type="dxa"/>
            <w:vAlign w:val="bottom"/>
            <w:tcBorders>
              <w:bottom w:val="single" w:sz="8" w:color="E5FFFF"/>
            </w:tcBorders>
          </w:tcPr>
          <w:p>
            <w:pPr>
              <w:spacing w:after="0"/>
              <w:rPr>
                <w:sz w:val="23"/>
                <w:szCs w:val="23"/>
                <w:color w:val="auto"/>
              </w:rPr>
            </w:pPr>
          </w:p>
        </w:tc>
        <w:tc>
          <w:tcPr>
            <w:tcW w:w="17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8"/>
              </w:rPr>
              <w:t>Expiration</w:t>
            </w:r>
            <w:r>
              <w:rPr>
                <w:rFonts w:ascii="Arial" w:cs="Arial" w:eastAsia="Arial" w:hAnsi="Arial"/>
                <w:sz w:val="30"/>
                <w:szCs w:val="30"/>
                <w:b w:val="1"/>
                <w:bCs w:val="1"/>
                <w:color w:val="auto"/>
                <w:w w:val="88"/>
                <w:vertAlign w:val="superscript"/>
              </w:rPr>
              <w:t>(1)</w:t>
            </w:r>
          </w:p>
        </w:tc>
        <w:tc>
          <w:tcPr>
            <w:tcW w:w="220" w:type="dxa"/>
            <w:vAlign w:val="bottom"/>
            <w:tcBorders>
              <w:bottom w:val="single" w:sz="8" w:color="E5FFFF"/>
            </w:tcBorders>
          </w:tcPr>
          <w:p>
            <w:pPr>
              <w:spacing w:after="0"/>
              <w:rPr>
                <w:sz w:val="23"/>
                <w:szCs w:val="23"/>
                <w:color w:val="auto"/>
              </w:rPr>
            </w:pPr>
          </w:p>
        </w:tc>
        <w:tc>
          <w:tcPr>
            <w:tcW w:w="1140" w:type="dxa"/>
            <w:vAlign w:val="bottom"/>
            <w:tcBorders>
              <w:bottom w:val="single" w:sz="8" w:color="auto"/>
            </w:tcBorders>
          </w:tcPr>
          <w:p>
            <w:pPr>
              <w:ind w:left="240"/>
              <w:spacing w:after="0" w:line="269" w:lineRule="exact"/>
              <w:rPr>
                <w:sz w:val="20"/>
                <w:szCs w:val="20"/>
                <w:color w:val="auto"/>
              </w:rPr>
            </w:pPr>
            <w:r>
              <w:rPr>
                <w:rFonts w:ascii="Arial" w:cs="Arial" w:eastAsia="Arial" w:hAnsi="Arial"/>
                <w:sz w:val="18"/>
                <w:szCs w:val="18"/>
                <w:b w:val="1"/>
                <w:bCs w:val="1"/>
                <w:color w:val="auto"/>
              </w:rPr>
              <w:t>Period</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50"/>
        </w:trPr>
        <w:tc>
          <w:tcPr>
            <w:tcW w:w="2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1</w:t>
            </w:r>
          </w:p>
        </w:tc>
        <w:tc>
          <w:tcPr>
            <w:tcW w:w="3000" w:type="dxa"/>
            <w:vAlign w:val="bottom"/>
            <w:shd w:val="clear" w:color="auto" w:fill="E5FFFF"/>
          </w:tcPr>
          <w:p>
            <w:pPr>
              <w:ind w:left="140"/>
              <w:spacing w:after="0" w:line="250" w:lineRule="exact"/>
              <w:rPr>
                <w:sz w:val="20"/>
                <w:szCs w:val="20"/>
                <w:color w:val="auto"/>
              </w:rPr>
            </w:pPr>
            <w:r>
              <w:rPr>
                <w:rFonts w:ascii="Arial" w:cs="Arial" w:eastAsia="Arial" w:hAnsi="Arial"/>
                <w:sz w:val="17"/>
                <w:szCs w:val="17"/>
                <w:i w:val="1"/>
                <w:iCs w:val="1"/>
                <w:color w:val="auto"/>
              </w:rPr>
              <w:t>Methane Julia Louise</w:t>
            </w:r>
            <w:r>
              <w:rPr>
                <w:rFonts w:ascii="Arial" w:cs="Arial" w:eastAsia="Arial" w:hAnsi="Arial"/>
                <w:sz w:val="28"/>
                <w:szCs w:val="28"/>
                <w:color w:val="auto"/>
                <w:vertAlign w:val="superscript"/>
              </w:rPr>
              <w:t>(6)</w:t>
            </w:r>
          </w:p>
        </w:tc>
        <w:tc>
          <w:tcPr>
            <w:tcW w:w="240" w:type="dxa"/>
            <w:vAlign w:val="bottom"/>
            <w:shd w:val="clear" w:color="auto" w:fill="E5FFFF"/>
          </w:tcPr>
          <w:p>
            <w:pPr>
              <w:spacing w:after="0"/>
              <w:rPr>
                <w:sz w:val="21"/>
                <w:szCs w:val="21"/>
                <w:color w:val="auto"/>
              </w:rPr>
            </w:pPr>
          </w:p>
        </w:tc>
        <w:tc>
          <w:tcPr>
            <w:tcW w:w="580" w:type="dxa"/>
            <w:vAlign w:val="bottom"/>
            <w:shd w:val="clear" w:color="auto" w:fill="E5FFFF"/>
          </w:tcPr>
          <w:p>
            <w:pPr>
              <w:ind w:left="100"/>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E5FFFF"/>
          </w:tcPr>
          <w:p>
            <w:pPr>
              <w:spacing w:after="0"/>
              <w:rPr>
                <w:sz w:val="21"/>
                <w:szCs w:val="21"/>
                <w:color w:val="auto"/>
              </w:rPr>
            </w:pPr>
          </w:p>
        </w:tc>
        <w:tc>
          <w:tcPr>
            <w:tcW w:w="92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2"/>
              </w:rPr>
              <w:t>170,000</w:t>
            </w:r>
          </w:p>
        </w:tc>
        <w:tc>
          <w:tcPr>
            <w:tcW w:w="240" w:type="dxa"/>
            <w:vAlign w:val="bottom"/>
            <w:shd w:val="clear" w:color="auto" w:fill="E5FFFF"/>
          </w:tcPr>
          <w:p>
            <w:pPr>
              <w:spacing w:after="0"/>
              <w:rPr>
                <w:sz w:val="21"/>
                <w:szCs w:val="21"/>
                <w:color w:val="auto"/>
              </w:rPr>
            </w:pPr>
          </w:p>
        </w:tc>
        <w:tc>
          <w:tcPr>
            <w:tcW w:w="1700" w:type="dxa"/>
            <w:vAlign w:val="bottom"/>
            <w:gridSpan w:val="2"/>
            <w:shd w:val="clear" w:color="auto" w:fill="E5FFFF"/>
          </w:tcPr>
          <w:p>
            <w:pPr>
              <w:jc w:val="center"/>
              <w:ind w:right="240"/>
              <w:spacing w:after="0"/>
              <w:rPr>
                <w:sz w:val="20"/>
                <w:szCs w:val="20"/>
                <w:color w:val="auto"/>
              </w:rPr>
            </w:pPr>
            <w:r>
              <w:rPr>
                <w:rFonts w:ascii="Arial" w:cs="Arial" w:eastAsia="Arial" w:hAnsi="Arial"/>
                <w:sz w:val="18"/>
                <w:szCs w:val="18"/>
                <w:color w:val="auto"/>
                <w:w w:val="94"/>
              </w:rPr>
              <w:t>Shell</w:t>
            </w:r>
          </w:p>
        </w:tc>
        <w:tc>
          <w:tcPr>
            <w:tcW w:w="124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3"/>
              </w:rPr>
              <w:t>TFDE</w:t>
            </w:r>
          </w:p>
        </w:tc>
        <w:tc>
          <w:tcPr>
            <w:tcW w:w="1920" w:type="dxa"/>
            <w:vAlign w:val="bottom"/>
            <w:gridSpan w:val="2"/>
            <w:shd w:val="clear" w:color="auto" w:fill="E5FFFF"/>
          </w:tcPr>
          <w:p>
            <w:pPr>
              <w:jc w:val="center"/>
              <w:ind w:right="200"/>
              <w:spacing w:after="0"/>
              <w:rPr>
                <w:sz w:val="20"/>
                <w:szCs w:val="20"/>
                <w:color w:val="auto"/>
              </w:rPr>
            </w:pPr>
            <w:r>
              <w:rPr>
                <w:rFonts w:ascii="Arial" w:cs="Arial" w:eastAsia="Arial" w:hAnsi="Arial"/>
                <w:sz w:val="18"/>
                <w:szCs w:val="18"/>
                <w:color w:val="auto"/>
                <w:w w:val="92"/>
              </w:rPr>
              <w:t>March 2026</w:t>
            </w:r>
          </w:p>
        </w:tc>
        <w:tc>
          <w:tcPr>
            <w:tcW w:w="114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0"/>
              </w:rPr>
              <w:t>2029-2031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1"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2"/>
          <w:szCs w:val="12"/>
          <w:color w:val="auto"/>
        </w:rPr>
      </w:pPr>
      <w:r>
        <w:rPr>
          <w:rFonts w:ascii="Arial" w:cs="Arial" w:eastAsia="Arial" w:hAnsi="Arial"/>
          <w:sz w:val="14"/>
          <w:szCs w:val="14"/>
          <w:color w:val="auto"/>
        </w:rPr>
        <w:t>Indicates the expiration of the initial term.</w:t>
      </w:r>
    </w:p>
    <w:p>
      <w:pPr>
        <w:spacing w:after="0" w:line="13" w:lineRule="exact"/>
        <w:rPr>
          <w:rFonts w:ascii="Arial" w:cs="Arial" w:eastAsia="Arial" w:hAnsi="Arial"/>
          <w:sz w:val="12"/>
          <w:szCs w:val="12"/>
          <w:color w:val="auto"/>
        </w:rPr>
      </w:pPr>
    </w:p>
    <w:p>
      <w:pPr>
        <w:ind w:left="240" w:right="60" w:hanging="232"/>
        <w:spacing w:after="0" w:line="238" w:lineRule="auto"/>
        <w:tabs>
          <w:tab w:leader="none" w:pos="240" w:val="left"/>
        </w:tabs>
        <w:numPr>
          <w:ilvl w:val="0"/>
          <w:numId w:val="5"/>
        </w:numPr>
        <w:rPr>
          <w:rFonts w:ascii="Arial" w:cs="Arial" w:eastAsia="Arial" w:hAnsi="Arial"/>
          <w:sz w:val="11"/>
          <w:szCs w:val="11"/>
          <w:color w:val="auto"/>
        </w:rPr>
      </w:pPr>
      <w:r>
        <w:rPr>
          <w:rFonts w:ascii="Arial" w:cs="Arial" w:eastAsia="Arial" w:hAnsi="Arial"/>
          <w:sz w:val="13"/>
          <w:szCs w:val="13"/>
          <w:color w:val="auto"/>
        </w:rPr>
        <w:t xml:space="preserve">The period shown reflects the expiration of the minimum optional period and the maximum optional period. The charterer of the </w:t>
      </w:r>
      <w:r>
        <w:rPr>
          <w:rFonts w:ascii="Arial" w:cs="Arial" w:eastAsia="Arial" w:hAnsi="Arial"/>
          <w:sz w:val="13"/>
          <w:szCs w:val="13"/>
          <w:i w:val="1"/>
          <w:iCs w:val="1"/>
          <w:color w:val="auto"/>
        </w:rPr>
        <w:t>GasLog Skagen</w:t>
      </w:r>
      <w:r>
        <w:rPr>
          <w:rFonts w:ascii="Arial" w:cs="Arial" w:eastAsia="Arial" w:hAnsi="Arial"/>
          <w:sz w:val="13"/>
          <w:szCs w:val="13"/>
          <w:color w:val="auto"/>
        </w:rPr>
        <w:t xml:space="preserve"> has unilateral options to extend the term of the charter for up to ten years, on a seasonal charter basis. The charterer of the </w:t>
      </w:r>
      <w:r>
        <w:rPr>
          <w:rFonts w:ascii="Arial" w:cs="Arial" w:eastAsia="Arial" w:hAnsi="Arial"/>
          <w:sz w:val="13"/>
          <w:szCs w:val="13"/>
          <w:i w:val="1"/>
          <w:iCs w:val="1"/>
          <w:color w:val="auto"/>
        </w:rPr>
        <w:t>GasLog Seattle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Solaris</w:t>
      </w:r>
      <w:r>
        <w:rPr>
          <w:rFonts w:ascii="Arial" w:cs="Arial" w:eastAsia="Arial" w:hAnsi="Arial"/>
          <w:sz w:val="13"/>
          <w:szCs w:val="13"/>
          <w:color w:val="auto"/>
        </w:rPr>
        <w:t xml:space="preserve"> has unilateral options to extend the term of the time charter for periods ranging from five to ten years, provided that the charterer provides us with advance notice of declaration of any option in accordance with the terms of the applicable charter. The charterer of the </w:t>
      </w:r>
      <w:r>
        <w:rPr>
          <w:rFonts w:ascii="Arial" w:cs="Arial" w:eastAsia="Arial" w:hAnsi="Arial"/>
          <w:sz w:val="13"/>
          <w:szCs w:val="13"/>
          <w:i w:val="1"/>
          <w:iCs w:val="1"/>
          <w:color w:val="auto"/>
        </w:rPr>
        <w:t>Methane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Lydon Volney </w:t>
      </w:r>
      <w:r>
        <w:rPr>
          <w:rFonts w:ascii="Arial" w:cs="Arial" w:eastAsia="Arial" w:hAnsi="Arial"/>
          <w:sz w:val="13"/>
          <w:szCs w:val="13"/>
          <w:color w:val="auto"/>
        </w:rPr>
        <w:t>has a unilateral option to extend the term for a period of either three or five years at its election. In addition, the charterer of the</w:t>
      </w:r>
      <w:r>
        <w:rPr>
          <w:rFonts w:ascii="Arial" w:cs="Arial" w:eastAsia="Arial" w:hAnsi="Arial"/>
          <w:sz w:val="13"/>
          <w:szCs w:val="13"/>
          <w:i w:val="1"/>
          <w:iCs w:val="1"/>
          <w:color w:val="auto"/>
        </w:rPr>
        <w:t xml:space="preserve"> Methane Shirley Elisabeth</w:t>
      </w:r>
      <w:r>
        <w:rPr>
          <w:rFonts w:ascii="Arial" w:cs="Arial" w:eastAsia="Arial" w:hAnsi="Arial"/>
          <w:sz w:val="13"/>
          <w:szCs w:val="13"/>
          <w:color w:val="auto"/>
        </w:rPr>
        <w:t>, the</w:t>
      </w:r>
      <w:r>
        <w:rPr>
          <w:rFonts w:ascii="Arial" w:cs="Arial" w:eastAsia="Arial" w:hAnsi="Arial"/>
          <w:sz w:val="13"/>
          <w:szCs w:val="13"/>
          <w:i w:val="1"/>
          <w:iCs w:val="1"/>
          <w:color w:val="auto"/>
        </w:rPr>
        <w:t xml:space="preserve"> Methane Heather Sally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Methane Alison Victoria </w:t>
      </w:r>
      <w:r>
        <w:rPr>
          <w:rFonts w:ascii="Arial" w:cs="Arial" w:eastAsia="Arial" w:hAnsi="Arial"/>
          <w:sz w:val="13"/>
          <w:szCs w:val="13"/>
          <w:color w:val="auto"/>
        </w:rPr>
        <w:t>has a unilateral option to extend the term of two of the related time charters for a period of either three or five years at its election. The charterers of the</w:t>
      </w:r>
      <w:r>
        <w:rPr>
          <w:rFonts w:ascii="Arial" w:cs="Arial" w:eastAsia="Arial" w:hAnsi="Arial"/>
          <w:sz w:val="13"/>
          <w:szCs w:val="13"/>
          <w:i w:val="1"/>
          <w:iCs w:val="1"/>
          <w:color w:val="auto"/>
        </w:rPr>
        <w:t xml:space="preserve"> GasLog Shanghai, </w:t>
      </w:r>
      <w:r>
        <w:rPr>
          <w:rFonts w:ascii="Arial" w:cs="Arial" w:eastAsia="Arial" w:hAnsi="Arial"/>
          <w:sz w:val="13"/>
          <w:szCs w:val="13"/>
          <w:color w:val="auto"/>
        </w:rPr>
        <w:t>the</w:t>
      </w:r>
      <w:r>
        <w:rPr>
          <w:rFonts w:ascii="Arial" w:cs="Arial" w:eastAsia="Arial" w:hAnsi="Arial"/>
          <w:sz w:val="13"/>
          <w:szCs w:val="13"/>
          <w:i w:val="1"/>
          <w:iCs w:val="1"/>
          <w:color w:val="auto"/>
        </w:rPr>
        <w:t xml:space="preserve"> GasLog Santiago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Sydney </w:t>
      </w:r>
      <w:r>
        <w:rPr>
          <w:rFonts w:ascii="Arial" w:cs="Arial" w:eastAsia="Arial" w:hAnsi="Arial"/>
          <w:sz w:val="13"/>
          <w:szCs w:val="13"/>
          <w:color w:val="auto"/>
        </w:rPr>
        <w:t>have the option to extend the charters for two consecutive periods of three or four years each plus or minus 30 days, and each</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charter extension and the length thereof is to be nominated by charterers at least 18 months before the end of each current charter period and shall follow in direct continuation of the then preceding period. No such nominations have been made in respect of the </w:t>
      </w:r>
      <w:r>
        <w:rPr>
          <w:rFonts w:ascii="Arial" w:cs="Arial" w:eastAsia="Arial" w:hAnsi="Arial"/>
          <w:sz w:val="13"/>
          <w:szCs w:val="13"/>
          <w:i w:val="1"/>
          <w:iCs w:val="1"/>
          <w:color w:val="auto"/>
        </w:rPr>
        <w:t>GasLog Shanghai</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Santiago.</w:t>
      </w:r>
      <w:r>
        <w:rPr>
          <w:rFonts w:ascii="Arial" w:cs="Arial" w:eastAsia="Arial" w:hAnsi="Arial"/>
          <w:sz w:val="13"/>
          <w:szCs w:val="13"/>
          <w:color w:val="auto"/>
        </w:rPr>
        <w:t xml:space="preserve"> The charterer of the </w:t>
      </w:r>
      <w:r>
        <w:rPr>
          <w:rFonts w:ascii="Arial" w:cs="Arial" w:eastAsia="Arial" w:hAnsi="Arial"/>
          <w:sz w:val="13"/>
          <w:szCs w:val="13"/>
          <w:i w:val="1"/>
          <w:iCs w:val="1"/>
          <w:color w:val="auto"/>
        </w:rPr>
        <w:t>Methane Rita Andrea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Jane Elizabeth</w:t>
      </w:r>
      <w:r>
        <w:rPr>
          <w:rFonts w:ascii="Arial" w:cs="Arial" w:eastAsia="Arial" w:hAnsi="Arial"/>
          <w:sz w:val="13"/>
          <w:szCs w:val="13"/>
          <w:color w:val="auto"/>
        </w:rPr>
        <w:t xml:space="preserve"> may extend either or both of these charters for one extension period of three or five years, and each charter requires that the charterer provide us with advance notice of its exercise of any extension option. The charterer of the </w:t>
      </w:r>
      <w:r>
        <w:rPr>
          <w:rFonts w:ascii="Arial" w:cs="Arial" w:eastAsia="Arial" w:hAnsi="Arial"/>
          <w:sz w:val="13"/>
          <w:szCs w:val="13"/>
          <w:i w:val="1"/>
          <w:iCs w:val="1"/>
          <w:color w:val="auto"/>
        </w:rPr>
        <w:t>Methane Becki Anne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has a unilateral option to extend the term of the time charters for a period of either three or five years at its election. The charterer of the </w:t>
      </w:r>
      <w:r>
        <w:rPr>
          <w:rFonts w:ascii="Arial" w:cs="Arial" w:eastAsia="Arial" w:hAnsi="Arial"/>
          <w:sz w:val="13"/>
          <w:szCs w:val="13"/>
          <w:i w:val="1"/>
          <w:iCs w:val="1"/>
          <w:color w:val="auto"/>
        </w:rPr>
        <w:t>GasLog Greece</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Glasgow</w:t>
      </w:r>
      <w:r>
        <w:rPr>
          <w:rFonts w:ascii="Arial" w:cs="Arial" w:eastAsia="Arial" w:hAnsi="Arial"/>
          <w:sz w:val="13"/>
          <w:szCs w:val="13"/>
          <w:color w:val="auto"/>
        </w:rPr>
        <w:t xml:space="preserve"> has the right to extend the charters for a period of five years at the charterer’s option. The charterer of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Geneva </w:t>
      </w:r>
      <w:r>
        <w:rPr>
          <w:rFonts w:ascii="Arial" w:cs="Arial" w:eastAsia="Arial" w:hAnsi="Arial"/>
          <w:sz w:val="13"/>
          <w:szCs w:val="13"/>
          <w:color w:val="auto"/>
        </w:rPr>
        <w:t>has the right to extend the charter by two additional periods of five and three years, respectively, provided that the charterer provides us with advance notice of declaration.</w:t>
      </w:r>
    </w:p>
    <w:p>
      <w:pPr>
        <w:spacing w:after="0" w:line="3" w:lineRule="exact"/>
        <w:rPr>
          <w:rFonts w:ascii="Arial" w:cs="Arial" w:eastAsia="Arial" w:hAnsi="Arial"/>
          <w:sz w:val="11"/>
          <w:szCs w:val="11"/>
          <w:color w:val="auto"/>
        </w:rPr>
      </w:pPr>
    </w:p>
    <w:p>
      <w:pPr>
        <w:ind w:left="240" w:hanging="232"/>
        <w:spacing w:after="0"/>
        <w:tabs>
          <w:tab w:leader="none" w:pos="240" w:val="left"/>
        </w:tabs>
        <w:numPr>
          <w:ilvl w:val="0"/>
          <w:numId w:val="5"/>
        </w:numPr>
        <w:rPr>
          <w:rFonts w:ascii="Arial" w:cs="Arial" w:eastAsia="Arial" w:hAnsi="Arial"/>
          <w:sz w:val="12"/>
          <w:szCs w:val="12"/>
          <w:color w:val="auto"/>
        </w:rPr>
      </w:pPr>
      <w:r>
        <w:rPr>
          <w:rFonts w:ascii="Arial" w:cs="Arial" w:eastAsia="Arial" w:hAnsi="Arial"/>
          <w:sz w:val="14"/>
          <w:szCs w:val="14"/>
          <w:color w:val="auto"/>
        </w:rPr>
        <w:t>Vessels operating in the spot market that participate in The Cool Pool Limited.</w:t>
      </w:r>
    </w:p>
    <w:p>
      <w:pPr>
        <w:spacing w:after="0" w:line="1" w:lineRule="exact"/>
        <w:rPr>
          <w:rFonts w:ascii="Arial" w:cs="Arial" w:eastAsia="Arial" w:hAnsi="Arial"/>
          <w:sz w:val="12"/>
          <w:szCs w:val="12"/>
          <w:color w:val="auto"/>
        </w:rPr>
      </w:pPr>
    </w:p>
    <w:p>
      <w:pPr>
        <w:ind w:left="240" w:right="160" w:hanging="232"/>
        <w:spacing w:after="0" w:line="237" w:lineRule="auto"/>
        <w:tabs>
          <w:tab w:leader="none" w:pos="2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Time charter provides for full employment for three years and a subsequent five year seasonal charter under which the ship is employed for seven months and available to accept other charters for five months.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 w:name="page9"/>
    <w:bookmarkEnd w:id="8"/>
    <w:p>
      <w:pPr>
        <w:ind w:left="240" w:hanging="232"/>
        <w:spacing w:after="0" w:line="227" w:lineRule="auto"/>
        <w:tabs>
          <w:tab w:leader="none" w:pos="240" w:val="left"/>
        </w:tabs>
        <w:numPr>
          <w:ilvl w:val="0"/>
          <w:numId w:val="6"/>
        </w:numPr>
        <w:rPr>
          <w:rFonts w:ascii="Arial" w:cs="Arial" w:eastAsia="Arial" w:hAnsi="Arial"/>
          <w:sz w:val="12"/>
          <w:szCs w:val="12"/>
          <w:color w:val="auto"/>
        </w:rPr>
      </w:pPr>
      <w:r>
        <w:rPr>
          <w:rFonts w:ascii="Arial" w:cs="Arial" w:eastAsia="Arial" w:hAnsi="Arial"/>
          <w:sz w:val="14"/>
          <w:szCs w:val="14"/>
          <w:color w:val="auto"/>
        </w:rPr>
        <w:t xml:space="preserve">Pursuant to the agreement signed with MSL on April 21, 2015, with respect to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whose charter was shortened by eight months under such agreement, if MSL does not exercise the charter extension options for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and GasLog Partners does not enter into a third-party charter for the </w:t>
      </w:r>
      <w:r>
        <w:rPr>
          <w:rFonts w:ascii="Arial" w:cs="Arial" w:eastAsia="Arial" w:hAnsi="Arial"/>
          <w:sz w:val="14"/>
          <w:szCs w:val="14"/>
          <w:i w:val="1"/>
          <w:iCs w:val="1"/>
          <w:color w:val="auto"/>
        </w:rPr>
        <w:t>GasLog Sydney</w:t>
      </w:r>
      <w:r>
        <w:rPr>
          <w:rFonts w:ascii="Arial" w:cs="Arial" w:eastAsia="Arial" w:hAnsi="Arial"/>
          <w:sz w:val="14"/>
          <w:szCs w:val="14"/>
          <w:color w:val="auto"/>
        </w:rPr>
        <w:t>, GasLog and GasLog Partners intend to enter into a bareboat or time charter arrangement that is designed to guarantee the total cash distribution from the vessel for any period of charter shortening.</w:t>
      </w:r>
    </w:p>
    <w:p>
      <w:pPr>
        <w:ind w:left="240" w:hanging="232"/>
        <w:spacing w:after="0" w:line="229" w:lineRule="auto"/>
        <w:tabs>
          <w:tab w:leader="none" w:pos="240" w:val="left"/>
        </w:tabs>
        <w:numPr>
          <w:ilvl w:val="0"/>
          <w:numId w:val="6"/>
        </w:numPr>
        <w:rPr>
          <w:rFonts w:ascii="Arial" w:cs="Arial" w:eastAsia="Arial" w:hAnsi="Arial"/>
          <w:sz w:val="12"/>
          <w:szCs w:val="12"/>
          <w:color w:val="auto"/>
        </w:rPr>
      </w:pPr>
      <w:r>
        <w:rPr>
          <w:rFonts w:ascii="Arial" w:cs="Arial" w:eastAsia="Arial" w:hAnsi="Arial"/>
          <w:sz w:val="14"/>
          <w:szCs w:val="14"/>
          <w:color w:val="auto"/>
        </w:rPr>
        <w:t xml:space="preserve">On February 24, 2016, GasLog’s subsidiary,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Lepta Shipping Co. Ltd. (“Lepta Shipping”) has the right to on-sell and lease back the vessel. The vessel was sold to Lepta Shipping for a total consideration approximately equivalent to its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 a subsidiary of Shell.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Deliveries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GasLog has three newbuildings on order at Samsung and two newbuildings on order at Hyundai Heavy Industries Co., Ltd. (“Hyundai”). Our vessels presently under construction are on schedule and within budget. The expected delivery dates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Hulls</w:t>
            </w:r>
          </w:p>
        </w:tc>
        <w:tc>
          <w:tcPr>
            <w:tcW w:w="2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Delivery date</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Shipyard</w:t>
            </w:r>
          </w:p>
        </w:tc>
      </w:tr>
      <w:tr>
        <w:trPr>
          <w:trHeight w:val="210"/>
        </w:trPr>
        <w:tc>
          <w:tcPr>
            <w:tcW w:w="23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93"/>
              </w:rPr>
              <w:t>Hull No. 2130</w:t>
            </w:r>
          </w:p>
        </w:tc>
        <w:tc>
          <w:tcPr>
            <w:tcW w:w="400" w:type="dxa"/>
            <w:vAlign w:val="bottom"/>
            <w:tcBorders>
              <w:top w:val="single" w:sz="8" w:color="E5FFFF"/>
            </w:tcBorders>
            <w:shd w:val="clear" w:color="auto" w:fill="E5FFFF"/>
          </w:tcPr>
          <w:p>
            <w:pPr>
              <w:spacing w:after="0"/>
              <w:rPr>
                <w:sz w:val="18"/>
                <w:szCs w:val="18"/>
                <w:color w:val="auto"/>
              </w:rPr>
            </w:pPr>
          </w:p>
        </w:tc>
        <w:tc>
          <w:tcPr>
            <w:tcW w:w="25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9"/>
              </w:rPr>
              <w:t>Q1 2018</w:t>
            </w:r>
          </w:p>
        </w:tc>
        <w:tc>
          <w:tcPr>
            <w:tcW w:w="320" w:type="dxa"/>
            <w:vAlign w:val="bottom"/>
            <w:tcBorders>
              <w:top w:val="single" w:sz="8" w:color="E5FFFF"/>
            </w:tcBorders>
            <w:shd w:val="clear" w:color="auto" w:fill="E5FFFF"/>
          </w:tcPr>
          <w:p>
            <w:pPr>
              <w:spacing w:after="0"/>
              <w:rPr>
                <w:sz w:val="18"/>
                <w:szCs w:val="18"/>
                <w:color w:val="auto"/>
              </w:rPr>
            </w:pPr>
          </w:p>
        </w:tc>
        <w:tc>
          <w:tcPr>
            <w:tcW w:w="2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8"/>
                <w:szCs w:val="18"/>
                <w:color w:val="auto"/>
                <w:w w:val="86"/>
              </w:rPr>
              <w:t>Samsung</w:t>
            </w:r>
          </w:p>
        </w:tc>
      </w:tr>
      <w:tr>
        <w:trPr>
          <w:trHeight w:val="216"/>
        </w:trPr>
        <w:tc>
          <w:tcPr>
            <w:tcW w:w="27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Hull No. 2800</w:t>
            </w:r>
          </w:p>
        </w:tc>
        <w:tc>
          <w:tcPr>
            <w:tcW w:w="28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Q1 2018</w:t>
            </w: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Hyundai</w:t>
            </w:r>
          </w:p>
        </w:tc>
      </w:tr>
      <w:tr>
        <w:trPr>
          <w:trHeight w:val="216"/>
        </w:trPr>
        <w:tc>
          <w:tcPr>
            <w:tcW w:w="2740" w:type="dxa"/>
            <w:vAlign w:val="bottom"/>
            <w:gridSpan w:val="2"/>
            <w:shd w:val="clear" w:color="auto" w:fill="E5FFFF"/>
          </w:tcPr>
          <w:p>
            <w:pPr>
              <w:jc w:val="center"/>
              <w:ind w:right="400"/>
              <w:spacing w:after="0"/>
              <w:rPr>
                <w:sz w:val="20"/>
                <w:szCs w:val="20"/>
                <w:color w:val="auto"/>
              </w:rPr>
            </w:pPr>
            <w:r>
              <w:rPr>
                <w:rFonts w:ascii="Arial" w:cs="Arial" w:eastAsia="Arial" w:hAnsi="Arial"/>
                <w:sz w:val="18"/>
                <w:szCs w:val="18"/>
                <w:color w:val="auto"/>
                <w:w w:val="93"/>
              </w:rPr>
              <w:t>Hull No. 2801</w:t>
            </w:r>
          </w:p>
        </w:tc>
        <w:tc>
          <w:tcPr>
            <w:tcW w:w="28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9"/>
              </w:rPr>
              <w:t>Q1 2018</w:t>
            </w:r>
          </w:p>
        </w:tc>
        <w:tc>
          <w:tcPr>
            <w:tcW w:w="23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93"/>
              </w:rPr>
              <w:t>Hyundai</w:t>
            </w:r>
          </w:p>
        </w:tc>
      </w:tr>
      <w:tr>
        <w:trPr>
          <w:trHeight w:val="216"/>
        </w:trPr>
        <w:tc>
          <w:tcPr>
            <w:tcW w:w="27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Hull No. 2131</w:t>
            </w:r>
          </w:p>
        </w:tc>
        <w:tc>
          <w:tcPr>
            <w:tcW w:w="28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Q1 2019</w:t>
            </w:r>
          </w:p>
        </w:tc>
        <w:tc>
          <w:tcPr>
            <w:tcW w:w="2380" w:type="dxa"/>
            <w:vAlign w:val="bottom"/>
          </w:tcPr>
          <w:p>
            <w:pPr>
              <w:jc w:val="center"/>
              <w:spacing w:after="0"/>
              <w:rPr>
                <w:sz w:val="20"/>
                <w:szCs w:val="20"/>
                <w:color w:val="auto"/>
              </w:rPr>
            </w:pPr>
            <w:r>
              <w:rPr>
                <w:rFonts w:ascii="Arial" w:cs="Arial" w:eastAsia="Arial" w:hAnsi="Arial"/>
                <w:sz w:val="18"/>
                <w:szCs w:val="18"/>
                <w:color w:val="auto"/>
                <w:w w:val="86"/>
              </w:rPr>
              <w:t>Samsung</w:t>
            </w:r>
          </w:p>
        </w:tc>
      </w:tr>
      <w:tr>
        <w:trPr>
          <w:trHeight w:val="216"/>
        </w:trPr>
        <w:tc>
          <w:tcPr>
            <w:tcW w:w="2740" w:type="dxa"/>
            <w:vAlign w:val="bottom"/>
            <w:gridSpan w:val="2"/>
            <w:shd w:val="clear" w:color="auto" w:fill="E5FFFF"/>
          </w:tcPr>
          <w:p>
            <w:pPr>
              <w:jc w:val="center"/>
              <w:ind w:right="400"/>
              <w:spacing w:after="0"/>
              <w:rPr>
                <w:sz w:val="20"/>
                <w:szCs w:val="20"/>
                <w:color w:val="auto"/>
              </w:rPr>
            </w:pPr>
            <w:r>
              <w:rPr>
                <w:rFonts w:ascii="Arial" w:cs="Arial" w:eastAsia="Arial" w:hAnsi="Arial"/>
                <w:sz w:val="18"/>
                <w:szCs w:val="18"/>
                <w:color w:val="auto"/>
                <w:w w:val="93"/>
              </w:rPr>
              <w:t>Hull No. 2212</w:t>
            </w:r>
          </w:p>
        </w:tc>
        <w:tc>
          <w:tcPr>
            <w:tcW w:w="2860" w:type="dxa"/>
            <w:vAlign w:val="bottom"/>
            <w:gridSpan w:val="2"/>
            <w:shd w:val="clear" w:color="auto" w:fill="E5FFFF"/>
          </w:tcPr>
          <w:p>
            <w:pPr>
              <w:jc w:val="center"/>
              <w:ind w:right="320"/>
              <w:spacing w:after="0"/>
              <w:rPr>
                <w:sz w:val="20"/>
                <w:szCs w:val="20"/>
                <w:color w:val="auto"/>
              </w:rPr>
            </w:pPr>
            <w:r>
              <w:rPr>
                <w:rFonts w:ascii="Arial" w:cs="Arial" w:eastAsia="Arial" w:hAnsi="Arial"/>
                <w:sz w:val="18"/>
                <w:szCs w:val="18"/>
                <w:color w:val="auto"/>
                <w:w w:val="89"/>
              </w:rPr>
              <w:t>Q2 2019</w:t>
            </w:r>
          </w:p>
        </w:tc>
        <w:tc>
          <w:tcPr>
            <w:tcW w:w="2380" w:type="dxa"/>
            <w:vAlign w:val="bottom"/>
            <w:shd w:val="clear" w:color="auto" w:fill="E5FFFF"/>
          </w:tcPr>
          <w:p>
            <w:pPr>
              <w:jc w:val="center"/>
              <w:spacing w:after="0"/>
              <w:rPr>
                <w:sz w:val="20"/>
                <w:szCs w:val="20"/>
                <w:color w:val="auto"/>
              </w:rPr>
            </w:pPr>
            <w:r>
              <w:rPr>
                <w:rFonts w:ascii="Arial" w:cs="Arial" w:eastAsia="Arial" w:hAnsi="Arial"/>
                <w:sz w:val="18"/>
                <w:szCs w:val="18"/>
                <w:color w:val="auto"/>
                <w:w w:val="86"/>
              </w:rPr>
              <w:t>Samsung</w:t>
            </w: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subsidiaries that own two of the vessels expected to be delivered in 2018 and one vessel expected to be delivered in 2019 have entered into 9.5 year time charters with MSL. Our subsidiary that owns the remaining vessel expected to be delivered in 2018 entered into a seven-year time charter with Total in July 2016. Finally, our subsidiary that owns the last vessel expected to be delivered in 2019 entered into a seven-year time charter with a subsidiary of Centrica in October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Market Update and Outlook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a significant forecast increase in LNG supply and a growing number of new demand centers, GasLog’s demand outlook for LNG carriers with long-term charters remains positive. We continue to see tenders for multi-year charters for vessels, which we expect will be used to transport volumes from new liquefaction facilities coming online over the coming years. We believe that these new LNG volumes will create demand for additional ships over and above those available in the market today.</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fourth quarter, there were several announcements that highlighted continued growth of LNG supply and shipping demand. BP committed to purchase 100% of the LNG produced by ENI’s Coral South Floating LNG (“FLNG”) facility. The facility is expected to be installed offshore Mozambique and to have a capacity of approximately 3.3 million tonnes per annum (“mtpa”). This commitment allowed ENI to authorize development of the project. BP also announced an investment of approximately $1 billion to develop gas reserves offshore Mauritania and Senegal and to create a new LNG hub in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Africa. PETRONAS’ 1.2 mtpa Malaysian FLNG facility was one of eight LNG liquefaction projects that successfully came online in 2016 (others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Sabine Pass, Australia Pacific, Gladstone and Gorgon). Total announced a $207 million investment in Tellurian’s Driftwood LNG project. Finally, the rising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LNG supply in the quarter was slightly offset by a supply outage at Chevron’s Gorgon facility where Train 1 was shut down for maintenance.</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quarter, there were also several announcements for new FSRUs. These projects continue the trend of new and existing importing nations selecting FSRUs, which are typically quicker to market and more flexible than land-based terminals.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Global Energy Infrastructure Limited signed a 20-year FSRU charter for its LNG import project in Port Qasim, Pakistan. This will be the third FSRU in Port Qasim, demonstrating the growing demand in the region. The CI-GNL (Ivory Coast LNG) consortium led by Total was awarded the rights to build and operate a 3 mtpa FSRU in the Ivory Coast. The Brazilian gas-to-power Porto de Sergipe Project took FID. In connection with the FID, the project’s sponsor entered into a 25-year FSRU charter agreement. Also in the quarter, Turkey chartered its first FSRU, the GDF Suez Neptune, from the French utility company Engie. There were seven new FSRU awards during the year, a significant increase on previous years, demonstrating the growing demand for offshore re-gasification infrastructure. This compares to around 20 existing FSRU projects in operation around the world today.</w:t>
      </w:r>
    </w:p>
    <w:p>
      <w:pPr>
        <w:spacing w:after="0" w:line="178"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In the shorter-term shipping market in the fourth quarter, brokers reported that spot rates in the Atlantic Basin increased to approximately $45,000 per day, with one end-of-year fixture reported above $50,000. The catalyst was greater ton-mile demand with many cargoes going from the U.S. to Asia through the Panama Canal. Spot charter terms have also improved with round trip economics now seen on some short term voyages. In the Pacific Basin, reported rates were lower at around $38,000 per day than the Atlantic, largely due to the greater availability of vessels during the period.</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quarter, U.S. natural gas prices increased 30% to $4 per million British thermal units (“mmbtu”). However, Northeast Asian LNG prices rose by 60% to approximately $10 per mmbtu due to a cold start to winter in key demand centers such as Japan, China and Korea. Destination flexibility allowed offtakers to send more LNG cargos to Asia, which increased ton-mile demand. For 2016 in total, there were approximately 275 short term fixtures, an increase of more than 50% over 2015. Whilst it is too early to predict a sustained recovery we believe that fundamentals continue to point to a recovery, through 2017 and beyond.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GasLog will host a conference call to discuss its results for the fourth quarter of 2016 at 8:30 a.m. EST (1:30 p.m. GMT) on Friday, February 17, 2017. Paul Wogan, Chief Executive Officer and Simon Crowe, Chief Financial Officer, will review the Company’s operational and financial performance for the period. Management’s presentation will be followed by a Q&amp;A 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dial-in numbers for the conference call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+1 855 537 5839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0289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53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4522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46501504</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A live webcast of the conference call will also be available on the investor relations page of the Company’s website at </w:t>
      </w:r>
      <w:r>
        <w:rPr>
          <w:rFonts w:ascii="Arial" w:cs="Arial" w:eastAsia="Arial" w:hAnsi="Arial"/>
          <w:sz w:val="18"/>
          <w:szCs w:val="18"/>
          <w:u w:val="single" w:color="auto"/>
          <w:color w:val="auto"/>
        </w:rPr>
        <w:t>http://www.gaslogltd.com/investor-relations</w:t>
      </w:r>
      <w:r>
        <w:rPr>
          <w:rFonts w:ascii="Arial" w:cs="Arial" w:eastAsia="Arial" w:hAnsi="Arial"/>
          <w:sz w:val="18"/>
          <w:szCs w:val="18"/>
          <w:color w:val="auto"/>
        </w:rPr>
        <w: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those unable to participate in the conference call, a replay will also be available from 2:00 p.m. EST (7:00 p.m. GMT) on Friday, February 17, 2017 until 11:59 p.m. EST (4:59 a.m. GMT) on Friday, February 24,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replay dial-in numbers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+1 855 859 2056 (USA)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 20 3107 0235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1 70 80 71 79 (France)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+852 3011 4541 (Hong Kong)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passcode: 46501504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replay will also be available via a webcast in the investor relations page of the Company’s website at </w:t>
      </w:r>
      <w:r>
        <w:rPr>
          <w:rFonts w:ascii="Arial" w:cs="Arial" w:eastAsia="Arial" w:hAnsi="Arial"/>
          <w:sz w:val="17"/>
          <w:szCs w:val="17"/>
          <w:u w:val="single" w:color="auto"/>
          <w:color w:val="auto"/>
        </w:rPr>
        <w:t>http://www.gaslogltd.com/investor-relations</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700" w:right="60" w:hanging="341"/>
        <w:spacing w:after="0" w:line="25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and technological advancements;</w:t>
      </w:r>
    </w:p>
    <w:p>
      <w:pPr>
        <w:spacing w:after="0" w:line="1"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exposure to spot market and fluctuations in spot charter rates;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auto"/>
        </w:rPr>
      </w:pPr>
    </w:p>
    <w:p>
      <w:pPr>
        <w:ind w:left="700" w:right="840" w:hanging="341"/>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700" w:right="500" w:hanging="341"/>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auto"/>
        </w:rPr>
      </w:pPr>
    </w:p>
    <w:p>
      <w:pPr>
        <w:ind w:left="700" w:right="260" w:hanging="341"/>
        <w:spacing w:after="0" w:line="250"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ectPr>
          <w:pgSz w:w="11900" w:h="16838" w:orient="portrait"/>
          <w:cols w:equalWidth="0" w:num="1">
            <w:col w:w="11400"/>
          </w:cols>
          <w:pgMar w:left="240" w:top="405" w:right="259" w:bottom="786"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5" w:right="259" w:bottom="786" w:gutter="0" w:footer="0" w:header="0"/>
          <w:type w:val="continuous"/>
        </w:sectPr>
      </w:pPr>
    </w:p>
    <w:bookmarkStart w:id="10" w:name="page11"/>
    <w:bookmarkEnd w:id="10"/>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3" w:lineRule="exact"/>
        <w:rPr>
          <w:rFonts w:ascii="Arial" w:cs="Arial" w:eastAsia="Arial" w:hAnsi="Arial"/>
          <w:sz w:val="18"/>
          <w:szCs w:val="18"/>
          <w:color w:val="auto"/>
        </w:rPr>
      </w:pPr>
    </w:p>
    <w:p>
      <w:pPr>
        <w:ind w:left="700" w:right="40" w:hanging="341"/>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700" w:right="480" w:hanging="341"/>
        <w:spacing w:after="0" w:line="261"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14, 2016 and available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Simon Crowe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09"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EXHIBIT I - Unaudited Interim Financial Information</w:t>
            </w: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80" w:type="dxa"/>
            <w:vAlign w:val="bottom"/>
          </w:tcPr>
          <w:p>
            <w:pPr>
              <w:spacing w:after="0"/>
              <w:rPr>
                <w:sz w:val="20"/>
                <w:szCs w:val="20"/>
                <w:color w:val="auto"/>
              </w:rPr>
            </w:pPr>
            <w:r>
              <w:rPr>
                <w:rFonts w:ascii="Arial" w:cs="Arial" w:eastAsia="Arial" w:hAnsi="Arial"/>
                <w:sz w:val="18"/>
                <w:szCs w:val="18"/>
                <w:b w:val="1"/>
                <w:bCs w:val="1"/>
                <w:color w:val="auto"/>
                <w:w w:val="92"/>
              </w:rPr>
              <w:t>Unaudited condensed consolidated statements of financial position</w:t>
            </w:r>
          </w:p>
        </w:tc>
        <w:tc>
          <w:tcPr>
            <w:tcW w:w="2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As of December 31, 2015 and 2016</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2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7"/>
              </w:rPr>
              <w:t>December 31, 2015</w:t>
            </w:r>
          </w:p>
        </w:tc>
        <w:tc>
          <w:tcPr>
            <w:tcW w:w="18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206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spacing w:after="0"/>
              <w:rPr>
                <w:sz w:val="18"/>
                <w:szCs w:val="18"/>
                <w:color w:val="auto"/>
              </w:rPr>
            </w:pPr>
          </w:p>
        </w:tc>
        <w:tc>
          <w:tcPr>
            <w:tcW w:w="46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Goodwill</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9,511</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Investment in associate and joint venture</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6,274</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Deferred financing costs</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17,998</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28,957</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61</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Tangible fixed assets</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3,400,270</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3,889,047</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Vessels under construction</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178,405</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96,356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Vessel held under finance lease</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222,004</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non-current assets</w:t>
            </w:r>
          </w:p>
        </w:tc>
        <w:tc>
          <w:tcPr>
            <w:tcW w:w="206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3,641,476</w:t>
            </w:r>
          </w:p>
        </w:tc>
        <w:tc>
          <w:tcPr>
            <w:tcW w:w="46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4,244,908</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Trade and other receivables</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16,079</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9,256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Dividends receivable and other amounts due from related parties</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1,345</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Derivative financial instruments</w:t>
            </w:r>
          </w:p>
        </w:tc>
        <w:tc>
          <w:tcPr>
            <w:tcW w:w="20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8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Inventories</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6,496</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Prepayments and other current assets</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2,519</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Short-term investments</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6,000</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Restricted cash</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62,718</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302,988</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227,024</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current assets</w:t>
            </w:r>
          </w:p>
        </w:tc>
        <w:tc>
          <w:tcPr>
            <w:tcW w:w="206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398,145</w:t>
            </w:r>
          </w:p>
        </w:tc>
        <w:tc>
          <w:tcPr>
            <w:tcW w:w="46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270,256</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assets</w:t>
            </w:r>
          </w:p>
        </w:tc>
        <w:tc>
          <w:tcPr>
            <w:tcW w:w="2060" w:type="dxa"/>
            <w:vAlign w:val="bottom"/>
            <w:tcBorders>
              <w:bottom w:val="single" w:sz="8" w:color="E5FFFF"/>
            </w:tcBorders>
          </w:tcPr>
          <w:p>
            <w:pPr>
              <w:spacing w:after="0"/>
              <w:rPr>
                <w:sz w:val="21"/>
                <w:szCs w:val="21"/>
                <w:color w:val="auto"/>
              </w:rPr>
            </w:pPr>
          </w:p>
        </w:tc>
        <w:tc>
          <w:tcPr>
            <w:tcW w:w="360" w:type="dxa"/>
            <w:vAlign w:val="bottom"/>
            <w:tcBorders>
              <w:bottom w:val="single" w:sz="8" w:color="E5FF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4,039,621</w:t>
            </w:r>
          </w:p>
        </w:tc>
        <w:tc>
          <w:tcPr>
            <w:tcW w:w="460" w:type="dxa"/>
            <w:vAlign w:val="bottom"/>
            <w:tcBorders>
              <w:bottom w:val="single" w:sz="8" w:color="E5FFFF"/>
            </w:tcBorders>
          </w:tcPr>
          <w:p>
            <w:pPr>
              <w:spacing w:after="0"/>
              <w:rPr>
                <w:sz w:val="21"/>
                <w:szCs w:val="21"/>
                <w:color w:val="auto"/>
              </w:rPr>
            </w:pPr>
          </w:p>
        </w:tc>
        <w:tc>
          <w:tcPr>
            <w:tcW w:w="320" w:type="dxa"/>
            <w:vAlign w:val="bottom"/>
            <w:tcBorders>
              <w:bottom w:val="single" w:sz="8" w:color="E5FF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4,515,164</w:t>
            </w:r>
          </w:p>
        </w:tc>
        <w:tc>
          <w:tcPr>
            <w:tcW w:w="100" w:type="dxa"/>
            <w:vAlign w:val="bottom"/>
            <w:tcBorders>
              <w:bottom w:val="single" w:sz="8" w:color="E5FF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38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20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3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Preference shares</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46</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Share capital</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810</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Contributed surplus</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1,020,292</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966,974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Reserves</w:t>
            </w:r>
          </w:p>
        </w:tc>
        <w:tc>
          <w:tcPr>
            <w:tcW w:w="4240" w:type="dxa"/>
            <w:vAlign w:val="bottom"/>
            <w:gridSpan w:val="4"/>
          </w:tcPr>
          <w:p>
            <w:pPr>
              <w:jc w:val="right"/>
              <w:ind w:right="400"/>
              <w:spacing w:after="0"/>
              <w:rPr>
                <w:sz w:val="20"/>
                <w:szCs w:val="20"/>
                <w:color w:val="auto"/>
              </w:rPr>
            </w:pPr>
            <w:r>
              <w:rPr>
                <w:rFonts w:ascii="Arial" w:cs="Arial" w:eastAsia="Arial" w:hAnsi="Arial"/>
                <w:sz w:val="18"/>
                <w:szCs w:val="18"/>
                <w:color w:val="auto"/>
              </w:rPr>
              <w:t>(8,829)</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10,160</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Treasury shares</w:t>
            </w:r>
          </w:p>
        </w:tc>
        <w:tc>
          <w:tcPr>
            <w:tcW w:w="4240" w:type="dxa"/>
            <w:vAlign w:val="bottom"/>
            <w:gridSpan w:val="4"/>
            <w:shd w:val="clear" w:color="auto" w:fill="E5FFFF"/>
          </w:tcPr>
          <w:p>
            <w:pPr>
              <w:jc w:val="right"/>
              <w:ind w:right="400"/>
              <w:spacing w:after="0"/>
              <w:rPr>
                <w:sz w:val="20"/>
                <w:szCs w:val="20"/>
                <w:color w:val="auto"/>
              </w:rPr>
            </w:pPr>
            <w:r>
              <w:rPr>
                <w:rFonts w:ascii="Arial" w:cs="Arial" w:eastAsia="Arial" w:hAnsi="Arial"/>
                <w:sz w:val="18"/>
                <w:szCs w:val="18"/>
                <w:color w:val="auto"/>
              </w:rPr>
              <w:t>(12,491)</w:t>
            </w:r>
          </w:p>
        </w:tc>
        <w:tc>
          <w:tcPr>
            <w:tcW w:w="1800" w:type="dxa"/>
            <w:vAlign w:val="bottom"/>
            <w:gridSpan w:val="3"/>
            <w:shd w:val="clear" w:color="auto" w:fill="E5FFFF"/>
          </w:tcPr>
          <w:p>
            <w:pPr>
              <w:jc w:val="right"/>
              <w:ind w:right="40"/>
              <w:spacing w:after="0"/>
              <w:rPr>
                <w:sz w:val="20"/>
                <w:szCs w:val="20"/>
                <w:color w:val="auto"/>
              </w:rPr>
            </w:pPr>
            <w:r>
              <w:rPr>
                <w:rFonts w:ascii="Arial" w:cs="Arial" w:eastAsia="Arial" w:hAnsi="Arial"/>
                <w:sz w:val="18"/>
                <w:szCs w:val="18"/>
                <w:color w:val="auto"/>
              </w:rPr>
              <w:t>(10,861)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Retained earnings/(accumulated deficit)</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1,846</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(21,486)</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Equity attributable to owners of the Group</w:t>
            </w:r>
          </w:p>
        </w:tc>
        <w:tc>
          <w:tcPr>
            <w:tcW w:w="206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1,001,674</w:t>
            </w:r>
          </w:p>
        </w:tc>
        <w:tc>
          <w:tcPr>
            <w:tcW w:w="46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945,643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506,246</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564,039</w:t>
            </w:r>
          </w:p>
        </w:tc>
        <w:tc>
          <w:tcPr>
            <w:tcW w:w="0" w:type="dxa"/>
            <w:vAlign w:val="bottom"/>
          </w:tcPr>
          <w:p>
            <w:pPr>
              <w:spacing w:after="0"/>
              <w:rPr>
                <w:sz w:val="1"/>
                <w:szCs w:val="1"/>
                <w:color w:val="auto"/>
              </w:rPr>
            </w:pPr>
          </w:p>
        </w:tc>
      </w:tr>
      <w:tr>
        <w:trPr>
          <w:trHeight w:val="21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w:t>
            </w:r>
          </w:p>
        </w:tc>
        <w:tc>
          <w:tcPr>
            <w:tcW w:w="2060" w:type="dxa"/>
            <w:vAlign w:val="bottom"/>
            <w:tcBorders>
              <w:top w:val="single" w:sz="8" w:color="E5FFFF"/>
            </w:tcBorders>
            <w:shd w:val="clear" w:color="auto" w:fill="E5FFFF"/>
          </w:tcPr>
          <w:p>
            <w:pPr>
              <w:spacing w:after="0"/>
              <w:rPr>
                <w:sz w:val="18"/>
                <w:szCs w:val="18"/>
                <w:color w:val="auto"/>
              </w:rPr>
            </w:pPr>
          </w:p>
        </w:tc>
        <w:tc>
          <w:tcPr>
            <w:tcW w:w="36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1,507,920</w:t>
            </w:r>
          </w:p>
        </w:tc>
        <w:tc>
          <w:tcPr>
            <w:tcW w:w="46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1,509,682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Trade accounts payable</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12,391</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Ship management creditors</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3,524</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Amounts due to related parties</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163</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14,243</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Other payables and accruals</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67,084</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93,386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Borrowings, current portion</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636,987</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147,448</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Finance lease liability, current portion</w:t>
            </w:r>
          </w:p>
        </w:tc>
        <w:tc>
          <w:tcPr>
            <w:tcW w:w="20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820" w:type="dxa"/>
            <w:vAlign w:val="bottom"/>
            <w:gridSpan w:val="2"/>
            <w:shd w:val="clear" w:color="auto" w:fill="E5FFFF"/>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06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734,392</w:t>
            </w:r>
          </w:p>
        </w:tc>
        <w:tc>
          <w:tcPr>
            <w:tcW w:w="460" w:type="dxa"/>
            <w:vAlign w:val="bottom"/>
            <w:tcBorders>
              <w:bottom w:val="single" w:sz="8" w:color="E5FFFF"/>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262,835</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Non-current liabilities</w:t>
            </w:r>
          </w:p>
        </w:tc>
        <w:tc>
          <w:tcPr>
            <w:tcW w:w="20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3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4240" w:type="dxa"/>
            <w:vAlign w:val="bottom"/>
            <w:gridSpan w:val="4"/>
          </w:tcPr>
          <w:p>
            <w:pPr>
              <w:jc w:val="right"/>
              <w:ind w:right="460"/>
              <w:spacing w:after="0"/>
              <w:rPr>
                <w:sz w:val="20"/>
                <w:szCs w:val="20"/>
                <w:color w:val="auto"/>
              </w:rPr>
            </w:pPr>
            <w:r>
              <w:rPr>
                <w:rFonts w:ascii="Arial" w:cs="Arial" w:eastAsia="Arial" w:hAnsi="Arial"/>
                <w:sz w:val="18"/>
                <w:szCs w:val="18"/>
                <w:color w:val="auto"/>
              </w:rPr>
              <w:t>58,531</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22,485</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Borrowings, non-current portion</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1,737,500</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2,504,578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Finance lease liability, non-current portion</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214,455</w:t>
            </w:r>
          </w:p>
        </w:tc>
        <w:tc>
          <w:tcPr>
            <w:tcW w:w="0" w:type="dxa"/>
            <w:vAlign w:val="bottom"/>
          </w:tcPr>
          <w:p>
            <w:pPr>
              <w:spacing w:after="0"/>
              <w:rPr>
                <w:sz w:val="1"/>
                <w:szCs w:val="1"/>
                <w:color w:val="auto"/>
              </w:rPr>
            </w:pPr>
          </w:p>
        </w:tc>
      </w:tr>
      <w:tr>
        <w:trPr>
          <w:trHeight w:val="216"/>
        </w:trPr>
        <w:tc>
          <w:tcPr>
            <w:tcW w:w="5380" w:type="dxa"/>
            <w:vAlign w:val="bottom"/>
            <w:shd w:val="clear" w:color="auto" w:fill="E5FFFF"/>
          </w:tcPr>
          <w:p>
            <w:pPr>
              <w:spacing w:after="0"/>
              <w:rPr>
                <w:sz w:val="20"/>
                <w:szCs w:val="20"/>
                <w:color w:val="auto"/>
              </w:rPr>
            </w:pPr>
            <w:r>
              <w:rPr>
                <w:rFonts w:ascii="Arial" w:cs="Arial" w:eastAsia="Arial" w:hAnsi="Arial"/>
                <w:sz w:val="18"/>
                <w:szCs w:val="18"/>
                <w:color w:val="auto"/>
              </w:rPr>
              <w:t>Other non-current liabilities</w:t>
            </w:r>
          </w:p>
        </w:tc>
        <w:tc>
          <w:tcPr>
            <w:tcW w:w="4240" w:type="dxa"/>
            <w:vAlign w:val="bottom"/>
            <w:gridSpan w:val="4"/>
            <w:shd w:val="clear" w:color="auto" w:fill="E5FFFF"/>
          </w:tcPr>
          <w:p>
            <w:pPr>
              <w:jc w:val="right"/>
              <w:ind w:right="460"/>
              <w:spacing w:after="0"/>
              <w:rPr>
                <w:sz w:val="20"/>
                <w:szCs w:val="20"/>
                <w:color w:val="auto"/>
              </w:rPr>
            </w:pPr>
            <w:r>
              <w:rPr>
                <w:rFonts w:ascii="Arial" w:cs="Arial" w:eastAsia="Arial" w:hAnsi="Arial"/>
                <w:sz w:val="18"/>
                <w:szCs w:val="18"/>
                <w:color w:val="auto"/>
              </w:rPr>
              <w:t>1,278</w:t>
            </w:r>
          </w:p>
        </w:tc>
        <w:tc>
          <w:tcPr>
            <w:tcW w:w="1800" w:type="dxa"/>
            <w:vAlign w:val="bottom"/>
            <w:gridSpan w:val="3"/>
            <w:shd w:val="clear" w:color="auto" w:fill="E5FFFF"/>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Total non-current liabilities</w:t>
            </w:r>
          </w:p>
        </w:tc>
        <w:tc>
          <w:tcPr>
            <w:tcW w:w="2060" w:type="dxa"/>
            <w:vAlign w:val="bottom"/>
            <w:tcBorders>
              <w:bottom w:val="single" w:sz="8" w:color="E5FFFF"/>
            </w:tcBorders>
          </w:tcPr>
          <w:p>
            <w:pPr>
              <w:spacing w:after="0"/>
              <w:rPr>
                <w:sz w:val="18"/>
                <w:szCs w:val="18"/>
                <w:color w:val="auto"/>
              </w:rPr>
            </w:pPr>
          </w:p>
        </w:tc>
        <w:tc>
          <w:tcPr>
            <w:tcW w:w="360" w:type="dxa"/>
            <w:vAlign w:val="bottom"/>
            <w:tcBorders>
              <w:bottom w:val="single" w:sz="8" w:color="E5FF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1,797,309</w:t>
            </w:r>
          </w:p>
        </w:tc>
        <w:tc>
          <w:tcPr>
            <w:tcW w:w="460" w:type="dxa"/>
            <w:vAlign w:val="bottom"/>
            <w:tcBorders>
              <w:bottom w:val="single" w:sz="8" w:color="E5FFFF"/>
            </w:tcBorders>
          </w:tcPr>
          <w:p>
            <w:pPr>
              <w:spacing w:after="0"/>
              <w:rPr>
                <w:sz w:val="18"/>
                <w:szCs w:val="18"/>
                <w:color w:val="auto"/>
              </w:rPr>
            </w:pPr>
          </w:p>
        </w:tc>
        <w:tc>
          <w:tcPr>
            <w:tcW w:w="320" w:type="dxa"/>
            <w:vAlign w:val="bottom"/>
            <w:tcBorders>
              <w:bottom w:val="single" w:sz="8" w:color="E5FF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2,742,647</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equity and liabilities</w:t>
            </w:r>
          </w:p>
        </w:tc>
        <w:tc>
          <w:tcPr>
            <w:tcW w:w="2060" w:type="dxa"/>
            <w:vAlign w:val="bottom"/>
            <w:tcBorders>
              <w:bottom w:val="single" w:sz="8" w:color="E5FFFF"/>
            </w:tcBorders>
            <w:shd w:val="clear" w:color="auto" w:fill="E5FFFF"/>
          </w:tcPr>
          <w:p>
            <w:pPr>
              <w:spacing w:after="0"/>
              <w:rPr>
                <w:sz w:val="18"/>
                <w:szCs w:val="18"/>
                <w:color w:val="auto"/>
              </w:rPr>
            </w:pPr>
          </w:p>
        </w:tc>
        <w:tc>
          <w:tcPr>
            <w:tcW w:w="360" w:type="dxa"/>
            <w:vAlign w:val="bottom"/>
            <w:tcBorders>
              <w:bottom w:val="single" w:sz="8" w:color="E5FFFF"/>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4,039,621</w:t>
            </w:r>
          </w:p>
        </w:tc>
        <w:tc>
          <w:tcPr>
            <w:tcW w:w="460" w:type="dxa"/>
            <w:vAlign w:val="bottom"/>
            <w:tcBorders>
              <w:bottom w:val="single" w:sz="8" w:color="E5FFFF"/>
            </w:tcBorders>
            <w:shd w:val="clear" w:color="auto" w:fill="E5FFFF"/>
          </w:tcPr>
          <w:p>
            <w:pPr>
              <w:spacing w:after="0"/>
              <w:rPr>
                <w:sz w:val="18"/>
                <w:szCs w:val="18"/>
                <w:color w:val="auto"/>
              </w:rPr>
            </w:pPr>
          </w:p>
        </w:tc>
        <w:tc>
          <w:tcPr>
            <w:tcW w:w="320" w:type="dxa"/>
            <w:vAlign w:val="bottom"/>
            <w:tcBorders>
              <w:bottom w:val="single" w:sz="8" w:color="E5FFFF"/>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4,515,164</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60" w:type="dxa"/>
            <w:vAlign w:val="bottom"/>
            <w:vMerge w:val="restart"/>
          </w:tcPr>
          <w:p>
            <w:pPr>
              <w:jc w:val="right"/>
              <w:ind w:right="159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3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0C0C0"/>
            </w:tcBorders>
          </w:tcPr>
          <w:p>
            <w:pPr>
              <w:spacing w:after="0"/>
              <w:rPr>
                <w:sz w:val="21"/>
                <w:szCs w:val="21"/>
                <w:color w:val="auto"/>
              </w:rPr>
            </w:pPr>
          </w:p>
        </w:tc>
        <w:tc>
          <w:tcPr>
            <w:tcW w:w="2060" w:type="dxa"/>
            <w:vAlign w:val="bottom"/>
            <w:tcBorders>
              <w:bottom w:val="single" w:sz="8" w:color="C0C0C0"/>
            </w:tcBorders>
          </w:tcPr>
          <w:p>
            <w:pPr>
              <w:spacing w:after="0"/>
              <w:rPr>
                <w:sz w:val="21"/>
                <w:szCs w:val="21"/>
                <w:color w:val="auto"/>
              </w:rPr>
            </w:pPr>
          </w:p>
        </w:tc>
        <w:tc>
          <w:tcPr>
            <w:tcW w:w="360" w:type="dxa"/>
            <w:vAlign w:val="bottom"/>
            <w:tcBorders>
              <w:bottom w:val="single" w:sz="8" w:color="C0C0C0"/>
            </w:tcBorders>
          </w:tcPr>
          <w:p>
            <w:pPr>
              <w:spacing w:after="0"/>
              <w:rPr>
                <w:sz w:val="21"/>
                <w:szCs w:val="21"/>
                <w:color w:val="auto"/>
              </w:rPr>
            </w:pPr>
          </w:p>
        </w:tc>
        <w:tc>
          <w:tcPr>
            <w:tcW w:w="1360" w:type="dxa"/>
            <w:vAlign w:val="bottom"/>
            <w:tcBorders>
              <w:bottom w:val="single" w:sz="8" w:color="C0C0C0"/>
            </w:tcBorders>
          </w:tcPr>
          <w:p>
            <w:pPr>
              <w:spacing w:after="0"/>
              <w:rPr>
                <w:sz w:val="21"/>
                <w:szCs w:val="21"/>
                <w:color w:val="auto"/>
              </w:rPr>
            </w:pPr>
          </w:p>
        </w:tc>
        <w:tc>
          <w:tcPr>
            <w:tcW w:w="46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38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and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4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For the three months ended</w:t>
            </w:r>
          </w:p>
        </w:tc>
        <w:tc>
          <w:tcPr>
            <w:tcW w:w="304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December 31,</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December 31,</w:t>
            </w:r>
          </w:p>
        </w:tc>
        <w:tc>
          <w:tcPr>
            <w:tcW w:w="16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December 31,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Revenues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107,521</w:t>
            </w: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126,481</w:t>
            </w: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415,078</w:t>
            </w: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466,059</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Vessel operating and supervision costs</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(24,571)</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(29,390)</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(98,552)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Voyage expenses and commissions</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(4,093)</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(2,481)</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(14,290)</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Depreciation</w:t>
            </w:r>
          </w:p>
        </w:tc>
        <w:tc>
          <w:tcPr>
            <w:tcW w:w="1740" w:type="dxa"/>
            <w:vAlign w:val="bottom"/>
            <w:gridSpan w:val="2"/>
          </w:tcPr>
          <w:p>
            <w:pPr>
              <w:jc w:val="right"/>
              <w:ind w:right="340"/>
              <w:spacing w:after="0"/>
              <w:rPr>
                <w:sz w:val="20"/>
                <w:szCs w:val="20"/>
                <w:color w:val="auto"/>
              </w:rPr>
            </w:pPr>
            <w:r>
              <w:rPr>
                <w:rFonts w:ascii="Arial" w:cs="Arial" w:eastAsia="Arial" w:hAnsi="Arial"/>
                <w:sz w:val="18"/>
                <w:szCs w:val="18"/>
                <w:color w:val="auto"/>
              </w:rPr>
              <w:t>(28,462)</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(33,936)</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(106,641)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(10,884)</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(10,280)</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(41,282)</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(38,642)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39,511</w:t>
            </w:r>
          </w:p>
        </w:tc>
        <w:tc>
          <w:tcPr>
            <w:tcW w:w="48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50,394</w:t>
            </w:r>
          </w:p>
        </w:tc>
        <w:tc>
          <w:tcPr>
            <w:tcW w:w="4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154,313</w:t>
            </w:r>
          </w:p>
        </w:tc>
        <w:tc>
          <w:tcPr>
            <w:tcW w:w="44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176,644</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(24,699)</w:t>
            </w:r>
          </w:p>
        </w:tc>
        <w:tc>
          <w:tcPr>
            <w:tcW w:w="48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(30,560)</w:t>
            </w:r>
          </w:p>
        </w:tc>
        <w:tc>
          <w:tcPr>
            <w:tcW w:w="44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(91,956)</w:t>
            </w: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(137,316)</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Financial income</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150</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201</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427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Gain/(loss) on swaps</w:t>
            </w:r>
          </w:p>
        </w:tc>
        <w:tc>
          <w:tcPr>
            <w:tcW w:w="17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3,237</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25,965</w:t>
            </w:r>
          </w:p>
        </w:tc>
        <w:tc>
          <w:tcPr>
            <w:tcW w:w="168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(10,332)</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Share of profit of associate</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426</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1,216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Total other expenses, net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(21,276</w:t>
            </w:r>
          </w:p>
        </w:tc>
        <w:tc>
          <w:tcPr>
            <w:tcW w:w="480" w:type="dxa"/>
            <w:vAlign w:val="bottom"/>
            <w:tcBorders>
              <w:top w:val="single" w:sz="8" w:color="E5FFFF"/>
            </w:tcBorders>
            <w:shd w:val="clear" w:color="auto" w:fill="E5FFFF"/>
          </w:tcPr>
          <w:p>
            <w:pPr>
              <w:jc w:val="right"/>
              <w:ind w:right="34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(3,968</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(100,645</w:t>
            </w:r>
          </w:p>
        </w:tc>
        <w:tc>
          <w:tcPr>
            <w:tcW w:w="440" w:type="dxa"/>
            <w:vAlign w:val="bottom"/>
            <w:tcBorders>
              <w:top w:val="single" w:sz="8" w:color="E5FFFF"/>
            </w:tcBorders>
            <w:shd w:val="clear" w:color="auto" w:fill="E5FFFF"/>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(148,593</w:t>
            </w:r>
          </w:p>
        </w:tc>
        <w:tc>
          <w:tcPr>
            <w:tcW w:w="100" w:type="dxa"/>
            <w:vAlign w:val="bottom"/>
            <w:tcBorders>
              <w:top w:val="single" w:sz="8" w:color="E5FFFF"/>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5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Profit for the period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18,235</w:t>
            </w:r>
          </w:p>
        </w:tc>
        <w:tc>
          <w:tcPr>
            <w:tcW w:w="48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46,426</w:t>
            </w:r>
          </w:p>
        </w:tc>
        <w:tc>
          <w:tcPr>
            <w:tcW w:w="4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53,668</w:t>
            </w:r>
          </w:p>
        </w:tc>
        <w:tc>
          <w:tcPr>
            <w:tcW w:w="44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Attributable to:</w:t>
            </w:r>
          </w:p>
        </w:tc>
        <w:tc>
          <w:tcPr>
            <w:tcW w:w="1260" w:type="dxa"/>
            <w:vAlign w:val="bottom"/>
            <w:tcBorders>
              <w:top w:val="single" w:sz="8" w:color="auto"/>
            </w:tcBorders>
            <w:shd w:val="clear" w:color="auto" w:fill="E5FFFF"/>
          </w:tcPr>
          <w:p>
            <w:pPr>
              <w:spacing w:after="0"/>
              <w:rPr>
                <w:sz w:val="17"/>
                <w:szCs w:val="17"/>
                <w:color w:val="auto"/>
              </w:rPr>
            </w:pPr>
          </w:p>
        </w:tc>
        <w:tc>
          <w:tcPr>
            <w:tcW w:w="48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spacing w:after="0"/>
              <w:rPr>
                <w:sz w:val="17"/>
                <w:szCs w:val="17"/>
                <w:color w:val="auto"/>
              </w:rPr>
            </w:pPr>
          </w:p>
        </w:tc>
        <w:tc>
          <w:tcPr>
            <w:tcW w:w="44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spacing w:after="0"/>
              <w:rPr>
                <w:sz w:val="17"/>
                <w:szCs w:val="17"/>
                <w:color w:val="auto"/>
              </w:rPr>
            </w:pPr>
          </w:p>
        </w:tc>
        <w:tc>
          <w:tcPr>
            <w:tcW w:w="440" w:type="dxa"/>
            <w:vAlign w:val="bottom"/>
            <w:tcBorders>
              <w:top w:val="single" w:sz="8" w:color="E5FFFF"/>
            </w:tcBorders>
            <w:shd w:val="clear" w:color="auto" w:fill="E5FFFF"/>
          </w:tcPr>
          <w:p>
            <w:pPr>
              <w:spacing w:after="0"/>
              <w:rPr>
                <w:sz w:val="17"/>
                <w:szCs w:val="17"/>
                <w:color w:val="auto"/>
              </w:rPr>
            </w:pPr>
          </w:p>
        </w:tc>
        <w:tc>
          <w:tcPr>
            <w:tcW w:w="12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Owners of the Group</w:t>
            </w:r>
          </w:p>
        </w:tc>
        <w:tc>
          <w:tcPr>
            <w:tcW w:w="1740" w:type="dxa"/>
            <w:vAlign w:val="bottom"/>
            <w:gridSpan w:val="2"/>
          </w:tcPr>
          <w:p>
            <w:pPr>
              <w:jc w:val="right"/>
              <w:ind w:right="400"/>
              <w:spacing w:after="0"/>
              <w:rPr>
                <w:sz w:val="20"/>
                <w:szCs w:val="20"/>
                <w:color w:val="auto"/>
              </w:rPr>
            </w:pPr>
            <w:r>
              <w:rPr>
                <w:rFonts w:ascii="Arial" w:cs="Arial" w:eastAsia="Arial" w:hAnsi="Arial"/>
                <w:sz w:val="18"/>
                <w:szCs w:val="18"/>
                <w:color w:val="auto"/>
              </w:rPr>
              <w:t>5,526</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31,322</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10,829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7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color w:val="auto"/>
              </w:rPr>
              <w:t>12,709</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15,104</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42,839</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49,537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18,235</w:t>
            </w:r>
          </w:p>
        </w:tc>
        <w:tc>
          <w:tcPr>
            <w:tcW w:w="4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46,426</w:t>
            </w:r>
          </w:p>
        </w:tc>
        <w:tc>
          <w:tcPr>
            <w:tcW w:w="4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53,668</w:t>
            </w:r>
          </w:p>
        </w:tc>
        <w:tc>
          <w:tcPr>
            <w:tcW w:w="4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Earnings/(loss) per share – basic and diluted</w:t>
            </w:r>
          </w:p>
        </w:tc>
        <w:tc>
          <w:tcPr>
            <w:tcW w:w="1740" w:type="dxa"/>
            <w:vAlign w:val="bottom"/>
            <w:gridSpan w:val="2"/>
            <w:shd w:val="clear" w:color="auto" w:fill="E5FFFF"/>
          </w:tcPr>
          <w:p>
            <w:pPr>
              <w:jc w:val="right"/>
              <w:ind w:right="400"/>
              <w:spacing w:after="0"/>
              <w:rPr>
                <w:sz w:val="20"/>
                <w:szCs w:val="20"/>
                <w:color w:val="auto"/>
              </w:rPr>
            </w:pPr>
            <w:r>
              <w:rPr>
                <w:rFonts w:ascii="Arial" w:cs="Arial" w:eastAsia="Arial" w:hAnsi="Arial"/>
                <w:sz w:val="18"/>
                <w:szCs w:val="18"/>
                <w:b w:val="1"/>
                <w:bCs w:val="1"/>
                <w:color w:val="auto"/>
              </w:rPr>
              <w:t>0.04</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0.36</w:t>
            </w:r>
          </w:p>
        </w:tc>
        <w:tc>
          <w:tcPr>
            <w:tcW w:w="168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b w:val="1"/>
                <w:bCs w:val="1"/>
                <w:color w:val="auto"/>
              </w:rPr>
              <w:t>0.04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(0.39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30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December 31,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Profit for the year</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53,668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Adjustments for:</w:t>
            </w: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Depreciation</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106,641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122,957</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Share of profit of associate</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(1,216)</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Financial income</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(427)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91,956</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137,316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Unrealized foreign exchange losses on cash and cash equivalents and short-term investments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518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w w:val="96"/>
              </w:rPr>
              <w:t>Unrealized loss/(gain) on interest rate swaps held for trading including ineffective portion of cash flow hedges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138</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(18,530)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Recycled loss of cash flow hedges reclassified to profit or loss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1,290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Non-cash defined benefit obligations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2,872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255,466</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296,030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Movements in working capital</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(14,971)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39,290</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Cash provided by operations</w:t>
            </w: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240,495</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335,320</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Interest paid</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(78,916)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(78,788)</w:t>
            </w:r>
          </w:p>
        </w:tc>
        <w:tc>
          <w:tcPr>
            <w:tcW w:w="0" w:type="dxa"/>
            <w:vAlign w:val="bottom"/>
          </w:tcPr>
          <w:p>
            <w:pPr>
              <w:spacing w:after="0"/>
              <w:rPr>
                <w:sz w:val="1"/>
                <w:szCs w:val="1"/>
                <w:color w:val="auto"/>
              </w:rPr>
            </w:pPr>
          </w:p>
        </w:tc>
      </w:tr>
      <w:tr>
        <w:trPr>
          <w:trHeight w:val="210"/>
        </w:trPr>
        <w:tc>
          <w:tcPr>
            <w:tcW w:w="83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161,579</w:t>
            </w:r>
          </w:p>
        </w:tc>
        <w:tc>
          <w:tcPr>
            <w:tcW w:w="44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256,532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Payments for tangible fixed assets and vessels under construction</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(728,446)</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(761,513)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Dividends received from associate</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1,675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Return of contributed capital from associate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investments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Purchase of short-term investments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(74,592)</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Maturity of short-term investments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97,007</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Financial income received</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359</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(704,052</w:t>
            </w:r>
          </w:p>
        </w:tc>
        <w:tc>
          <w:tcPr>
            <w:tcW w:w="440" w:type="dxa"/>
            <w:vAlign w:val="bottom"/>
            <w:tcBorders>
              <w:bottom w:val="single" w:sz="8" w:color="E5FFFF"/>
            </w:tcBorders>
          </w:tcPr>
          <w:p>
            <w:pPr>
              <w:jc w:val="right"/>
              <w:ind w:right="300"/>
              <w:spacing w:after="0"/>
              <w:rPr>
                <w:sz w:val="20"/>
                <w:szCs w:val="20"/>
                <w:color w:val="auto"/>
              </w:rPr>
            </w:pPr>
            <w:r>
              <w:rPr>
                <w:rFonts w:ascii="Arial" w:cs="Arial" w:eastAsia="Arial" w:hAnsi="Arial"/>
                <w:sz w:val="16"/>
                <w:szCs w:val="16"/>
                <w:b w:val="1"/>
                <w:bCs w:val="1"/>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(771,242</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836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126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Proceeds from bank loans and bonds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606,000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2,274,318</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Proceeds from sale and finance leaseback</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Bank loan and bond repayments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(103,709)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(1,983,576)</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Payment of loan issuance costs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(25,969)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(44,125)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Proceeds from GasLog Partners’ public offerings (net of underwriting discounts and commissions)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172,875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52,731</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Proceeds from issuance of preference shares (net of underwriting discounts and commissions)</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111,378</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of equity raising costs</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(1,839)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Payment for cross currency swaps’ termination/modification</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(31,986)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 for bond repurchase at a premium</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Payment for interest rate swaps’ termination</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Proceeds from entering into interest rate swaps</w:t>
            </w: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25,465</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Dividends paid</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(84,527)</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(99,207)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(Increase)/decrease in restricted cash</w:t>
            </w: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(39,892)</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62,718</w:t>
            </w:r>
          </w:p>
        </w:tc>
        <w:tc>
          <w:tcPr>
            <w:tcW w:w="0" w:type="dxa"/>
            <w:vAlign w:val="bottom"/>
          </w:tcPr>
          <w:p>
            <w:pPr>
              <w:spacing w:after="0"/>
              <w:rPr>
                <w:sz w:val="1"/>
                <w:szCs w:val="1"/>
                <w:color w:val="auto"/>
              </w:rPr>
            </w:pPr>
          </w:p>
        </w:tc>
      </w:tr>
      <w:tr>
        <w:trPr>
          <w:trHeight w:val="216"/>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Payments for vessel held under finance lease</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634,317</w:t>
            </w:r>
          </w:p>
        </w:tc>
        <w:tc>
          <w:tcPr>
            <w:tcW w:w="4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439,766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700" w:type="dxa"/>
            <w:vAlign w:val="bottom"/>
            <w:gridSpan w:val="2"/>
            <w:shd w:val="clear" w:color="auto" w:fill="E5FFFF"/>
          </w:tcPr>
          <w:p>
            <w:pPr>
              <w:jc w:val="right"/>
              <w:ind w:right="300"/>
              <w:spacing w:after="0"/>
              <w:rPr>
                <w:sz w:val="20"/>
                <w:szCs w:val="20"/>
                <w:color w:val="auto"/>
              </w:rPr>
            </w:pPr>
            <w:r>
              <w:rPr>
                <w:rFonts w:ascii="Arial" w:cs="Arial" w:eastAsia="Arial" w:hAnsi="Arial"/>
                <w:sz w:val="18"/>
                <w:szCs w:val="18"/>
                <w:color w:val="auto"/>
              </w:rPr>
              <w:t>(830)</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91,014</w:t>
            </w:r>
          </w:p>
        </w:tc>
        <w:tc>
          <w:tcPr>
            <w:tcW w:w="4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E5FFFF"/>
          </w:tcPr>
          <w:p>
            <w:pPr>
              <w:spacing w:after="0"/>
              <w:rPr>
                <w:sz w:val="20"/>
                <w:szCs w:val="20"/>
                <w:color w:val="auto"/>
              </w:rPr>
            </w:pPr>
            <w:r>
              <w:rPr>
                <w:rFonts w:ascii="Arial" w:cs="Arial" w:eastAsia="Arial" w:hAnsi="Arial"/>
                <w:sz w:val="18"/>
                <w:szCs w:val="18"/>
                <w:color w:val="auto"/>
              </w:rPr>
              <w:t>Cash and cash equivalents, beginning of the year</w:t>
            </w:r>
          </w:p>
        </w:tc>
        <w:tc>
          <w:tcPr>
            <w:tcW w:w="1700" w:type="dxa"/>
            <w:vAlign w:val="bottom"/>
            <w:gridSpan w:val="2"/>
            <w:shd w:val="clear" w:color="auto" w:fill="E5FFFF"/>
          </w:tcPr>
          <w:p>
            <w:pPr>
              <w:jc w:val="right"/>
              <w:ind w:right="360"/>
              <w:spacing w:after="0"/>
              <w:rPr>
                <w:sz w:val="20"/>
                <w:szCs w:val="20"/>
                <w:color w:val="auto"/>
              </w:rPr>
            </w:pPr>
            <w:r>
              <w:rPr>
                <w:rFonts w:ascii="Arial" w:cs="Arial" w:eastAsia="Arial" w:hAnsi="Arial"/>
                <w:sz w:val="18"/>
                <w:szCs w:val="18"/>
                <w:color w:val="auto"/>
              </w:rPr>
              <w:t>211,974</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302,988</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the year</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302,988</w:t>
            </w:r>
          </w:p>
        </w:tc>
        <w:tc>
          <w:tcPr>
            <w:tcW w:w="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620"/>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44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Adjusted EBITDA, Adjusted Profit and Adjusted EPS</w:t>
      </w:r>
    </w:p>
    <w:p>
      <w:pPr>
        <w:spacing w:after="0" w:line="2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EBITDA is defined as earnings before depreciation, amortization, interest income and expense, gain/loss on swaps and taxes. Adjusted EBITDA is defined as EBITDA before foreign exchange gains/losses. Adjusted Profit represents earnings before write-off and accelerated amortization of unamortized loan/bond fees and premium, foreign exchange gains/losses and non-cash gain/loss on swaps that includes (if any) (a) unrealized gain/loss on swaps held for trading, (b) recycled loss of cash flow hedges reclassified to profit or loss in relation to derivatives no longer designated as hedges and (c) ineffective portion of cash flow hedges. Adjusted EPS represents earnings attributable to owners of the Group before non-cash gain/loss on swaps as defined above, foreign exchange gains/losses and write-off and accelerated amortization of unamortized loan/bond fees and premium,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shares. This is achieved by excluding the potentially disparate effects between periods of, in the case of EBITDA and Adjusted EBITDA, interest, gain/loss on swaps, taxes, depreciation and amortization, in the case of Adjusted EBITDA, foreign exchange gains/losses, and in the case of Adjusted Profit and Adjusted EPS, non-cash gain/loss on swaps, foreign exchange gains/losses and write-off and accelerated amortization of unamortized loan/bond fees and premium, which items are affected by various and possibly changing financing methods, capital structure and historical cost basis and which items may significantly affect results of operations between periods.</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financial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and Adjusted EBITDA to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24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For the three months ended</w:t>
            </w:r>
          </w:p>
        </w:tc>
        <w:tc>
          <w:tcPr>
            <w:tcW w:w="29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6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34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18,235</w:t>
            </w:r>
          </w:p>
        </w:tc>
        <w:tc>
          <w:tcPr>
            <w:tcW w:w="34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46,426</w:t>
            </w:r>
          </w:p>
        </w:tc>
        <w:tc>
          <w:tcPr>
            <w:tcW w:w="34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53,668</w:t>
            </w:r>
          </w:p>
        </w:tc>
        <w:tc>
          <w:tcPr>
            <w:tcW w:w="3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28,051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Depreciation</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28,462</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33,936</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106,641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122,957</w:t>
            </w:r>
          </w:p>
        </w:tc>
        <w:tc>
          <w:tcPr>
            <w:tcW w:w="0" w:type="dxa"/>
            <w:vAlign w:val="bottom"/>
          </w:tcPr>
          <w:p>
            <w:pPr>
              <w:spacing w:after="0"/>
              <w:rPr>
                <w:sz w:val="1"/>
                <w:szCs w:val="1"/>
                <w:color w:val="auto"/>
              </w:rPr>
            </w:pPr>
          </w:p>
        </w:tc>
      </w:tr>
      <w:tr>
        <w:trPr>
          <w:trHeight w:val="216"/>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Financial costs</w:t>
            </w:r>
          </w:p>
        </w:tc>
        <w:tc>
          <w:tcPr>
            <w:tcW w:w="1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24,699</w:t>
            </w:r>
          </w:p>
        </w:tc>
        <w:tc>
          <w:tcPr>
            <w:tcW w:w="1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30,560</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91,956</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137,316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Financial income</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(427)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(Gain)/loss on swaps</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(3,237)</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(25,965)</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10,332</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EBITDA</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68,009</w:t>
            </w:r>
          </w:p>
        </w:tc>
        <w:tc>
          <w:tcPr>
            <w:tcW w:w="340" w:type="dxa"/>
            <w:vAlign w:val="bottom"/>
            <w:tcBorders>
              <w:bottom w:val="single" w:sz="8" w:color="E5FF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84,756</w:t>
            </w:r>
          </w:p>
        </w:tc>
        <w:tc>
          <w:tcPr>
            <w:tcW w:w="3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262,170</w:t>
            </w:r>
          </w:p>
        </w:tc>
        <w:tc>
          <w:tcPr>
            <w:tcW w:w="32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301,023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losses, net</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1,203</w:t>
            </w:r>
          </w:p>
        </w:tc>
        <w:tc>
          <w:tcPr>
            <w:tcW w:w="340" w:type="dxa"/>
            <w:vAlign w:val="bottom"/>
            <w:shd w:val="clear" w:color="auto" w:fill="E5FFFF"/>
          </w:tcPr>
          <w:p>
            <w:pPr>
              <w:spacing w:after="0"/>
              <w:rPr>
                <w:sz w:val="18"/>
                <w:szCs w:val="18"/>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650</w:t>
            </w:r>
          </w:p>
        </w:tc>
        <w:tc>
          <w:tcPr>
            <w:tcW w:w="340" w:type="dxa"/>
            <w:vAlign w:val="bottom"/>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799</w:t>
            </w:r>
          </w:p>
        </w:tc>
        <w:tc>
          <w:tcPr>
            <w:tcW w:w="32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69,212</w:t>
            </w:r>
          </w:p>
        </w:tc>
        <w:tc>
          <w:tcPr>
            <w:tcW w:w="3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85,406</w:t>
            </w:r>
          </w:p>
        </w:tc>
        <w:tc>
          <w:tcPr>
            <w:tcW w:w="3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262,969</w:t>
            </w:r>
          </w:p>
        </w:tc>
        <w:tc>
          <w:tcPr>
            <w:tcW w:w="3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Profit to Profit:</w:t>
            </w: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2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Arial" w:cs="Arial" w:eastAsia="Arial" w:hAnsi="Arial"/>
                <w:sz w:val="18"/>
                <w:szCs w:val="18"/>
                <w:b w:val="1"/>
                <w:bCs w:val="1"/>
                <w:color w:val="auto"/>
              </w:rPr>
              <w:t>(Amounts expressed in thousands of U.S. Dollars)</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60" w:type="dxa"/>
            <w:vAlign w:val="bottom"/>
          </w:tcPr>
          <w:p>
            <w:pPr>
              <w:spacing w:after="0"/>
              <w:rPr>
                <w:sz w:val="24"/>
                <w:szCs w:val="24"/>
                <w:color w:val="auto"/>
              </w:rPr>
            </w:pPr>
          </w:p>
        </w:tc>
        <w:tc>
          <w:tcPr>
            <w:tcW w:w="32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For the three months ended</w:t>
            </w:r>
          </w:p>
        </w:tc>
        <w:tc>
          <w:tcPr>
            <w:tcW w:w="29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26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34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34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3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Profit for the period</w:t>
            </w: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18,235</w:t>
            </w:r>
          </w:p>
        </w:tc>
        <w:tc>
          <w:tcPr>
            <w:tcW w:w="34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46,426</w:t>
            </w:r>
          </w:p>
        </w:tc>
        <w:tc>
          <w:tcPr>
            <w:tcW w:w="34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53,668</w:t>
            </w:r>
          </w:p>
        </w:tc>
        <w:tc>
          <w:tcPr>
            <w:tcW w:w="3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28,051</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Non-cash (gain)/loss on swaps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(5,459)</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(28,223)</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1,428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Write-off of unamortized loan/bond fees and premium</w:t>
            </w:r>
          </w:p>
        </w:tc>
        <w:tc>
          <w:tcPr>
            <w:tcW w:w="1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Foreign exchange losses, net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1,203</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799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0"/>
        </w:trPr>
        <w:tc>
          <w:tcPr>
            <w:tcW w:w="52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b w:val="1"/>
                <w:bCs w:val="1"/>
                <w:color w:val="auto"/>
              </w:rPr>
              <w:t>Adjusted Profit</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13,979</w:t>
            </w:r>
          </w:p>
        </w:tc>
        <w:tc>
          <w:tcPr>
            <w:tcW w:w="3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18,853</w:t>
            </w:r>
          </w:p>
        </w:tc>
        <w:tc>
          <w:tcPr>
            <w:tcW w:w="3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55,895</w:t>
            </w:r>
          </w:p>
        </w:tc>
        <w:tc>
          <w:tcPr>
            <w:tcW w:w="3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57,495</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405" w:right="239" w:bottom="1440" w:gutter="0" w:footer="0" w:header="0"/>
        </w:sect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Reconciliation of Adjusted Earnings/(Loss) Per Share to Earnings/(Loss)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expressed in thousands of U.S. Dollars, except shares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32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For the three months ended</w:t>
            </w:r>
          </w:p>
        </w:tc>
        <w:tc>
          <w:tcPr>
            <w:tcW w:w="29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December 31,</w:t>
            </w: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December 31,</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December 31,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526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E5FFFF"/>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Profit/(loss) for the period attributable to owners of the Group</w:t>
            </w: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5,526</w:t>
            </w:r>
          </w:p>
        </w:tc>
        <w:tc>
          <w:tcPr>
            <w:tcW w:w="34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31,322</w:t>
            </w:r>
          </w:p>
        </w:tc>
        <w:tc>
          <w:tcPr>
            <w:tcW w:w="34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10,829</w:t>
            </w:r>
          </w:p>
        </w:tc>
        <w:tc>
          <w:tcPr>
            <w:tcW w:w="320" w:type="dxa"/>
            <w:vAlign w:val="bottom"/>
            <w:shd w:val="clear" w:color="auto" w:fill="E5FFFF"/>
          </w:tcPr>
          <w:p>
            <w:pPr>
              <w:spacing w:after="0"/>
              <w:rPr>
                <w:sz w:val="18"/>
                <w:szCs w:val="18"/>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(21,486)</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Less: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Dividend on preferred stock</w:t>
            </w:r>
          </w:p>
        </w:tc>
        <w:tc>
          <w:tcPr>
            <w:tcW w:w="16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(2,516)</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(2,516)</w:t>
            </w:r>
          </w:p>
        </w:tc>
        <w:tc>
          <w:tcPr>
            <w:tcW w:w="156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(7,379)</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line="201" w:lineRule="exact"/>
              <w:rPr>
                <w:sz w:val="20"/>
                <w:szCs w:val="20"/>
                <w:color w:val="auto"/>
              </w:rPr>
            </w:pPr>
            <w:r>
              <w:rPr>
                <w:rFonts w:ascii="Arial" w:cs="Arial" w:eastAsia="Arial" w:hAnsi="Arial"/>
                <w:sz w:val="18"/>
                <w:szCs w:val="18"/>
                <w:color w:val="auto"/>
                <w:w w:val="99"/>
              </w:rPr>
              <w:t>Profit/(loss) for the period available to owners of the Group used in</w:t>
            </w: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6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(31,549)</w:t>
            </w:r>
          </w:p>
        </w:tc>
        <w:tc>
          <w:tcPr>
            <w:tcW w:w="0" w:type="dxa"/>
            <w:vAlign w:val="bottom"/>
          </w:tcPr>
          <w:p>
            <w:pPr>
              <w:spacing w:after="0"/>
              <w:rPr>
                <w:sz w:val="1"/>
                <w:szCs w:val="1"/>
                <w:color w:val="auto"/>
              </w:rPr>
            </w:pPr>
          </w:p>
        </w:tc>
      </w:tr>
      <w:tr>
        <w:trPr>
          <w:trHeight w:val="230"/>
        </w:trPr>
        <w:tc>
          <w:tcPr>
            <w:tcW w:w="5260" w:type="dxa"/>
            <w:vAlign w:val="bottom"/>
          </w:tcPr>
          <w:p>
            <w:pPr>
              <w:ind w:left="160"/>
              <w:spacing w:after="0"/>
              <w:rPr>
                <w:sz w:val="20"/>
                <w:szCs w:val="20"/>
                <w:color w:val="auto"/>
              </w:rPr>
            </w:pPr>
            <w:r>
              <w:rPr>
                <w:rFonts w:ascii="Arial" w:cs="Arial" w:eastAsia="Arial" w:hAnsi="Arial"/>
                <w:sz w:val="18"/>
                <w:szCs w:val="18"/>
                <w:color w:val="auto"/>
              </w:rPr>
              <w:t>EPS calculation</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3,010</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28,806</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3,450</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80,496,499</w:t>
            </w:r>
          </w:p>
        </w:tc>
        <w:tc>
          <w:tcPr>
            <w:tcW w:w="34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80,553,503</w:t>
            </w:r>
          </w:p>
        </w:tc>
        <w:tc>
          <w:tcPr>
            <w:tcW w:w="3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80,496,314</w:t>
            </w:r>
          </w:p>
        </w:tc>
        <w:tc>
          <w:tcPr>
            <w:tcW w:w="320" w:type="dxa"/>
            <w:vAlign w:val="bottom"/>
            <w:tcBorders>
              <w:top w:val="single" w:sz="8" w:color="E5FFFF"/>
            </w:tcBorders>
            <w:shd w:val="clear" w:color="auto" w:fill="E5FFFF"/>
          </w:tcPr>
          <w:p>
            <w:pPr>
              <w:spacing w:after="0"/>
              <w:rPr>
                <w:sz w:val="18"/>
                <w:szCs w:val="18"/>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80,534,702</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E5FFFF"/>
            </w:tcBorders>
          </w:tcPr>
          <w:p>
            <w:pPr>
              <w:spacing w:after="0"/>
              <w:rPr>
                <w:sz w:val="20"/>
                <w:szCs w:val="20"/>
                <w:color w:val="auto"/>
              </w:rPr>
            </w:pPr>
            <w:r>
              <w:rPr>
                <w:rFonts w:ascii="Arial" w:cs="Arial" w:eastAsia="Arial" w:hAnsi="Arial"/>
                <w:sz w:val="18"/>
                <w:szCs w:val="18"/>
                <w:b w:val="1"/>
                <w:bCs w:val="1"/>
                <w:color w:val="auto"/>
              </w:rPr>
              <w:t>Earnings/(loss) per share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340" w:type="dxa"/>
            <w:vAlign w:val="bottom"/>
            <w:tcBorders>
              <w:bottom w:val="single" w:sz="8" w:color="E5FF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340" w:type="dxa"/>
            <w:vAlign w:val="bottom"/>
            <w:tcBorders>
              <w:bottom w:val="single" w:sz="8" w:color="E5FF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320" w:type="dxa"/>
            <w:vAlign w:val="bottom"/>
            <w:tcBorders>
              <w:bottom w:val="single" w:sz="8" w:color="E5FFFF"/>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55"/>
        </w:trPr>
        <w:tc>
          <w:tcPr>
            <w:tcW w:w="5260" w:type="dxa"/>
            <w:vAlign w:val="bottom"/>
            <w:shd w:val="clear" w:color="auto" w:fill="E5FFFF"/>
          </w:tcPr>
          <w:p>
            <w:pPr>
              <w:spacing w:after="0" w:line="156" w:lineRule="exact"/>
              <w:rPr>
                <w:sz w:val="20"/>
                <w:szCs w:val="20"/>
                <w:color w:val="auto"/>
              </w:rPr>
            </w:pPr>
            <w:r>
              <w:rPr>
                <w:rFonts w:ascii="Arial" w:cs="Arial" w:eastAsia="Arial" w:hAnsi="Arial"/>
                <w:sz w:val="18"/>
                <w:szCs w:val="18"/>
                <w:color w:val="auto"/>
                <w:w w:val="99"/>
              </w:rPr>
              <w:t>Profit/(loss) for the period available to owners of the Group used in</w:t>
            </w:r>
          </w:p>
        </w:tc>
        <w:tc>
          <w:tcPr>
            <w:tcW w:w="1280" w:type="dxa"/>
            <w:vAlign w:val="bottom"/>
            <w:shd w:val="clear" w:color="auto" w:fill="E5FFFF"/>
          </w:tcPr>
          <w:p>
            <w:pPr>
              <w:spacing w:after="0"/>
              <w:rPr>
                <w:sz w:val="13"/>
                <w:szCs w:val="13"/>
                <w:color w:val="auto"/>
              </w:rPr>
            </w:pPr>
          </w:p>
        </w:tc>
        <w:tc>
          <w:tcPr>
            <w:tcW w:w="340" w:type="dxa"/>
            <w:vAlign w:val="bottom"/>
            <w:shd w:val="clear" w:color="auto" w:fill="E5FFFF"/>
          </w:tcPr>
          <w:p>
            <w:pPr>
              <w:spacing w:after="0"/>
              <w:rPr>
                <w:sz w:val="13"/>
                <w:szCs w:val="13"/>
                <w:color w:val="auto"/>
              </w:rPr>
            </w:pPr>
          </w:p>
        </w:tc>
        <w:tc>
          <w:tcPr>
            <w:tcW w:w="1280" w:type="dxa"/>
            <w:vAlign w:val="bottom"/>
            <w:shd w:val="clear" w:color="auto" w:fill="E5FFFF"/>
          </w:tcPr>
          <w:p>
            <w:pPr>
              <w:spacing w:after="0"/>
              <w:rPr>
                <w:sz w:val="13"/>
                <w:szCs w:val="13"/>
                <w:color w:val="auto"/>
              </w:rPr>
            </w:pPr>
          </w:p>
        </w:tc>
        <w:tc>
          <w:tcPr>
            <w:tcW w:w="340" w:type="dxa"/>
            <w:vAlign w:val="bottom"/>
            <w:shd w:val="clear" w:color="auto" w:fill="E5FFFF"/>
          </w:tcPr>
          <w:p>
            <w:pPr>
              <w:spacing w:after="0"/>
              <w:rPr>
                <w:sz w:val="13"/>
                <w:szCs w:val="13"/>
                <w:color w:val="auto"/>
              </w:rPr>
            </w:pPr>
          </w:p>
        </w:tc>
        <w:tc>
          <w:tcPr>
            <w:tcW w:w="1240" w:type="dxa"/>
            <w:vAlign w:val="bottom"/>
            <w:shd w:val="clear" w:color="auto" w:fill="E5FFFF"/>
          </w:tcPr>
          <w:p>
            <w:pPr>
              <w:spacing w:after="0"/>
              <w:rPr>
                <w:sz w:val="13"/>
                <w:szCs w:val="13"/>
                <w:color w:val="auto"/>
              </w:rPr>
            </w:pPr>
          </w:p>
        </w:tc>
        <w:tc>
          <w:tcPr>
            <w:tcW w:w="320" w:type="dxa"/>
            <w:vAlign w:val="bottom"/>
            <w:shd w:val="clear" w:color="auto" w:fill="E5FFFF"/>
          </w:tcPr>
          <w:p>
            <w:pPr>
              <w:spacing w:after="0"/>
              <w:rPr>
                <w:sz w:val="13"/>
                <w:szCs w:val="13"/>
                <w:color w:val="auto"/>
              </w:rPr>
            </w:pPr>
          </w:p>
        </w:tc>
        <w:tc>
          <w:tcPr>
            <w:tcW w:w="126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EPS calculation</w:t>
            </w:r>
          </w:p>
        </w:tc>
        <w:tc>
          <w:tcPr>
            <w:tcW w:w="16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3,010</w:t>
            </w:r>
          </w:p>
        </w:tc>
        <w:tc>
          <w:tcPr>
            <w:tcW w:w="1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28,806</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3,450</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(31,549)</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Plus: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Non-cash (gain)/loss on swaps</w:t>
            </w:r>
          </w:p>
        </w:tc>
        <w:tc>
          <w:tcPr>
            <w:tcW w:w="162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(5,459)</w:t>
            </w:r>
          </w:p>
        </w:tc>
        <w:tc>
          <w:tcPr>
            <w:tcW w:w="1620" w:type="dxa"/>
            <w:vAlign w:val="bottom"/>
            <w:gridSpan w:val="2"/>
            <w:shd w:val="clear" w:color="auto" w:fill="E5FFFF"/>
          </w:tcPr>
          <w:p>
            <w:pPr>
              <w:jc w:val="right"/>
              <w:ind w:right="280"/>
              <w:spacing w:after="0"/>
              <w:rPr>
                <w:sz w:val="20"/>
                <w:szCs w:val="20"/>
                <w:color w:val="auto"/>
              </w:rPr>
            </w:pPr>
            <w:r>
              <w:rPr>
                <w:rFonts w:ascii="Arial" w:cs="Arial" w:eastAsia="Arial" w:hAnsi="Arial"/>
                <w:sz w:val="18"/>
                <w:szCs w:val="18"/>
                <w:color w:val="auto"/>
              </w:rPr>
              <w:t>(28,223)</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1,428</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Write-off of unamortized loan/bond fees and premium</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16"/>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Foreign exchange losses, net</w:t>
            </w:r>
          </w:p>
        </w:tc>
        <w:tc>
          <w:tcPr>
            <w:tcW w:w="1620" w:type="dxa"/>
            <w:vAlign w:val="bottom"/>
            <w:gridSpan w:val="2"/>
            <w:shd w:val="clear" w:color="auto" w:fill="E5FFFF"/>
          </w:tcPr>
          <w:p>
            <w:pPr>
              <w:jc w:val="right"/>
              <w:ind w:right="260"/>
              <w:spacing w:after="0"/>
              <w:rPr>
                <w:sz w:val="20"/>
                <w:szCs w:val="20"/>
                <w:color w:val="auto"/>
              </w:rPr>
            </w:pPr>
            <w:r>
              <w:rPr>
                <w:rFonts w:ascii="Arial" w:cs="Arial" w:eastAsia="Arial" w:hAnsi="Arial"/>
                <w:sz w:val="18"/>
                <w:szCs w:val="18"/>
                <w:color w:val="auto"/>
              </w:rPr>
              <w:t>1,203</w:t>
            </w:r>
          </w:p>
        </w:tc>
        <w:tc>
          <w:tcPr>
            <w:tcW w:w="1620" w:type="dxa"/>
            <w:vAlign w:val="bottom"/>
            <w:gridSpan w:val="2"/>
            <w:shd w:val="clear" w:color="auto" w:fill="E5FFFF"/>
          </w:tcPr>
          <w:p>
            <w:pPr>
              <w:jc w:val="right"/>
              <w:ind w:right="340"/>
              <w:spacing w:after="0"/>
              <w:rPr>
                <w:sz w:val="20"/>
                <w:szCs w:val="20"/>
                <w:color w:val="auto"/>
              </w:rPr>
            </w:pPr>
            <w:r>
              <w:rPr>
                <w:rFonts w:ascii="Arial" w:cs="Arial" w:eastAsia="Arial" w:hAnsi="Arial"/>
                <w:sz w:val="18"/>
                <w:szCs w:val="18"/>
                <w:color w:val="auto"/>
              </w:rPr>
              <w:t>650</w:t>
            </w:r>
          </w:p>
        </w:tc>
        <w:tc>
          <w:tcPr>
            <w:tcW w:w="1560" w:type="dxa"/>
            <w:vAlign w:val="bottom"/>
            <w:gridSpan w:val="2"/>
            <w:shd w:val="clear" w:color="auto" w:fill="E5FFFF"/>
          </w:tcPr>
          <w:p>
            <w:pPr>
              <w:jc w:val="right"/>
              <w:ind w:right="320"/>
              <w:spacing w:after="0"/>
              <w:rPr>
                <w:sz w:val="20"/>
                <w:szCs w:val="20"/>
                <w:color w:val="auto"/>
              </w:rPr>
            </w:pPr>
            <w:r>
              <w:rPr>
                <w:rFonts w:ascii="Arial" w:cs="Arial" w:eastAsia="Arial" w:hAnsi="Arial"/>
                <w:sz w:val="18"/>
                <w:szCs w:val="18"/>
                <w:color w:val="auto"/>
              </w:rPr>
              <w:t>799</w:t>
            </w:r>
          </w:p>
        </w:tc>
        <w:tc>
          <w:tcPr>
            <w:tcW w:w="136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Adjusted (loss)/profit attributable to owners of the Group</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340" w:type="dxa"/>
            <w:vAlign w:val="bottom"/>
            <w:tcBorders>
              <w:bottom w:val="single" w:sz="8" w:color="E5FF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340" w:type="dxa"/>
            <w:vAlign w:val="bottom"/>
            <w:tcBorders>
              <w:bottom w:val="single" w:sz="8" w:color="E5FF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5,677</w:t>
            </w:r>
          </w:p>
        </w:tc>
        <w:tc>
          <w:tcPr>
            <w:tcW w:w="320" w:type="dxa"/>
            <w:vAlign w:val="bottom"/>
            <w:tcBorders>
              <w:bottom w:val="single" w:sz="8" w:color="E5FF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260" w:type="dxa"/>
            <w:vAlign w:val="bottom"/>
            <w:shd w:val="clear" w:color="auto" w:fill="E5FFFF"/>
          </w:tcPr>
          <w:p>
            <w:pPr>
              <w:spacing w:after="0"/>
              <w:rPr>
                <w:sz w:val="20"/>
                <w:szCs w:val="20"/>
                <w:color w:val="auto"/>
              </w:rPr>
            </w:pPr>
            <w:r>
              <w:rPr>
                <w:rFonts w:ascii="Arial" w:cs="Arial" w:eastAsia="Arial" w:hAnsi="Arial"/>
                <w:sz w:val="18"/>
                <w:szCs w:val="18"/>
                <w:color w:val="auto"/>
              </w:rPr>
              <w:t>Weighted average number of shares outstanding, basic</w:t>
            </w: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80,496,499</w:t>
            </w:r>
          </w:p>
        </w:tc>
        <w:tc>
          <w:tcPr>
            <w:tcW w:w="340" w:type="dxa"/>
            <w:vAlign w:val="bottom"/>
            <w:shd w:val="clear" w:color="auto" w:fill="E5FFFF"/>
          </w:tcPr>
          <w:p>
            <w:pPr>
              <w:spacing w:after="0"/>
              <w:rPr>
                <w:sz w:val="18"/>
                <w:szCs w:val="18"/>
                <w:color w:val="auto"/>
              </w:rPr>
            </w:pPr>
          </w:p>
        </w:tc>
        <w:tc>
          <w:tcPr>
            <w:tcW w:w="1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80,553,503</w:t>
            </w:r>
          </w:p>
        </w:tc>
        <w:tc>
          <w:tcPr>
            <w:tcW w:w="340" w:type="dxa"/>
            <w:vAlign w:val="bottom"/>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80,496,314</w:t>
            </w:r>
          </w:p>
        </w:tc>
        <w:tc>
          <w:tcPr>
            <w:tcW w:w="32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80,534,702</w:t>
            </w: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Adjusted (loss)/earnings per share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340" w:type="dxa"/>
            <w:vAlign w:val="bottom"/>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0.07</w:t>
            </w:r>
          </w:p>
        </w:tc>
        <w:tc>
          <w:tcPr>
            <w:tcW w:w="3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1280" w:type="dxa"/>
            <w:vAlign w:val="bottom"/>
          </w:tcPr>
          <w:p>
            <w:pPr>
              <w:jc w:val="right"/>
              <w:ind w:right="65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0C0C0"/>
            </w:tcBorders>
          </w:tcPr>
          <w:p>
            <w:pPr>
              <w:spacing w:after="0"/>
              <w:rPr>
                <w:sz w:val="21"/>
                <w:szCs w:val="21"/>
                <w:color w:val="auto"/>
              </w:rPr>
            </w:pPr>
          </w:p>
        </w:tc>
        <w:tc>
          <w:tcPr>
            <w:tcW w:w="128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28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1240" w:type="dxa"/>
            <w:vAlign w:val="bottom"/>
            <w:tcBorders>
              <w:bottom w:val="single" w:sz="8" w:color="C0C0C0"/>
            </w:tcBorders>
          </w:tcPr>
          <w:p>
            <w:pPr>
              <w:spacing w:after="0"/>
              <w:rPr>
                <w:sz w:val="21"/>
                <w:szCs w:val="21"/>
                <w:color w:val="auto"/>
              </w:rPr>
            </w:pPr>
          </w:p>
        </w:tc>
        <w:tc>
          <w:tcPr>
            <w:tcW w:w="320" w:type="dxa"/>
            <w:vAlign w:val="bottom"/>
            <w:tcBorders>
              <w:bottom w:val="single" w:sz="8" w:color="C0C0C0"/>
            </w:tcBorders>
          </w:tcPr>
          <w:p>
            <w:pPr>
              <w:spacing w:after="0"/>
              <w:rPr>
                <w:sz w:val="21"/>
                <w:szCs w:val="21"/>
                <w:color w:val="auto"/>
              </w:rPr>
            </w:pPr>
          </w:p>
        </w:tc>
        <w:tc>
          <w:tcPr>
            <w:tcW w:w="126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2019-12-07T16:48:11Z</dcterms:created>
  <dcterms:modified xsi:type="dcterms:W3CDTF">2019-12-07T16:48:11Z</dcterms:modified>
</cp:coreProperties>
</file>