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EXCHANGE ACT OF 1934</w:t>
            </w:r>
          </w:p>
        </w:tc>
        <w:tc>
          <w:tcPr>
            <w:tcW w:w="1280" w:type="dxa"/>
            <w:vAlign w:val="bottom"/>
          </w:tcPr>
          <w:p>
            <w:pPr>
              <w:spacing w:after="0"/>
              <w:rPr>
                <w:sz w:val="20"/>
                <w:szCs w:val="20"/>
                <w:color w:val="auto"/>
              </w:rPr>
            </w:pPr>
          </w:p>
        </w:tc>
      </w:tr>
      <w:tr>
        <w:trPr>
          <w:trHeight w:val="414"/>
        </w:trPr>
        <w:tc>
          <w:tcPr>
            <w:tcW w:w="10140" w:type="dxa"/>
            <w:vAlign w:val="bottom"/>
          </w:tcPr>
          <w:p>
            <w:pPr>
              <w:spacing w:after="0"/>
              <w:rPr>
                <w:sz w:val="20"/>
                <w:szCs w:val="20"/>
                <w:color w:val="auto"/>
              </w:rPr>
            </w:pPr>
            <w:r>
              <w:rPr>
                <w:rFonts w:ascii="Arial" w:cs="Arial" w:eastAsia="Arial" w:hAnsi="Arial"/>
                <w:sz w:val="18"/>
                <w:szCs w:val="18"/>
                <w:color w:val="auto"/>
              </w:rPr>
              <w:t>For the month of June 2016</w:t>
            </w:r>
          </w:p>
        </w:tc>
        <w:tc>
          <w:tcPr>
            <w:tcW w:w="1280" w:type="dxa"/>
            <w:vAlign w:val="bottom"/>
          </w:tcPr>
          <w:p>
            <w:pPr>
              <w:spacing w:after="0"/>
              <w:rPr>
                <w:sz w:val="24"/>
                <w:szCs w:val="24"/>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280" w:type="dxa"/>
            <w:vAlign w:val="bottom"/>
          </w:tcPr>
          <w:p>
            <w:pPr>
              <w:spacing w:after="0"/>
              <w:rPr>
                <w:sz w:val="24"/>
                <w:szCs w:val="24"/>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b w:val="1"/>
                <w:bCs w:val="1"/>
                <w:color w:val="auto"/>
                <w:w w:val="93"/>
              </w:rPr>
              <w:t>GasLog Ltd.</w:t>
            </w:r>
          </w:p>
        </w:tc>
        <w:tc>
          <w:tcPr>
            <w:tcW w:w="1280" w:type="dxa"/>
            <w:vAlign w:val="bottom"/>
          </w:tcPr>
          <w:p>
            <w:pPr>
              <w:spacing w:after="0"/>
              <w:rPr>
                <w:sz w:val="24"/>
                <w:szCs w:val="24"/>
                <w:color w:val="auto"/>
              </w:rPr>
            </w:pPr>
          </w:p>
        </w:tc>
      </w:tr>
      <w:tr>
        <w:trPr>
          <w:trHeight w:val="230"/>
        </w:trPr>
        <w:tc>
          <w:tcPr>
            <w:tcW w:w="10140" w:type="dxa"/>
            <w:vAlign w:val="bottom"/>
          </w:tcPr>
          <w:p>
            <w:pPr>
              <w:jc w:val="center"/>
              <w:ind w:left="1210"/>
              <w:spacing w:after="0"/>
              <w:rPr>
                <w:sz w:val="20"/>
                <w:szCs w:val="20"/>
                <w:color w:val="auto"/>
              </w:rPr>
            </w:pPr>
            <w:r>
              <w:rPr>
                <w:rFonts w:ascii="Arial" w:cs="Arial" w:eastAsia="Arial" w:hAnsi="Arial"/>
                <w:sz w:val="18"/>
                <w:szCs w:val="18"/>
                <w:color w:val="auto"/>
                <w:w w:val="91"/>
              </w:rPr>
              <w:t>(Translation of registrant’s name into English)</w:t>
            </w:r>
          </w:p>
        </w:tc>
        <w:tc>
          <w:tcPr>
            <w:tcW w:w="1280" w:type="dxa"/>
            <w:vAlign w:val="bottom"/>
          </w:tcPr>
          <w:p>
            <w:pPr>
              <w:spacing w:after="0"/>
              <w:rPr>
                <w:sz w:val="20"/>
                <w:szCs w:val="20"/>
                <w:color w:val="auto"/>
              </w:rPr>
            </w:pPr>
          </w:p>
        </w:tc>
      </w:tr>
      <w:tr>
        <w:trPr>
          <w:trHeight w:val="418"/>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Gildo Pastor Center</w:t>
            </w:r>
          </w:p>
        </w:tc>
        <w:tc>
          <w:tcPr>
            <w:tcW w:w="1280" w:type="dxa"/>
            <w:vAlign w:val="bottom"/>
          </w:tcPr>
          <w:p>
            <w:pPr>
              <w:spacing w:after="0"/>
              <w:rPr>
                <w:sz w:val="24"/>
                <w:szCs w:val="24"/>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89"/>
              </w:rPr>
              <w:t>7 Rue du Gabian</w:t>
            </w:r>
          </w:p>
        </w:tc>
        <w:tc>
          <w:tcPr>
            <w:tcW w:w="1280" w:type="dxa"/>
            <w:vAlign w:val="bottom"/>
          </w:tcPr>
          <w:p>
            <w:pPr>
              <w:spacing w:after="0"/>
              <w:rPr>
                <w:sz w:val="18"/>
                <w:szCs w:val="18"/>
                <w:color w:val="auto"/>
              </w:rPr>
            </w:pPr>
          </w:p>
        </w:tc>
      </w:tr>
      <w:tr>
        <w:trPr>
          <w:trHeight w:val="216"/>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MC 98000, Monaco</w:t>
            </w:r>
          </w:p>
        </w:tc>
        <w:tc>
          <w:tcPr>
            <w:tcW w:w="1280" w:type="dxa"/>
            <w:vAlign w:val="bottom"/>
          </w:tcPr>
          <w:p>
            <w:pPr>
              <w:spacing w:after="0"/>
              <w:rPr>
                <w:sz w:val="18"/>
                <w:szCs w:val="18"/>
                <w:color w:val="auto"/>
              </w:rPr>
            </w:pPr>
          </w:p>
        </w:tc>
      </w:tr>
      <w:tr>
        <w:trPr>
          <w:trHeight w:val="230"/>
        </w:trPr>
        <w:tc>
          <w:tcPr>
            <w:tcW w:w="10140" w:type="dxa"/>
            <w:vAlign w:val="bottom"/>
          </w:tcPr>
          <w:p>
            <w:pPr>
              <w:jc w:val="center"/>
              <w:ind w:left="1190"/>
              <w:spacing w:after="0"/>
              <w:rPr>
                <w:sz w:val="20"/>
                <w:szCs w:val="20"/>
                <w:color w:val="auto"/>
              </w:rPr>
            </w:pPr>
            <w:r>
              <w:rPr>
                <w:rFonts w:ascii="Arial" w:cs="Arial" w:eastAsia="Arial" w:hAnsi="Arial"/>
                <w:sz w:val="18"/>
                <w:szCs w:val="18"/>
                <w:color w:val="auto"/>
                <w:w w:val="92"/>
              </w:rPr>
              <w:t>(Address of principal executive office)</w:t>
            </w:r>
          </w:p>
        </w:tc>
        <w:tc>
          <w:tcPr>
            <w:tcW w:w="128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80" w:type="dxa"/>
            <w:vAlign w:val="bottom"/>
          </w:tcPr>
          <w:p>
            <w:pPr>
              <w:spacing w:after="0"/>
              <w:rPr>
                <w:sz w:val="24"/>
                <w:szCs w:val="24"/>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28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r>
      <w:tr>
        <w:trPr>
          <w:trHeight w:val="277"/>
        </w:trPr>
        <w:tc>
          <w:tcPr>
            <w:tcW w:w="1014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10" w:lineRule="auto"/>
        <w:rPr>
          <w:sz w:val="20"/>
          <w:szCs w:val="20"/>
          <w:color w:val="auto"/>
        </w:rPr>
      </w:pPr>
      <w:r>
        <w:rPr>
          <w:rFonts w:ascii="Arial" w:cs="Arial" w:eastAsia="Arial" w:hAnsi="Arial"/>
          <w:sz w:val="18"/>
          <w:szCs w:val="18"/>
          <w:color w:val="auto"/>
        </w:rPr>
        <w:t>The press release issued by GasLog Ltd. on June 20</w:t>
      </w:r>
      <w:r>
        <w:rPr>
          <w:rFonts w:ascii="Arial" w:cs="Arial" w:eastAsia="Arial" w:hAnsi="Arial"/>
          <w:sz w:val="30"/>
          <w:szCs w:val="30"/>
          <w:color w:val="auto"/>
          <w:vertAlign w:val="superscript"/>
        </w:rPr>
        <w:t>th</w:t>
      </w:r>
      <w:r>
        <w:rPr>
          <w:rFonts w:ascii="Arial" w:cs="Arial" w:eastAsia="Arial" w:hAnsi="Arial"/>
          <w:sz w:val="18"/>
          <w:szCs w:val="18"/>
          <w:color w:val="auto"/>
        </w:rPr>
        <w:t>, 2016 announcing the highlights of the GasLog Ltd. and GasLog Partners LP 2016 Investor Presentation is attached hereto as Exhibit 99.1.</w:t>
      </w:r>
    </w:p>
    <w:p>
      <w:pPr>
        <w:spacing w:after="0" w:line="20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36"/>
          <w:szCs w:val="36"/>
          <w:color w:val="auto"/>
          <w:vertAlign w:val="superscript"/>
        </w:rPr>
        <w:t>99.1</w:t>
      </w:r>
      <w:r>
        <w:rPr>
          <w:sz w:val="20"/>
          <w:szCs w:val="20"/>
          <w:color w:val="auto"/>
        </w:rPr>
        <w:tab/>
      </w:r>
      <w:r>
        <w:rPr>
          <w:rFonts w:ascii="Arial" w:cs="Arial" w:eastAsia="Arial" w:hAnsi="Arial"/>
          <w:sz w:val="15"/>
          <w:szCs w:val="15"/>
          <w:color w:val="auto"/>
        </w:rPr>
        <w:t>Press Release Dated June 20</w:t>
      </w:r>
      <w:r>
        <w:rPr>
          <w:rFonts w:ascii="Arial" w:cs="Arial" w:eastAsia="Arial" w:hAnsi="Arial"/>
          <w:sz w:val="24"/>
          <w:szCs w:val="24"/>
          <w:color w:val="auto"/>
          <w:vertAlign w:val="superscript"/>
        </w:rPr>
        <w:t>th</w:t>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60"/>
          </w:cols>
          <w:pgMar w:left="240" w:top="412" w:right="79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June 20</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8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 Wogan</w:t>
      </w:r>
    </w:p>
    <w:p>
      <w:pPr>
        <w:spacing w:after="0" w:line="23" w:lineRule="exact"/>
        <w:rPr>
          <w:sz w:val="20"/>
          <w:szCs w:val="20"/>
          <w:color w:val="auto"/>
        </w:rPr>
      </w:pPr>
    </w:p>
    <w:p>
      <w:pPr>
        <w:ind w:left="6420"/>
        <w:spacing w:after="0"/>
        <w:tabs>
          <w:tab w:leader="none" w:pos="7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-130810</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6420"/>
        <w:spacing w:after="0"/>
        <w:tabs>
          <w:tab w:leader="none" w:pos="702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557" w:right="9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2016 Investor Presentation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Monaco, June 20, 2016</w:t>
      </w:r>
      <w:r>
        <w:rPr>
          <w:rFonts w:ascii="Arial" w:cs="Arial" w:eastAsia="Arial" w:hAnsi="Arial"/>
          <w:sz w:val="18"/>
          <w:szCs w:val="18"/>
          <w:color w:val="auto"/>
        </w:rPr>
        <w:t>, GasLog Ltd. (“GasLog” or the “Company”) (NYSE: GLOG) and GasLog Partners LP (“GasLog Partners”) (NYSE: GLOP) are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an investor presentation in New York today at 16:00 EDT. Senior management from GasLog and GasLog Partners will present an update on the LNG and LNG shipping market outlook, the strong company fundamentals and our differentiated growth strategy. The presentation will be followed by a question and answer session and cocktail reception.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today’s presentation are as follows:</w:t>
      </w:r>
    </w:p>
    <w:p>
      <w:pPr>
        <w:spacing w:after="0" w:line="225"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continues to adapt to changing LNG and LNG shipping markets to execute on its strategy</w:t>
      </w:r>
    </w:p>
    <w:p>
      <w:pPr>
        <w:spacing w:after="0" w:line="225" w:lineRule="exact"/>
        <w:rPr>
          <w:rFonts w:ascii="Arial" w:cs="Arial" w:eastAsia="Arial" w:hAnsi="Arial"/>
          <w:sz w:val="18"/>
          <w:szCs w:val="18"/>
          <w:color w:val="auto"/>
        </w:rPr>
      </w:pPr>
    </w:p>
    <w:p>
      <w:pPr>
        <w:ind w:left="640" w:hanging="308"/>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has actively managed its balance sheet to protect shareholder value during this cyclical downturn in the short term LNG shipping market and to position the company for future growth opportunities as the markets rebound</w:t>
      </w:r>
    </w:p>
    <w:p>
      <w:pPr>
        <w:spacing w:after="0" w:line="170" w:lineRule="exact"/>
        <w:rPr>
          <w:sz w:val="20"/>
          <w:szCs w:val="20"/>
          <w:color w:val="auto"/>
        </w:rPr>
      </w:pPr>
    </w:p>
    <w:p>
      <w:pPr>
        <w:ind w:left="1300" w:hanging="320"/>
        <w:spacing w:after="0" w:line="259" w:lineRule="auto"/>
        <w:tabs>
          <w:tab w:leader="none" w:pos="1300" w:val="left"/>
        </w:tabs>
        <w:numPr>
          <w:ilvl w:val="1"/>
          <w:numId w:val="2"/>
        </w:numPr>
        <w:rPr>
          <w:rFonts w:ascii="Courier New" w:cs="Courier New" w:eastAsia="Courier New" w:hAnsi="Courier New"/>
          <w:sz w:val="18"/>
          <w:szCs w:val="18"/>
          <w:color w:val="auto"/>
        </w:rPr>
      </w:pPr>
      <w:r>
        <w:rPr>
          <w:rFonts w:ascii="Arial" w:cs="Arial" w:eastAsia="Arial" w:hAnsi="Arial"/>
          <w:sz w:val="18"/>
          <w:szCs w:val="18"/>
          <w:color w:val="auto"/>
        </w:rPr>
        <w:t>This is demonstrated by the $1.05 billion “Legacy Facility Re-financing” announced separately today and the $90 million Norwegian bond issue announced last week</w:t>
      </w:r>
    </w:p>
    <w:p>
      <w:pPr>
        <w:spacing w:after="0" w:line="184" w:lineRule="exact"/>
        <w:rPr>
          <w:rFonts w:ascii="Courier New" w:cs="Courier New" w:eastAsia="Courier New" w:hAnsi="Courier New"/>
          <w:sz w:val="18"/>
          <w:szCs w:val="18"/>
          <w:color w:val="auto"/>
        </w:rPr>
      </w:pPr>
    </w:p>
    <w:p>
      <w:pPr>
        <w:ind w:left="640" w:right="20" w:hanging="308"/>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 continues to make positive progress with its floating storage re-gasification unit (“FSRU”) strategy and is in discussion on a number of potential FSRU opportunities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 Ltd. reaffirms its ongoing support of GasLog Partners as its preferred funding vehicle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 Partners continues to target a 10-15% CAGR of LP distribution per unit from IPO for the next several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Event Details</w:t>
            </w: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June 20, 2016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Venue:</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Pierre Hotel</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Address:</w:t>
            </w: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rPr>
              <w:t>2 East 61st Street</w:t>
            </w:r>
          </w:p>
        </w:tc>
      </w:tr>
      <w:tr>
        <w:trPr>
          <w:trHeight w:val="216"/>
        </w:trPr>
        <w:tc>
          <w:tcPr>
            <w:tcW w:w="1340" w:type="dxa"/>
            <w:vAlign w:val="bottom"/>
          </w:tcPr>
          <w:p>
            <w:pPr>
              <w:spacing w:after="0"/>
              <w:rPr>
                <w:sz w:val="18"/>
                <w:szCs w:val="18"/>
                <w:color w:val="auto"/>
              </w:rPr>
            </w:pPr>
          </w:p>
        </w:tc>
        <w:tc>
          <w:tcPr>
            <w:tcW w:w="1860" w:type="dxa"/>
            <w:vAlign w:val="bottom"/>
            <w:gridSpan w:val="2"/>
          </w:tcPr>
          <w:p>
            <w:pPr>
              <w:ind w:left="280"/>
              <w:spacing w:after="0"/>
              <w:rPr>
                <w:sz w:val="20"/>
                <w:szCs w:val="20"/>
                <w:color w:val="auto"/>
              </w:rPr>
            </w:pPr>
            <w:r>
              <w:rPr>
                <w:rFonts w:ascii="Arial" w:cs="Arial" w:eastAsia="Arial" w:hAnsi="Arial"/>
                <w:sz w:val="18"/>
                <w:szCs w:val="18"/>
                <w:color w:val="auto"/>
                <w:w w:val="92"/>
              </w:rPr>
              <w:t>New York, NY 10065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Registration:</w:t>
            </w:r>
          </w:p>
        </w:tc>
        <w:tc>
          <w:tcPr>
            <w:tcW w:w="700" w:type="dxa"/>
            <w:vAlign w:val="bottom"/>
          </w:tcPr>
          <w:p>
            <w:pPr>
              <w:ind w:left="280"/>
              <w:spacing w:after="0"/>
              <w:rPr>
                <w:sz w:val="20"/>
                <w:szCs w:val="20"/>
                <w:color w:val="auto"/>
              </w:rPr>
            </w:pPr>
            <w:r>
              <w:rPr>
                <w:rFonts w:ascii="Arial" w:cs="Arial" w:eastAsia="Arial" w:hAnsi="Arial"/>
                <w:sz w:val="18"/>
                <w:szCs w:val="18"/>
                <w:color w:val="auto"/>
                <w:w w:val="88"/>
              </w:rPr>
              <w:t>15:45</w:t>
            </w:r>
          </w:p>
        </w:tc>
        <w:tc>
          <w:tcPr>
            <w:tcW w:w="1160" w:type="dxa"/>
            <w:vAlign w:val="bottom"/>
          </w:tcPr>
          <w:p>
            <w:pPr>
              <w:ind w:left="40"/>
              <w:spacing w:after="0"/>
              <w:rPr>
                <w:sz w:val="20"/>
                <w:szCs w:val="20"/>
                <w:color w:val="auto"/>
              </w:rPr>
            </w:pPr>
            <w:r>
              <w:rPr>
                <w:rFonts w:ascii="Arial" w:cs="Arial" w:eastAsia="Arial" w:hAnsi="Arial"/>
                <w:sz w:val="18"/>
                <w:szCs w:val="18"/>
                <w:color w:val="auto"/>
              </w:rPr>
              <w:t>EDT</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Start time:</w:t>
            </w:r>
          </w:p>
        </w:tc>
        <w:tc>
          <w:tcPr>
            <w:tcW w:w="700" w:type="dxa"/>
            <w:vAlign w:val="bottom"/>
          </w:tcPr>
          <w:p>
            <w:pPr>
              <w:ind w:left="280"/>
              <w:spacing w:after="0"/>
              <w:rPr>
                <w:sz w:val="20"/>
                <w:szCs w:val="20"/>
                <w:color w:val="auto"/>
              </w:rPr>
            </w:pPr>
            <w:r>
              <w:rPr>
                <w:rFonts w:ascii="Arial" w:cs="Arial" w:eastAsia="Arial" w:hAnsi="Arial"/>
                <w:sz w:val="18"/>
                <w:szCs w:val="18"/>
                <w:color w:val="auto"/>
                <w:w w:val="88"/>
              </w:rPr>
              <w:t>16:00</w:t>
            </w:r>
          </w:p>
        </w:tc>
        <w:tc>
          <w:tcPr>
            <w:tcW w:w="1160" w:type="dxa"/>
            <w:vAlign w:val="bottom"/>
          </w:tcPr>
          <w:p>
            <w:pPr>
              <w:ind w:left="40"/>
              <w:spacing w:after="0"/>
              <w:rPr>
                <w:sz w:val="20"/>
                <w:szCs w:val="20"/>
                <w:color w:val="auto"/>
              </w:rPr>
            </w:pPr>
            <w:r>
              <w:rPr>
                <w:rFonts w:ascii="Arial" w:cs="Arial" w:eastAsia="Arial" w:hAnsi="Arial"/>
                <w:sz w:val="18"/>
                <w:szCs w:val="18"/>
                <w:color w:val="auto"/>
              </w:rPr>
              <w:t>EDT</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Reception:</w:t>
            </w:r>
          </w:p>
        </w:tc>
        <w:tc>
          <w:tcPr>
            <w:tcW w:w="700" w:type="dxa"/>
            <w:vAlign w:val="bottom"/>
          </w:tcPr>
          <w:p>
            <w:pPr>
              <w:ind w:left="280"/>
              <w:spacing w:after="0"/>
              <w:rPr>
                <w:sz w:val="20"/>
                <w:szCs w:val="20"/>
                <w:color w:val="auto"/>
              </w:rPr>
            </w:pPr>
            <w:r>
              <w:rPr>
                <w:rFonts w:ascii="Arial" w:cs="Arial" w:eastAsia="Arial" w:hAnsi="Arial"/>
                <w:sz w:val="18"/>
                <w:szCs w:val="18"/>
                <w:color w:val="auto"/>
                <w:w w:val="88"/>
              </w:rPr>
              <w:t>17:30</w:t>
            </w:r>
          </w:p>
        </w:tc>
        <w:tc>
          <w:tcPr>
            <w:tcW w:w="1160" w:type="dxa"/>
            <w:vAlign w:val="bottom"/>
          </w:tcPr>
          <w:p>
            <w:pPr>
              <w:ind w:left="40"/>
              <w:spacing w:after="0"/>
              <w:rPr>
                <w:sz w:val="20"/>
                <w:szCs w:val="20"/>
                <w:color w:val="auto"/>
              </w:rPr>
            </w:pPr>
            <w:r>
              <w:rPr>
                <w:rFonts w:ascii="Arial" w:cs="Arial" w:eastAsia="Arial" w:hAnsi="Arial"/>
                <w:sz w:val="18"/>
                <w:szCs w:val="18"/>
                <w:color w:val="auto"/>
              </w:rPr>
              <w:t>EDT onwards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 will be webcast live on the websites of GasLog Ltd. (</w:t>
      </w:r>
      <w:r>
        <w:rPr>
          <w:rFonts w:ascii="Arial" w:cs="Arial" w:eastAsia="Arial" w:hAnsi="Arial"/>
          <w:sz w:val="18"/>
          <w:szCs w:val="18"/>
          <w:u w:val="single" w:color="auto"/>
          <w:color w:val="auto"/>
        </w:rPr>
        <w:t>www.gaslogltd.com</w:t>
      </w:r>
      <w:r>
        <w:rPr>
          <w:rFonts w:ascii="Arial" w:cs="Arial" w:eastAsia="Arial" w:hAnsi="Arial"/>
          <w:sz w:val="18"/>
          <w:szCs w:val="18"/>
          <w:color w:val="auto"/>
        </w:rPr>
        <w:t>) and GasLog Partners (</w:t>
      </w:r>
      <w:r>
        <w:rPr>
          <w:rFonts w:ascii="Arial" w:cs="Arial" w:eastAsia="Arial" w:hAnsi="Arial"/>
          <w:sz w:val="18"/>
          <w:szCs w:val="18"/>
          <w:u w:val="single" w:color="auto"/>
          <w:color w:val="auto"/>
        </w:rPr>
        <w:t>www.gaslogmlp.com</w:t>
      </w:r>
      <w:r>
        <w:rPr>
          <w:rFonts w:ascii="Arial" w:cs="Arial" w:eastAsia="Arial" w:hAnsi="Arial"/>
          <w:sz w:val="18"/>
          <w:szCs w:val="18"/>
          <w:color w:val="auto"/>
        </w:rPr>
        <w:t>). A replay will be available on both websites following the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18 LNG carriers (including 11 ships in operation and seven LNG carriers on order) and GasLog has four LNG carriers operating under its technical management for third parties and a vessel secured under a long-term bareboat charter from Lepta Shipping, a subsidiary of Mitsui. GasLog’s principal executive offices are at Gildo Pastor Center, 7 Rue du Gabian, 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long-term charters. GasLog Partners’ fleet consists of eight LNG carriers with an average carrying capacity of 148,750 cbm, each of which has a multi-year time charter. GasLog Partners’ executive offices are located at Gildo Pastor Center, 7 Rue du Gabian, MC 98000, Monaco.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statements in this presentation that are not statements of historical fact are “forward-looking statements” within the meaning of the U.S. Private Securities Litigation Reform Act of 1995. Forward-looking statements include statements that address activities, events or developments that GasLog Ltd. or GasLog Partners expects, projects, believes or anticipates will or may occur in the future, particularly in relation to GasLog Ltd. or GasLog Partners’ operations, cash flows, financial position, liquidity and cash available for dividends or distributions, plans, strategies, business prospects and changes and trends in GasLog Ltd. or GasLog Partners’ business and the markets in which it operates. The GasLog and GasLog Partners cautions that these forward-looking statements represent estimates and assumptions only as of the date of this report, about factors that are beyond its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Factors that might cause future results and outcomes to differ for GasLog Ltd. and GasLog Partners include, but are not limited to, the following:</w:t>
      </w:r>
    </w:p>
    <w:p>
      <w:pPr>
        <w:spacing w:after="0" w:line="237"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might cause future results and outcomes to differ for GasLog Ltd.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14, 2016 and available at http://www.sec.gov.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might cause future results and outcomes to differ for GasLog Partners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upon consummation of the IPO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GasLog Ltd.’s ability to retain key employees and provide services to us, and the availability of skilled labor, ship crews and management;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in GasLog Partners’ Annual Report on Form 20-F filed with the SEC on February 12, 2016,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The GasLog Ltd. and Gaslog Partners undertake no obligation to update or revise any forward-looking statements contained in this presentation, whether as a result of new information , future events, a change in our views or expectations or otherwise. New factors emerge from time to time, and it is not possible for us to predict all of these factors. Further, the Partnership cannot assess the impact of each such factor on its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declaration and payment of distributions are at all times subject to the discretion of our board of directors and will depend on, amongst other things, risks and uncertainties described above, restrictions in our credit facilities, the provisions of Bermuda law for GasLog Ltd. and Marshall Islands law for GasLog Partners and such other factors as GasLog Ltd.’s and Gaslog Partners’ boards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2019-12-08T21:47:59Z</dcterms:created>
  <dcterms:modified xsi:type="dcterms:W3CDTF">2019-12-08T21:47:59Z</dcterms:modified>
</cp:coreProperties>
</file>